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rPr>
          <w:rFonts w:ascii="Arial" w:hAnsi="Arial" w:cs="Arial"/>
          <w:b w:val="1"/>
          <w:sz w:val="56"/>
          <w:szCs w:val="56"/>
          <w:lang w:val="en-GB" w:bidi="en-GB" w:eastAsia="en-GB"/>
        </w:rPr>
      </w:pPr>
      <w:r>
        <w:rPr>
          <w:rFonts w:ascii="Arial" w:hAnsi="Arial" w:cs="Arial"/>
          <w:b w:val="1"/>
          <w:sz w:val="56"/>
          <w:lang w:val="en-GB" w:bidi="en-GB" w:eastAsia="en-GB"/>
        </w:rPr>
        <w:t>Catalogue of Requirements</w:t>
      </w:r>
    </w:p>
    <w:p>
      <w:pPr>
        <w:rPr>
          <w:rFonts w:ascii="Arial" w:hAnsi="Arial" w:cs="Arial"/>
          <w:b w:val="1"/>
          <w:sz w:val="56"/>
          <w:szCs w:val="56"/>
          <w:lang w:val="en-GB" w:bidi="en-GB" w:eastAsia="en-GB"/>
        </w:rPr>
      </w:pPr>
      <w:r>
        <w:rPr>
          <w:rFonts w:ascii="Arial" w:hAnsi="Arial" w:cs="Arial"/>
          <w:b w:val="1"/>
          <w:sz w:val="56"/>
          <w:lang w:val="en-GB" w:bidi="en-GB" w:eastAsia="en-GB"/>
        </w:rPr>
        <w:t>Neuro-oncology Centres</w:t>
      </w:r>
    </w:p>
    <w:p>
      <w:pPr>
        <w:rPr>
          <w:rFonts w:ascii="Arial" w:hAnsi="Arial" w:cs="Arial"/>
          <w:sz w:val="44"/>
          <w:szCs w:val="44"/>
          <w:lang w:val="en-GB"/>
        </w:rPr>
      </w:pPr>
      <w:r>
        <w:rPr>
          <w:rFonts w:ascii="Arial" w:hAnsi="Arial" w:cs="Arial"/>
          <w:sz w:val="44"/>
          <w:szCs w:val="44"/>
          <w:lang w:val="en-GB"/>
        </w:rPr>
        <w:t xml:space="preserve">Module in the Oncology Centre </w:t>
      </w:r>
    </w:p>
    <w:p>
      <w:pPr>
        <w:rPr>
          <w:rFonts w:ascii="Arial" w:hAnsi="Arial" w:cs="Arial"/>
          <w:lang w:val="en-GB" w:bidi="en-GB" w:eastAsia="en-GB"/>
        </w:rPr>
      </w:pPr>
    </w:p>
    <w:p>
      <w:pPr>
        <w:rPr>
          <w:rFonts w:ascii="Arial" w:hAnsi="Arial" w:cs="Arial"/>
          <w:b w:val="1"/>
          <w:lang w:val="en-GB" w:bidi="en-GB" w:eastAsia="en-GB"/>
        </w:rPr>
      </w:pPr>
      <w:r>
        <w:rPr>
          <w:rFonts w:ascii="Arial" w:hAnsi="Arial" w:cs="Arial"/>
          <w:b w:val="1"/>
          <w:lang w:val="en-GB" w:bidi="en-GB" w:eastAsia="en-GB"/>
        </w:rPr>
        <w:t>Prepared by the Certification Committee Neuro-oncological Tumours of the German Cancer Society</w:t>
      </w:r>
    </w:p>
    <w:p>
      <w:pPr>
        <w:rPr>
          <w:rFonts w:ascii="Arial" w:hAnsi="Arial" w:cs="Arial"/>
          <w:b w:val="1"/>
          <w:lang w:val="en-GB" w:bidi="en-GB" w:eastAsia="en-GB"/>
        </w:rPr>
      </w:pPr>
    </w:p>
    <w:p>
      <w:pPr>
        <w:rPr>
          <w:rFonts w:ascii="Arial" w:hAnsi="Arial" w:cs="Arial"/>
          <w:b w:val="1"/>
          <w:lang w:val="en-GB" w:bidi="en-GB" w:eastAsia="en-GB"/>
        </w:rPr>
      </w:pPr>
      <w:r>
        <w:rPr>
          <w:rFonts w:ascii="Arial" w:hAnsi="Arial" w:cs="Arial"/>
          <w:b w:val="1"/>
          <w:lang w:val="en-GB" w:bidi="en-GB" w:eastAsia="en-GB"/>
        </w:rPr>
        <w:t xml:space="preserve">Chairs of the Certification Committee: </w:t>
      </w:r>
      <w:r>
        <w:rPr>
          <w:rFonts w:ascii="Arial" w:hAnsi="Arial" w:cs="Arial"/>
          <w:lang w:val="en-GB" w:bidi="en-GB" w:eastAsia="en-GB"/>
        </w:rPr>
        <w:t>Prof. Dr. U. Schlegel, Prof. Dr. W. Stummer</w:t>
      </w:r>
    </w:p>
    <w:p>
      <w:pPr>
        <w:ind w:hanging="426" w:left="426"/>
        <w:rPr>
          <w:rFonts w:ascii="Arial" w:hAnsi="Arial" w:cs="Arial"/>
          <w:b w:val="1"/>
          <w:sz w:val="12"/>
          <w:lang w:val="en-GB" w:bidi="en-GB" w:eastAsia="en-GB"/>
        </w:rPr>
      </w:pPr>
    </w:p>
    <w:p>
      <w:pPr>
        <w:rPr>
          <w:rFonts w:ascii="Arial" w:hAnsi="Arial" w:cs="Arial"/>
          <w:b w:val="1"/>
          <w:sz w:val="12"/>
          <w:lang w:val="en-GB" w:bidi="en-GB" w:eastAsia="en-GB"/>
        </w:rPr>
      </w:pPr>
    </w:p>
    <w:p>
      <w:pPr>
        <w:rPr>
          <w:rFonts w:ascii="Arial" w:hAnsi="Arial" w:cs="Arial"/>
          <w:b w:val="1"/>
          <w:lang w:val="en-GB" w:bidi="en-GB" w:eastAsia="en-GB"/>
        </w:rPr>
      </w:pPr>
      <w:r>
        <w:rPr>
          <w:rFonts w:ascii="Arial" w:hAnsi="Arial" w:cs="Arial"/>
          <w:b w:val="1"/>
          <w:lang w:val="en-GB"/>
        </w:rPr>
        <w:t>Members (in alphabetical order):</w:t>
      </w:r>
    </w:p>
    <w:p>
      <w:pPr>
        <w:rPr>
          <w:rFonts w:ascii="Arial" w:hAnsi="Arial" w:cs="Arial"/>
          <w:b w:val="1"/>
          <w:sz w:val="24"/>
          <w:szCs w:val="24"/>
          <w:lang w:val="en-GB" w:bidi="en-GB" w:eastAsia="en-GB"/>
        </w:rPr>
      </w:pPr>
      <w:r>
        <w:rPr>
          <w:rFonts w:ascii="Arial" w:hAnsi="Arial" w:cs="Arial"/>
          <w:szCs w:val="24"/>
          <w:lang w:val="en-GB" w:bidi="en-GB" w:eastAsia="en-GB"/>
        </w:rPr>
        <w:t>ACO – Working Group for Surgical Oncology</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ADT – Association of German Tumour Centres</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OPH – Working Group for Psycho Oncology</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PSO – Working Group Psycho-Oncology</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AIO – Working Group for Internal Oncology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AGORS – Working Group for Oncological Rehabilitation and Social Medicine</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APM – Working Group for Palliative Medicine</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ARO – Working Group for Radio-Oncology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ASO – Working Group for Social Work in Oncology</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AGSMO – Working Group for Supportive Measures in Oncology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BNHO – Association of Practice-based Haematologists and Oncologists in Germany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BDP – Association of German Pathologists</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BVDST – German Professional Association of Radiation Therapists</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CAO – Surgical Working Group for Oncology</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 xml:space="preserve">DGCh – German Society of Surgery </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DGHO – German Society of Haematology and Oncology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DeGIR – German Society of Interventional Radiology and Minimal-invasive Therapy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DGNC – German Society of Neurosurgery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DGN – German Society of Neurology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DGNN – German Society of Neuropathology and Neuroanatomy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GNP – German Society of Neuropsychology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DGNR – German Society of Neuroradiology</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DGN – German Society of Nuclear Medicine</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DGP – German Society of Palliative Medicine</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DGP – German Society of Pathology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DEGRO – German Society of Radio-Oncology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DHH – German Brain Tumour Association</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DRG – German X-Ray Society</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DVE – German Association of Occupational Therapists</w:t>
      </w:r>
    </w:p>
    <w:p>
      <w:pPr>
        <w:tabs>
          <w:tab w:val="center" w:pos="4536" w:leader="none"/>
          <w:tab w:val="right" w:pos="9072" w:leader="none"/>
        </w:tabs>
        <w:rPr>
          <w:rFonts w:ascii="Arial" w:hAnsi="Arial" w:cs="Arial"/>
          <w:szCs w:val="24"/>
          <w:lang w:val="en-GB" w:bidi="en-GB" w:eastAsia="en-GB"/>
        </w:rPr>
      </w:pPr>
      <w:r>
        <w:rPr>
          <w:rFonts w:ascii="Arial" w:hAnsi="Arial" w:cs="Arial"/>
          <w:szCs w:val="24"/>
          <w:lang w:val="en-GB" w:bidi="en-GB" w:eastAsia="en-GB"/>
        </w:rPr>
        <w:t>DVSG – German Association of Social Work in Health Care</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Auditors</w:t>
      </w:r>
    </w:p>
    <w:p>
      <w:pPr>
        <w:tabs>
          <w:tab w:val="center" w:pos="4536" w:leader="none"/>
          <w:tab w:val="right" w:pos="9072" w:leader="none"/>
        </w:tabs>
        <w:rPr>
          <w:rFonts w:ascii="Arial" w:hAnsi="Arial" w:cs="Arial"/>
          <w:lang w:val="en-GB" w:bidi="en-GB" w:eastAsia="en-GB"/>
        </w:rPr>
      </w:pPr>
      <w:r>
        <w:rPr>
          <w:rFonts w:ascii="Arial" w:hAnsi="Arial" w:cs="Arial"/>
          <w:szCs w:val="24"/>
          <w:lang w:val="en-GB" w:bidi="en-GB" w:eastAsia="en-GB"/>
        </w:rPr>
        <w:t>KOK – Conference on Oncological and Paediatric Nursing Staff</w:t>
      </w:r>
    </w:p>
    <w:p>
      <w:pPr>
        <w:rPr>
          <w:rFonts w:ascii="Arial" w:hAnsi="Arial" w:cs="Arial"/>
          <w:szCs w:val="24"/>
          <w:lang w:val="en-GB" w:bidi="en-GB" w:eastAsia="en-GB"/>
        </w:rPr>
      </w:pPr>
      <w:r>
        <w:rPr>
          <w:rFonts w:ascii="Arial" w:hAnsi="Arial" w:cs="Arial"/>
          <w:szCs w:val="24"/>
          <w:lang w:val="en-GB" w:bidi="en-GB" w:eastAsia="en-GB"/>
        </w:rPr>
        <w:t>NOA – Neuro-oncology Working Group</w:t>
      </w:r>
    </w:p>
    <w:p>
      <w:pPr>
        <w:tabs>
          <w:tab w:val="center" w:pos="4536" w:leader="none"/>
          <w:tab w:val="right" w:pos="9072" w:leader="none"/>
        </w:tabs>
        <w:rPr>
          <w:rFonts w:ascii="Arial" w:hAnsi="Arial" w:cs="Arial"/>
          <w:lang w:val="en-GB"/>
        </w:rPr>
      </w:pPr>
      <w:r>
        <w:rPr>
          <w:rFonts w:ascii="Arial" w:hAnsi="Arial" w:cs="Arial"/>
          <w:lang w:val="en-GB"/>
        </w:rPr>
        <w:t>Permanent guests:</w:t>
      </w:r>
    </w:p>
    <w:p>
      <w:pPr>
        <w:pStyle w:val="P10"/>
        <w:numPr>
          <w:ilvl w:val="0"/>
          <w:numId w:val="47"/>
        </w:numPr>
        <w:tabs>
          <w:tab w:val="center" w:pos="4536" w:leader="none"/>
          <w:tab w:val="right" w:pos="9072" w:leader="none"/>
        </w:tabs>
        <w:rPr>
          <w:rFonts w:asciiTheme="minorHAnsi" w:hAnsiTheme="minorHAnsi" w:cstheme="minorHAnsi"/>
          <w:sz w:val="22"/>
          <w:szCs w:val="22"/>
          <w:lang w:val="en-GB"/>
        </w:rPr>
      </w:pPr>
      <w:r>
        <w:rPr>
          <w:rFonts w:asciiTheme="minorHAnsi" w:hAnsiTheme="minorHAnsi" w:cstheme="minorHAnsi"/>
          <w:sz w:val="22"/>
          <w:szCs w:val="22"/>
          <w:lang w:val="en-GB"/>
        </w:rPr>
        <w:t>OncoSuisse</w:t>
      </w:r>
    </w:p>
    <w:p>
      <w:pPr>
        <w:rPr>
          <w:rFonts w:ascii="Arial" w:hAnsi="Arial" w:cs="Arial"/>
          <w:szCs w:val="24"/>
          <w:lang w:val="en-GB" w:bidi="en-GB" w:eastAsia="en-GB"/>
        </w:rPr>
      </w:pPr>
    </w:p>
    <w:p>
      <w:pPr>
        <w:rPr>
          <w:rFonts w:ascii="Arial" w:hAnsi="Arial" w:cs="Arial"/>
          <w:sz w:val="18"/>
          <w:szCs w:val="18"/>
          <w:lang w:val="en-GB" w:bidi="en-GB" w:eastAsia="en-GB"/>
        </w:rPr>
      </w:pPr>
      <w:r>
        <w:rPr>
          <w:rFonts w:ascii="Arial" w:hAnsi="Arial" w:cs="Arial"/>
          <w:sz w:val="18"/>
          <w:szCs w:val="18"/>
          <w:lang w:val="en-GB" w:bidi="en-GB" w:eastAsia="en-GB"/>
        </w:rPr>
        <w:br w:type="page"/>
      </w:r>
    </w:p>
    <w:p>
      <w:pPr>
        <w:rPr>
          <w:rFonts w:ascii="Arial" w:hAnsi="Arial" w:cs="Arial"/>
          <w:b w:val="1"/>
          <w:bCs w:val="1"/>
          <w:lang w:val="en-GB"/>
        </w:rPr>
      </w:pPr>
      <w:bookmarkStart w:id="0" w:name="_Hlk184140032"/>
      <w:r>
        <w:rPr>
          <w:rFonts w:ascii="Arial" w:hAnsi="Arial" w:cs="Arial"/>
          <w:b w:val="1"/>
          <w:bCs w:val="1"/>
          <w:lang w:val="en-GB"/>
        </w:rPr>
        <w:t>Comments on the Catalouge of Requirements</w:t>
      </w:r>
    </w:p>
    <w:p>
      <w:pPr>
        <w:rPr>
          <w:rFonts w:ascii="Arial" w:hAnsi="Arial" w:cs="Arial"/>
          <w:b w:val="1"/>
          <w:sz w:val="18"/>
          <w:lang w:val="en-GB" w:bidi="en-GB" w:eastAsia="en-GB"/>
        </w:rPr>
      </w:pPr>
      <w:bookmarkEnd w:id="0"/>
    </w:p>
    <w:p>
      <w:pPr>
        <w:rPr>
          <w:rFonts w:ascii="Arial" w:hAnsi="Arial" w:cs="Arial"/>
          <w:bCs w:val="1"/>
          <w:lang w:val="en-GB"/>
        </w:rPr>
      </w:pPr>
    </w:p>
    <w:p>
      <w:pPr>
        <w:rPr>
          <w:rFonts w:ascii="Arial" w:hAnsi="Arial" w:cs="Arial"/>
          <w:bCs w:val="1"/>
          <w:lang w:val="en-GB"/>
        </w:rPr>
      </w:pPr>
      <w:bookmarkStart w:id="1" w:name="_Hlk184140040"/>
      <w:r>
        <w:rPr>
          <w:rFonts w:ascii="Arial" w:hAnsi="Arial" w:cs="Arial"/>
          <w:bCs w:val="1"/>
          <w:lang w:val="en-GB"/>
        </w:rPr>
        <w:t>The Catalouge of Requirement and its appendices are binding for all centres.</w:t>
      </w:r>
    </w:p>
    <w:p>
      <w:pPr>
        <w:rPr>
          <w:rFonts w:ascii="Arial" w:hAnsi="Arial" w:cs="Arial"/>
          <w:b w:val="1"/>
          <w:sz w:val="18"/>
          <w:lang w:val="en-GB" w:bidi="en-GB" w:eastAsia="en-GB"/>
        </w:rPr>
      </w:pPr>
      <w:bookmarkEnd w:id="1"/>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90"/>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bookmarkStart w:id="2" w:name="_Hlk184140132" w:colFirst="0" w:colLast="1"/>
            <w:r>
              <w:rPr>
                <w:rFonts w:ascii="Arial" w:hAnsi="Arial" w:cs="Arial"/>
                <w:bCs w:val="1"/>
                <w:lang w:val="en-GB"/>
              </w:rPr>
              <w:t>Audit year:</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b w:val="1"/>
                <w:lang w:val="en-GB"/>
              </w:rPr>
              <w:t>2025</w:t>
            </w:r>
          </w:p>
        </w:tc>
      </w:tr>
      <w:tr>
        <w:trPr>
          <w:trHeight w:hRule="atLeast" w:val="410"/>
          <w:tblCellSpacing w:w="15" w:type="dxa"/>
        </w:trPr>
        <w:tc>
          <w:tcPr>
            <w:tcW w:w="1230" w:type="dxa"/>
            <w:tcBorders>
              <w:top w:val="nil"/>
              <w:left w:val="nil"/>
              <w:bottom w:val="nil"/>
              <w:right w:val="nil"/>
            </w:tcBorders>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r>
              <w:rPr>
                <w:rFonts w:ascii="Arial" w:hAnsi="Arial" w:cs="Arial"/>
                <w:bCs w:val="1"/>
                <w:lang w:val="en-GB"/>
              </w:rPr>
              <w:t>Version:</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eastAsia="Arial"/>
                <w:b w:val="1"/>
              </w:rPr>
              <w:t>H1</w:t>
            </w:r>
          </w:p>
        </w:tc>
      </w:tr>
      <w:tr>
        <w:trPr>
          <w:trHeight w:hRule="atLeast" w:val="375"/>
          <w:tblCellSpacing w:w="15" w:type="dxa"/>
        </w:trPr>
        <w:tc>
          <w:tcPr>
            <w:tcW w:w="1230" w:type="dxa"/>
            <w:tcMar>
              <w:top w:w="0" w:type="dxa"/>
              <w:left w:w="108" w:type="dxa"/>
              <w:bottom w:w="0" w:type="dxa"/>
              <w:right w:w="108" w:type="dxa"/>
            </w:tcMar>
            <w:vAlign w:val="center"/>
            <w:hideMark/>
          </w:tcPr>
          <w:p>
            <w:pPr>
              <w:spacing w:before="57" w:after="57" w:beforeAutospacing="0" w:afterAutospacing="0"/>
              <w:rPr>
                <w:rFonts w:ascii="Arial" w:hAnsi="Arial" w:cs="Arial"/>
                <w:bCs w:val="1"/>
                <w:lang w:val="en-GB"/>
              </w:rPr>
            </w:pPr>
            <w:r>
              <w:rPr>
                <w:rFonts w:ascii="Arial" w:hAnsi="Arial" w:cs="Arial"/>
                <w:bCs w:val="1"/>
                <w:lang w:val="en-GB"/>
              </w:rPr>
              <w:t>Date:</w:t>
            </w:r>
          </w:p>
        </w:tc>
        <w:tc>
          <w:tcPr>
            <w:tcW w:w="8395" w:type="dxa"/>
            <w:tcBorders>
              <w:top w:val="nil"/>
              <w:left w:val="nil"/>
              <w:bottom w:val="nil"/>
              <w:right w:val="nil"/>
            </w:tcBorders>
            <w:tcMar>
              <w:top w:w="30" w:type="dxa"/>
              <w:left w:w="75" w:type="dxa"/>
              <w:bottom w:w="30" w:type="dxa"/>
              <w:right w:w="75" w:type="dxa"/>
            </w:tcMar>
            <w:vAlign w:val="center"/>
            <w:hideMark/>
          </w:tcPr>
          <w:p>
            <w:pPr>
              <w:spacing w:before="57" w:after="57" w:beforeAutospacing="0" w:afterAutospacing="0"/>
              <w:rPr>
                <w:rFonts w:ascii="Arial" w:hAnsi="Arial" w:cs="Arial"/>
                <w:b w:val="1"/>
                <w:lang w:val="en-GB"/>
              </w:rPr>
            </w:pPr>
            <w:r>
              <w:rPr>
                <w:rFonts w:ascii="Arial" w:hAnsi="Arial" w:cs="Arial" w:eastAsia="Arial"/>
                <w:b w:val="1"/>
              </w:rPr>
              <w:t>16.08.2024</w:t>
            </w:r>
          </w:p>
        </w:tc>
      </w:tr>
    </w:tbl>
    <w:p>
      <w:pPr>
        <w:rPr>
          <w:rFonts w:ascii="Arial" w:hAnsi="Arial" w:cs="Arial"/>
          <w:szCs w:val="22"/>
          <w:lang w:val="en-GB" w:bidi="en-GB" w:eastAsia="en-GB"/>
        </w:rPr>
      </w:pPr>
      <w:bookmarkEnd w:id="2"/>
    </w:p>
    <w:p>
      <w:pPr>
        <w:spacing w:after="60" w:beforeAutospacing="0" w:afterAutospacing="0"/>
        <w:rPr>
          <w:rFonts w:ascii="Arial" w:hAnsi="Arial" w:cs="Arial"/>
          <w:bCs w:val="1"/>
          <w:lang w:val="en-GB"/>
        </w:rPr>
      </w:pPr>
      <w:bookmarkStart w:id="3" w:name="_Hlk184139189"/>
      <w:r>
        <w:rPr>
          <w:rFonts w:ascii="Arial" w:hAnsi="Arial" w:cs="Arial"/>
          <w:bCs w:val="1"/>
          <w:lang w:val="en-GB"/>
        </w:rPr>
        <w:t xml:space="preserve">The changes marked in </w:t>
      </w:r>
      <w:r>
        <w:rPr>
          <w:rFonts w:ascii="Arial" w:hAnsi="Arial" w:cs="Arial"/>
          <w:bCs w:val="1"/>
          <w:highlight w:val="green"/>
          <w:lang w:val="en-GB"/>
        </w:rPr>
        <w:t>green</w:t>
      </w:r>
      <w:r>
        <w:rPr>
          <w:rFonts w:ascii="Arial" w:hAnsi="Arial" w:cs="Arial"/>
          <w:bCs w:val="1"/>
          <w:lang w:val="en-GB"/>
        </w:rPr>
        <w:t xml:space="preserve"> in this Catalouge of Requirement (CoR) were decided in 2024 and are valid for all audits carried out from 01.01.2025.</w:t>
      </w:r>
    </w:p>
    <w:p>
      <w:pPr>
        <w:rPr>
          <w:rFonts w:ascii="Arial" w:hAnsi="Arial" w:cs="Arial"/>
          <w:szCs w:val="22"/>
          <w:lang w:val="en-GB" w:bidi="en-GB" w:eastAsia="en-GB"/>
        </w:rPr>
      </w:pPr>
      <w:bookmarkEnd w:id="3"/>
    </w:p>
    <w:p>
      <w:pPr>
        <w:tabs>
          <w:tab w:val="center" w:pos="4536" w:leader="none"/>
          <w:tab w:val="right" w:pos="9072" w:leader="none"/>
        </w:tabs>
        <w:rPr>
          <w:rFonts w:ascii="Arial" w:hAnsi="Arial" w:cs="Arial"/>
          <w:lang w:val="en-GB"/>
        </w:rPr>
      </w:pPr>
      <w:bookmarkStart w:id="4" w:name="_Hlk184139204"/>
      <w:r>
        <w:rPr>
          <w:rFonts w:ascii="Arial" w:hAnsi="Arial" w:cs="Arial"/>
          <w:lang w:val="en-GB"/>
        </w:rPr>
        <w:t>Incorporated:</w:t>
      </w:r>
    </w:p>
    <w:p>
      <w:pPr>
        <w:pStyle w:val="P10"/>
        <w:numPr>
          <w:ilvl w:val="0"/>
          <w:numId w:val="46"/>
        </w:numPr>
        <w:tabs>
          <w:tab w:val="num" w:pos="284" w:leader="none"/>
        </w:tabs>
        <w:outlineLvl w:val="0"/>
        <w:rPr>
          <w:rFonts w:ascii="Arial" w:hAnsi="Arial" w:cs="Arial"/>
          <w:szCs w:val="22"/>
          <w:lang w:val="en-GB" w:bidi="en-GB" w:eastAsia="en-GB"/>
        </w:rPr>
      </w:pPr>
      <w:bookmarkEnd w:id="4"/>
      <w:r>
        <w:rPr>
          <w:rFonts w:ascii="Arial" w:hAnsi="Arial" w:cs="Arial"/>
          <w:szCs w:val="22"/>
          <w:lang w:val="en-GB" w:bidi="en-GB" w:eastAsia="en-GB"/>
        </w:rPr>
        <w:t>Brief interdisciplinary DKG guidelines</w:t>
      </w:r>
    </w:p>
    <w:p>
      <w:pPr>
        <w:pStyle w:val="P10"/>
        <w:numPr>
          <w:ilvl w:val="0"/>
          <w:numId w:val="46"/>
        </w:numPr>
        <w:rPr>
          <w:rFonts w:ascii="Arial" w:hAnsi="Arial" w:cs="Arial"/>
          <w:szCs w:val="22"/>
          <w:lang w:val="en-GB" w:bidi="en-GB" w:eastAsia="en-GB"/>
        </w:rPr>
      </w:pPr>
      <w:r>
        <w:rPr>
          <w:rFonts w:ascii="Arial" w:hAnsi="Arial" w:cs="Arial"/>
          <w:szCs w:val="22"/>
          <w:lang w:val="en-GB" w:bidi="en-GB" w:eastAsia="en-GB"/>
        </w:rPr>
        <w:t>Neuro-oncological guidelines of the AWMF</w:t>
      </w:r>
    </w:p>
    <w:p>
      <w:pPr>
        <w:rPr>
          <w:rFonts w:ascii="Arial" w:hAnsi="Arial" w:cs="Arial"/>
          <w:szCs w:val="22"/>
          <w:lang w:val="en-GB" w:bidi="en-GB" w:eastAsia="en-GB"/>
        </w:rPr>
      </w:pPr>
    </w:p>
    <w:p>
      <w:pPr>
        <w:rPr>
          <w:rFonts w:ascii="Arial" w:hAnsi="Arial" w:cs="Arial"/>
          <w:sz w:val="12"/>
          <w:szCs w:val="10"/>
          <w:lang w:val="en-GB" w:bidi="en-GB" w:eastAsia="en-GB"/>
        </w:rPr>
      </w:pPr>
    </w:p>
    <w:p>
      <w:pPr>
        <w:rPr>
          <w:rFonts w:ascii="Arial" w:hAnsi="Arial" w:cs="Arial"/>
          <w:szCs w:val="22"/>
          <w:lang w:val="en-GB" w:bidi="en-GB" w:eastAsia="en-GB"/>
        </w:rPr>
      </w:pPr>
      <w:r>
        <w:rPr>
          <w:rFonts w:ascii="Arial" w:hAnsi="Arial" w:cs="Arial"/>
          <w:szCs w:val="22"/>
          <w:lang w:val="en-GB" w:bidi="en-GB" w:eastAsia="en-GB"/>
        </w:rPr>
        <w:t xml:space="preserve">The technical and medical requirements for organ-specific diagnostics and the treatment of neuro-oncological tumours within the </w:t>
      </w:r>
      <w:r>
        <w:rPr>
          <w:rFonts w:ascii="Arial" w:hAnsi="Arial" w:cs="Arial"/>
          <w:szCs w:val="22"/>
          <w:u w:val="single"/>
          <w:lang w:val="en-GB" w:bidi="en-GB" w:eastAsia="en-GB"/>
        </w:rPr>
        <w:t>Oncology Centres</w:t>
      </w:r>
      <w:r>
        <w:rPr>
          <w:rFonts w:ascii="Arial" w:hAnsi="Arial" w:cs="Arial"/>
          <w:szCs w:val="22"/>
          <w:lang w:val="en-GB" w:bidi="en-GB" w:eastAsia="en-GB"/>
        </w:rPr>
        <w:t xml:space="preserve"> are laid down in this module.</w:t>
      </w:r>
    </w:p>
    <w:p>
      <w:pPr>
        <w:rPr>
          <w:rFonts w:ascii="Arial" w:hAnsi="Arial" w:cs="Arial"/>
          <w:sz w:val="12"/>
          <w:szCs w:val="14"/>
          <w:lang w:val="en-GB" w:bidi="en-GB" w:eastAsia="en-GB"/>
        </w:rPr>
      </w:pPr>
    </w:p>
    <w:p>
      <w:pPr>
        <w:rPr>
          <w:rFonts w:ascii="Arial" w:hAnsi="Arial" w:cs="Arial"/>
          <w:szCs w:val="22"/>
          <w:lang w:val="en-GB" w:bidi="en-GB" w:eastAsia="en-GB"/>
        </w:rPr>
      </w:pPr>
      <w:r>
        <w:rPr>
          <w:rFonts w:ascii="Arial" w:hAnsi="Arial" w:cs="Arial"/>
          <w:szCs w:val="22"/>
          <w:lang w:val="en-GB" w:bidi="en-GB" w:eastAsia="en-GB"/>
        </w:rPr>
        <w:t>When the tumour entity described in the available module is part of the Oncology Centre, then the technical and medical requirements specified here are the basis for the certification of the Oncology Centre.</w:t>
      </w:r>
    </w:p>
    <w:p>
      <w:pPr>
        <w:rPr>
          <w:rFonts w:ascii="Arial" w:hAnsi="Arial" w:cs="Arial"/>
          <w:sz w:val="10"/>
          <w:szCs w:val="22"/>
          <w:lang w:val="en-GB" w:bidi="en-GB" w:eastAsia="en-GB"/>
        </w:rPr>
      </w:pPr>
    </w:p>
    <w:p>
      <w:pPr>
        <w:rPr>
          <w:rFonts w:ascii="Arial" w:hAnsi="Arial" w:cs="Arial"/>
          <w:szCs w:val="22"/>
          <w:lang w:val="en-GB" w:bidi="en-GB" w:eastAsia="en-GB"/>
        </w:rPr>
      </w:pPr>
      <w:r>
        <w:rPr>
          <w:rFonts w:ascii="Arial" w:hAnsi="Arial" w:cs="Arial"/>
          <w:szCs w:val="22"/>
          <w:lang w:val="en-GB" w:bidi="en-GB" w:eastAsia="en-GB"/>
        </w:rPr>
        <w:t xml:space="preserve">The Catalogue of Requirements is based on the TNM classification of malignant tumours, 8th edition 2017, the ICD classification ICD-O-3 2021 (DIMDI) and the OPS classification OPS 2023 (DIMDI). </w:t>
      </w:r>
    </w:p>
    <w:p>
      <w:pPr>
        <w:rPr>
          <w:rFonts w:ascii="Arial" w:hAnsi="Arial" w:cs="Arial"/>
          <w:sz w:val="15"/>
          <w:lang w:val="en-GB" w:bidi="en-GB" w:eastAsia="en-GB"/>
        </w:rPr>
      </w:pPr>
    </w:p>
    <w:p>
      <w:pPr>
        <w:rPr>
          <w:rFonts w:ascii="Arial" w:hAnsi="Arial" w:cs="Arial"/>
          <w:sz w:val="15"/>
          <w:szCs w:val="15"/>
          <w:lang w:val="en-GB" w:bidi="en-GB" w:eastAsia="en-GB"/>
        </w:rPr>
      </w:pPr>
    </w:p>
    <w:p>
      <w:pPr>
        <w:rPr>
          <w:rFonts w:ascii="Arial" w:hAnsi="Arial" w:cs="Arial"/>
          <w:sz w:val="15"/>
          <w:szCs w:val="15"/>
          <w:lang w:val="en-GB" w:bidi="en-GB" w:eastAsia="en-GB"/>
        </w:rPr>
      </w:pPr>
      <w:r>
        <w:rPr>
          <w:rFonts w:ascii="Arial" w:hAnsi="Arial" w:cs="Arial"/>
          <w:sz w:val="15"/>
          <w:szCs w:val="15"/>
          <w:lang w:val="en-GB" w:bidi="en-GB" w:eastAsia="en-GB"/>
        </w:rPr>
        <w:br w:type="page"/>
      </w:r>
    </w:p>
    <w:p>
      <w:pPr>
        <w:rPr>
          <w:rFonts w:ascii="Arial" w:hAnsi="Arial" w:cs="Arial"/>
          <w:sz w:val="15"/>
          <w:szCs w:val="15"/>
          <w:lang w:val="en-GB" w:bidi="en-GB" w:eastAsia="en-GB"/>
        </w:rPr>
      </w:pPr>
    </w:p>
    <w:p>
      <w:pPr>
        <w:rPr>
          <w:rFonts w:ascii="Arial" w:hAnsi="Arial" w:cs="Arial"/>
          <w:sz w:val="15"/>
          <w:szCs w:val="15"/>
          <w:lang w:val="en-GB" w:bidi="en-GB" w:eastAsia="en-GB"/>
        </w:rPr>
      </w:pPr>
    </w:p>
    <w:p>
      <w:pPr>
        <w:rPr>
          <w:rFonts w:ascii="Arial" w:hAnsi="Arial" w:cs="Arial"/>
          <w:sz w:val="2"/>
          <w:szCs w:val="2"/>
          <w:highlight w:val="cyan"/>
          <w:lang w:val="en-GB" w:bidi="en-GB" w:eastAsia="en-GB"/>
        </w:rPr>
      </w:pPr>
    </w:p>
    <w:p>
      <w:pPr>
        <w:rPr>
          <w:rFonts w:ascii="Arial" w:hAnsi="Arial" w:cs="Arial"/>
          <w:color w:val="000000"/>
          <w:lang w:val="en-GB" w:bidi="en-GB" w:eastAsia="en-GB"/>
        </w:rPr>
      </w:pPr>
      <w:r>
        <w:rPr>
          <w:rFonts w:ascii="Arial" w:hAnsi="Arial" w:cs="Arial"/>
          <w:b w:val="1"/>
          <w:lang w:val="en-GB"/>
        </w:rPr>
        <w:t xml:space="preserve">Information on the </w:t>
      </w:r>
      <w:r>
        <w:rPr>
          <w:rFonts w:ascii="Arial" w:hAnsi="Arial" w:cs="Arial"/>
          <w:b w:val="1"/>
          <w:lang w:val="en-GB" w:bidi="en-GB" w:eastAsia="en-GB"/>
        </w:rPr>
        <w:t>Neuro-oncology Centre (MNOC)</w:t>
      </w:r>
    </w:p>
    <w:p>
      <w:pPr>
        <w:rPr>
          <w:rFonts w:ascii="Arial" w:hAnsi="Arial" w:cs="Arial"/>
          <w:lang w:val="en-GB" w:bidi="en-GB" w:eastAsia="en-GB"/>
        </w:rPr>
      </w:pPr>
    </w:p>
    <w:p>
      <w:pPr>
        <w:tabs>
          <w:tab w:val="center" w:pos="4536" w:leader="none"/>
          <w:tab w:val="right" w:pos="9072" w:leader="none"/>
        </w:tabs>
        <w:rPr>
          <w:rFonts w:ascii="Arial" w:hAnsi="Arial" w:cs="Arial"/>
          <w:lang w:val="en-GB"/>
        </w:rPr>
      </w:pPr>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5" w:name="_Hlk184140220" w:colFirst="0" w:colLast="1"/>
            <w:r>
              <w:rPr>
                <w:rFonts w:ascii="Arial" w:hAnsi="Arial" w:cs="Arial"/>
                <w:lang w:val="en-GB"/>
              </w:rPr>
              <w:t xml:space="preserve">Centre </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rPr>
                <w:lang w:val="en-GB"/>
              </w:rPr>
            </w:pPr>
            <w:r>
              <w:rPr>
                <w:rFonts w:ascii="Arial" w:hAnsi="Arial" w:cs="Arial"/>
                <w:lang w:val="en-GB"/>
              </w:rPr>
              <w:t>Director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lang w:val="en-GB"/>
              </w:rPr>
            </w:pPr>
          </w:p>
        </w:tc>
      </w:tr>
      <w:tr>
        <w:trPr>
          <w:trHeight w:hRule="atLeast" w:val="335"/>
          <w:tblCellSpacing w:w="15" w:type="dxa"/>
        </w:trPr>
        <w:tc>
          <w:tcPr>
            <w:tcW w:w="3255"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rPr>
              <w:t>Coordinator of the Centre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tabs>
          <w:tab w:val="center" w:pos="4536" w:leader="none"/>
          <w:tab w:val="right" w:pos="9072" w:leader="none"/>
        </w:tabs>
        <w:rPr>
          <w:rFonts w:ascii="Arial" w:hAnsi="Arial" w:cs="Arial"/>
          <w:lang w:val="en-GB"/>
        </w:rPr>
      </w:pPr>
      <w:bookmarkEnd w:id="5"/>
    </w:p>
    <w:tbl>
      <w:tblPr>
        <w:tblW w:w="0" w:type="auto"/>
        <w:tblCellSpacing w:w="15" w:type="dxa"/>
        <w:tblBorders>
          <w:top w:val="none" w:sz="0" w:space="0" w:shadow="0" w:frame="0" w:color="000000"/>
          <w:left w:val="none" w:sz="0" w:space="0" w:shadow="0" w:frame="0" w:color="000000"/>
          <w:bottom w:val="none" w:sz="0" w:space="0" w:shadow="0" w:frame="0" w:color="000000"/>
          <w:right w:val="none" w:sz="0" w:space="0" w:shadow="0" w:frame="0" w:color="000000"/>
        </w:tblBorders>
        <w:tblCellMar>
          <w:top w:w="15" w:type="dxa"/>
          <w:left w:w="15" w:type="dxa"/>
          <w:bottom w:w="15" w:type="dxa"/>
          <w:right w:w="15" w:type="dxa"/>
        </w:tblCellMar>
        <w:tblLook w:val="04A0"/>
      </w:tblPr>
      <w:tblGrid/>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bookmarkStart w:id="6" w:name="_Hlk184137067" w:colFirst="0" w:colLast="1"/>
            <w:r>
              <w:rPr>
                <w:rFonts w:ascii="Arial" w:hAnsi="Arial" w:cs="Arial"/>
                <w:lang w:val="en-GB"/>
              </w:rPr>
              <w:t>Clinical site 1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r>
        <w:trPr>
          <w:tblCellSpacing w:w="15" w:type="dxa"/>
        </w:trPr>
        <w:tc>
          <w:tcPr>
            <w:tcW w:w="3270" w:type="dxa"/>
            <w:tcMar>
              <w:top w:w="0" w:type="dxa"/>
              <w:left w:w="70" w:type="dxa"/>
              <w:bottom w:w="0" w:type="dxa"/>
              <w:right w:w="70" w:type="dxa"/>
            </w:tcMar>
            <w:vAlign w:val="center"/>
            <w:hideMark/>
          </w:tcPr>
          <w:p>
            <w:pPr>
              <w:spacing w:before="57" w:after="57" w:beforeAutospacing="0" w:afterAutospacing="0"/>
            </w:pPr>
          </w:p>
        </w:tc>
        <w:tc>
          <w:tcPr>
            <w:tcW w:w="5055" w:type="dxa"/>
            <w:tcBorders>
              <w:top w:val="nil"/>
              <w:left w:val="nil"/>
              <w:bottom w:val="nil"/>
              <w:right w:val="nil"/>
            </w:tcBorders>
            <w:tcMar>
              <w:top w:w="0" w:type="dxa"/>
              <w:left w:w="70" w:type="dxa"/>
              <w:bottom w:w="0" w:type="dxa"/>
              <w:right w:w="70" w:type="dxa"/>
            </w:tcMar>
            <w:vAlign w:val="center"/>
            <w:hideMark/>
          </w:tcPr>
          <w:p>
            <w:pPr>
              <w:spacing w:before="57" w:after="57" w:beforeAutospacing="0" w:afterAutospacing="0"/>
            </w:pPr>
          </w:p>
        </w:tc>
      </w:tr>
      <w:tr>
        <w:trPr>
          <w:trHeight w:hRule="atLeast" w:val="335"/>
          <w:tblCellSpacing w:w="15" w:type="dxa"/>
        </w:trPr>
        <w:tc>
          <w:tcPr>
            <w:tcW w:w="3270" w:type="dxa"/>
            <w:tcBorders>
              <w:top w:val="nil"/>
              <w:left w:val="nil"/>
              <w:bottom w:val="nil"/>
              <w:right w:val="nil"/>
            </w:tcBorders>
            <w:tcMar>
              <w:top w:w="0" w:type="dxa"/>
              <w:left w:w="60" w:type="dxa"/>
              <w:bottom w:w="0" w:type="dxa"/>
              <w:right w:w="60" w:type="dxa"/>
            </w:tcMar>
            <w:vAlign w:val="center"/>
            <w:hideMark/>
          </w:tcPr>
          <w:p>
            <w:pPr>
              <w:spacing w:before="57" w:after="57" w:beforeAutospacing="0" w:afterAutospacing="0"/>
            </w:pPr>
            <w:r>
              <w:rPr>
                <w:rFonts w:ascii="Arial" w:hAnsi="Arial" w:cs="Arial"/>
                <w:lang w:val="en-GB"/>
              </w:rPr>
              <w:t>Clinical site 2 (hospital/place)</w:t>
            </w:r>
          </w:p>
        </w:tc>
        <w:tc>
          <w:tcPr>
            <w:tcW w:w="5055"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60" w:type="dxa"/>
              <w:bottom w:w="0" w:type="dxa"/>
              <w:right w:w="60" w:type="dxa"/>
            </w:tcMar>
            <w:vAlign w:val="center"/>
            <w:hideMark/>
          </w:tcPr>
          <w:p>
            <w:pPr>
              <w:spacing w:before="57" w:after="57" w:beforeAutospacing="0" w:afterAutospacing="0"/>
              <w:rPr>
                <w:sz w:val="24"/>
              </w:rPr>
            </w:pPr>
          </w:p>
        </w:tc>
      </w:tr>
    </w:tbl>
    <w:p>
      <w:pPr>
        <w:rPr>
          <w:rFonts w:ascii="Arial" w:hAnsi="Arial" w:cs="Arial"/>
          <w:b w:val="1"/>
          <w:bCs w:val="1"/>
          <w:lang w:val="en-GB" w:bidi="en-GB" w:eastAsia="en-GB"/>
        </w:rPr>
      </w:pPr>
      <w:bookmarkEnd w:id="6"/>
    </w:p>
    <w:p>
      <w:pPr>
        <w:rPr>
          <w:rFonts w:ascii="Arial" w:hAnsi="Arial" w:cs="Arial" w:eastAsia="Calibri"/>
          <w:highlight w:val="yellow"/>
          <w:lang w:val="en-GB" w:bidi="en-GB" w:eastAsia="en-GB"/>
        </w:rPr>
      </w:pPr>
    </w:p>
    <w:p>
      <w:pPr>
        <w:outlineLvl w:val="0"/>
        <w:rPr>
          <w:rFonts w:ascii="Arial" w:hAnsi="Arial" w:cs="Arial"/>
          <w:b w:val="1"/>
          <w:lang w:val="en-GB" w:bidi="en-GB" w:eastAsia="en-GB"/>
        </w:rPr>
      </w:pPr>
    </w:p>
    <w:p>
      <w:pPr>
        <w:outlineLvl w:val="0"/>
        <w:rPr>
          <w:rFonts w:ascii="Arial" w:hAnsi="Arial" w:cs="Arial"/>
          <w:lang w:val="en-GB" w:bidi="en-GB" w:eastAsia="en-GB"/>
        </w:rPr>
      </w:pPr>
      <w:r>
        <w:rPr>
          <w:rFonts w:ascii="Arial" w:hAnsi="Arial" w:cs="Arial"/>
          <w:b w:val="1"/>
          <w:lang w:val="en-GB" w:bidi="en-GB" w:eastAsia="en-GB"/>
        </w:rPr>
        <w:t xml:space="preserve">Network/Main cooperation partners </w:t>
      </w:r>
    </w:p>
    <w:p>
      <w:pPr>
        <w:rPr>
          <w:rFonts w:ascii="Arial" w:hAnsi="Arial" w:cs="Arial"/>
          <w:sz w:val="12"/>
          <w:szCs w:val="12"/>
          <w:lang w:val="en-GB" w:bidi="en-GB" w:eastAsia="en-GB"/>
        </w:rPr>
      </w:pPr>
    </w:p>
    <w:p>
      <w:pPr>
        <w:rPr>
          <w:rFonts w:ascii="Arial" w:hAnsi="Arial" w:cs="Arial"/>
          <w:lang w:val="en-GB" w:bidi="en-GB" w:eastAsia="en-GB"/>
        </w:rPr>
      </w:pPr>
      <w:r>
        <w:rPr>
          <w:rFonts w:ascii="Arial" w:hAnsi="Arial" w:cs="Arial"/>
          <w:lang w:val="en-GB" w:bidi="en-GB" w:eastAsia="en-GB"/>
        </w:rPr>
        <w:t xml:space="preserve">The Centre's cooperation partners are registered in a master data sheet with the certification agency OnkoZert. The details in the master data sheet are published on </w:t>
      </w:r>
      <w:hyperlink xmlns:r="http://schemas.openxmlformats.org/officeDocument/2006/relationships" r:id="R2">
        <w:r>
          <w:rPr>
            <w:rFonts w:ascii="Arial" w:hAnsi="Arial" w:cs="Arial"/>
            <w:color w:val="0000FF"/>
            <w:u w:val="single"/>
            <w:lang w:val="en-GB" w:bidi="en-GB" w:eastAsia="en-GB"/>
          </w:rPr>
          <w:t>www.oncomap.de</w:t>
        </w:r>
      </w:hyperlink>
      <w:r>
        <w:rPr>
          <w:rFonts w:ascii="Arial" w:hAnsi="Arial" w:cs="Arial"/>
          <w:lang w:val="en-GB" w:bidi="en-GB" w:eastAsia="en-GB"/>
        </w:rPr>
        <w:t>. Any new or no longer valid cooperation is to be notified immediately to OnkoZert, outside the certification period, too. Other updates (e.g. changes to the head, contact data) must be corrected in the master data sheet prior to the annual surveillance audit. The master data sheet with the registered cooperation partners can be requested from OnkoZert as a file.</w:t>
      </w:r>
    </w:p>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br w:type="page"/>
      </w:r>
    </w:p>
    <w:p>
      <w:pPr>
        <w:rPr>
          <w:rFonts w:ascii="Arial" w:hAnsi="Arial" w:cs="Arial"/>
          <w:lang w:val="en-GB" w:bidi="en-GB" w:eastAsia="en-GB"/>
        </w:rPr>
      </w:pPr>
    </w:p>
    <w:p>
      <w:pPr>
        <w:rPr>
          <w:rFonts w:ascii="Arial" w:hAnsi="Arial" w:cs="Arial"/>
          <w:b w:val="1"/>
          <w:lang w:val="en-GB" w:bidi="en-GB" w:eastAsia="en-GB"/>
        </w:rPr>
      </w:pPr>
      <w:r>
        <w:rPr>
          <w:rFonts w:ascii="Arial" w:hAnsi="Arial" w:cs="Arial"/>
          <w:b w:val="1"/>
          <w:lang w:val="en-GB" w:bidi="en-GB" w:eastAsia="en-GB"/>
        </w:rPr>
        <w:t>Table of Contents</w:t>
      </w:r>
    </w:p>
    <w:p>
      <w:pPr>
        <w:rPr>
          <w:rFonts w:ascii="Arial" w:hAnsi="Arial" w:cs="Arial"/>
          <w:lang w:val="en-GB" w:bidi="en-GB" w:eastAsia="en-GB"/>
        </w:rPr>
      </w:pPr>
    </w:p>
    <w:p>
      <w:pPr>
        <w:rPr>
          <w:rFonts w:ascii="Arial" w:hAnsi="Arial" w:cs="Arial"/>
          <w:lang w:val="en-GB" w:bidi="en-GB" w:eastAsia="en-GB"/>
        </w:rPr>
      </w:pPr>
    </w:p>
    <w:p>
      <w:pPr>
        <w:tabs>
          <w:tab w:val="left" w:pos="993" w:leader="none"/>
        </w:tabs>
        <w:spacing w:lineRule="auto" w:line="360" w:after="20" w:beforeAutospacing="0" w:afterAutospacing="0"/>
        <w:rPr>
          <w:rFonts w:ascii="Arial" w:hAnsi="Arial" w:cs="Arial"/>
          <w:lang w:val="en-GB" w:bidi="en-GB" w:eastAsia="en-GB"/>
        </w:rPr>
      </w:pPr>
      <w:r>
        <w:rPr>
          <w:rFonts w:ascii="Arial" w:hAnsi="Arial" w:cs="Arial"/>
          <w:lang w:val="en-GB" w:bidi="en-GB" w:eastAsia="en-GB"/>
        </w:rPr>
        <w:t>1</w:t>
        <w:tab/>
        <w:t>General Details of the Centre</w:t>
      </w:r>
    </w:p>
    <w:p>
      <w:pPr>
        <w:tabs>
          <w:tab w:val="left" w:pos="993" w:leader="none"/>
          <w:tab w:val="left" w:pos="1418" w:leader="none"/>
        </w:tabs>
        <w:spacing w:after="60" w:beforeAutospacing="0" w:afterAutospacing="0"/>
        <w:rPr>
          <w:rFonts w:ascii="Arial" w:hAnsi="Arial" w:cs="Arial"/>
          <w:lang w:val="en-GB" w:bidi="en-GB" w:eastAsia="en-GB"/>
        </w:rPr>
      </w:pPr>
      <w:r>
        <w:rPr>
          <w:rFonts w:ascii="Arial" w:hAnsi="Arial" w:cs="Arial"/>
          <w:lang w:val="en-GB" w:bidi="en-GB" w:eastAsia="en-GB"/>
        </w:rPr>
        <w:tab/>
        <w:t xml:space="preserve">1.1 </w:t>
        <w:tab/>
        <w:t>Structure of the network</w:t>
      </w:r>
    </w:p>
    <w:p>
      <w:pPr>
        <w:tabs>
          <w:tab w:val="left" w:pos="1418" w:leader="none"/>
          <w:tab w:val="left" w:pos="2552" w:leader="none"/>
        </w:tabs>
        <w:spacing w:after="60" w:beforeAutospacing="0" w:afterAutospacing="0"/>
        <w:ind w:hanging="6" w:left="998"/>
        <w:rPr>
          <w:rFonts w:ascii="Arial" w:hAnsi="Arial" w:cs="Arial"/>
          <w:lang w:val="en-GB" w:bidi="en-GB" w:eastAsia="en-GB"/>
        </w:rPr>
      </w:pPr>
      <w:r>
        <w:rPr>
          <w:rFonts w:ascii="Arial" w:hAnsi="Arial" w:cs="Arial"/>
          <w:lang w:val="en-GB" w:bidi="en-GB" w:eastAsia="en-GB"/>
        </w:rPr>
        <w:t>1.2</w:t>
        <w:tab/>
        <w:t>Interdisciplinary cooperation</w:t>
      </w:r>
    </w:p>
    <w:p>
      <w:pPr>
        <w:numPr>
          <w:ilvl w:val="1"/>
          <w:numId w:val="3"/>
        </w:numPr>
        <w:tabs>
          <w:tab w:val="left" w:pos="1418" w:leader="none"/>
          <w:tab w:val="left" w:pos="2694" w:leader="none"/>
        </w:tabs>
        <w:spacing w:after="60" w:beforeAutospacing="0" w:afterAutospacing="0"/>
        <w:ind w:hanging="6" w:left="998"/>
        <w:rPr>
          <w:rFonts w:ascii="Arial" w:hAnsi="Arial" w:cs="Arial"/>
          <w:lang w:val="en-GB" w:bidi="en-GB" w:eastAsia="en-GB"/>
        </w:rPr>
      </w:pPr>
      <w:r>
        <w:rPr>
          <w:rFonts w:ascii="Arial" w:hAnsi="Arial" w:cs="Arial"/>
          <w:lang w:val="en-GB" w:bidi="en-GB" w:eastAsia="en-GB"/>
        </w:rPr>
        <w:t>Cooperation with referring physicians and provider of aftercare treatment</w:t>
      </w:r>
    </w:p>
    <w:p>
      <w:pPr>
        <w:tabs>
          <w:tab w:val="left" w:pos="1418" w:leader="none"/>
        </w:tabs>
        <w:spacing w:after="60" w:beforeAutospacing="0" w:afterAutospacing="0"/>
        <w:ind w:left="990"/>
        <w:rPr>
          <w:rFonts w:ascii="Arial" w:hAnsi="Arial" w:cs="Arial"/>
          <w:lang w:val="en-GB" w:bidi="en-GB" w:eastAsia="en-GB"/>
        </w:rPr>
      </w:pPr>
      <w:r>
        <w:rPr>
          <w:rFonts w:ascii="Arial" w:hAnsi="Arial" w:cs="Arial"/>
          <w:lang w:val="en-GB" w:bidi="en-GB" w:eastAsia="en-GB"/>
        </w:rPr>
        <w:t>1.4</w:t>
        <w:tab/>
        <w:t>Psycho-oncology</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Social work and rehabilitation</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Patient involvement</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 xml:space="preserve">Study management </w:t>
      </w:r>
    </w:p>
    <w:p>
      <w:pPr>
        <w:numPr>
          <w:ilvl w:val="1"/>
          <w:numId w:val="2"/>
        </w:numPr>
        <w:spacing w:after="60" w:beforeAutospacing="0" w:afterAutospacing="0"/>
        <w:rPr>
          <w:rFonts w:ascii="Arial" w:hAnsi="Arial" w:cs="Arial"/>
          <w:lang w:val="en-GB" w:bidi="en-GB" w:eastAsia="en-GB"/>
        </w:rPr>
      </w:pPr>
      <w:r>
        <w:rPr>
          <w:rFonts w:ascii="Arial" w:hAnsi="Arial" w:cs="Arial"/>
          <w:lang w:val="en-GB" w:bidi="en-GB" w:eastAsia="en-GB"/>
        </w:rPr>
        <w:t>Nursing care</w:t>
      </w:r>
    </w:p>
    <w:p>
      <w:pPr>
        <w:numPr>
          <w:ilvl w:val="1"/>
          <w:numId w:val="2"/>
        </w:numPr>
        <w:rPr>
          <w:rFonts w:ascii="Arial" w:hAnsi="Arial" w:cs="Arial"/>
          <w:lang w:val="en-GB" w:bidi="en-GB" w:eastAsia="en-GB"/>
        </w:rPr>
      </w:pPr>
      <w:r>
        <w:rPr>
          <w:rFonts w:ascii="Arial" w:hAnsi="Arial" w:cs="Arial"/>
          <w:lang w:val="en-GB" w:bidi="en-GB" w:eastAsia="en-GB"/>
        </w:rPr>
        <w:t>General service areas (pharmacy, nutritional counselling, speech therapy,...)</w:t>
      </w:r>
    </w:p>
    <w:p>
      <w:pPr>
        <w:rPr>
          <w:rFonts w:ascii="Arial" w:hAnsi="Arial" w:cs="Arial"/>
          <w:lang w:val="en-GB" w:bidi="en-GB" w:eastAsia="en-GB"/>
        </w:rPr>
      </w:pPr>
    </w:p>
    <w:p>
      <w:pPr>
        <w:numPr>
          <w:ilvl w:val="0"/>
          <w:numId w:val="1"/>
        </w:numPr>
        <w:tabs>
          <w:tab w:val="left" w:pos="5655" w:leader="none"/>
        </w:tabs>
        <w:spacing w:lineRule="auto" w:line="360" w:after="20" w:beforeAutospacing="0" w:afterAutospacing="0"/>
        <w:ind w:hanging="992" w:left="992"/>
        <w:rPr>
          <w:rFonts w:ascii="Arial" w:hAnsi="Arial" w:cs="Arial"/>
          <w:lang w:val="en-GB" w:bidi="en-GB" w:eastAsia="en-GB"/>
        </w:rPr>
      </w:pPr>
      <w:r>
        <w:rPr>
          <w:rFonts w:ascii="Arial" w:hAnsi="Arial" w:cs="Arial"/>
          <w:lang w:val="en-GB" w:bidi="en-GB" w:eastAsia="en-GB"/>
        </w:rPr>
        <w:t xml:space="preserve">Organ-specific Diagnostics </w:t>
      </w:r>
    </w:p>
    <w:p>
      <w:pPr>
        <w:numPr>
          <w:ilvl w:val="1"/>
          <w:numId w:val="1"/>
        </w:numPr>
        <w:tabs>
          <w:tab w:val="left" w:pos="1418" w:leader="none"/>
        </w:tabs>
        <w:spacing w:lineRule="auto" w:line="360" w:after="20" w:beforeAutospacing="0" w:afterAutospacing="0"/>
        <w:ind w:firstLine="3"/>
        <w:rPr>
          <w:rFonts w:ascii="Arial" w:hAnsi="Arial" w:cs="Arial"/>
          <w:lang w:val="en-GB" w:bidi="en-GB" w:eastAsia="en-GB"/>
        </w:rPr>
      </w:pPr>
      <w:r>
        <w:rPr>
          <w:rFonts w:ascii="Arial" w:hAnsi="Arial" w:cs="Arial"/>
          <w:lang w:val="en-GB" w:bidi="en-GB" w:eastAsia="en-GB"/>
        </w:rPr>
        <w:t>Consulting hours</w:t>
      </w:r>
    </w:p>
    <w:p>
      <w:pPr>
        <w:numPr>
          <w:ilvl w:val="1"/>
          <w:numId w:val="1"/>
        </w:numPr>
        <w:tabs>
          <w:tab w:val="left" w:pos="1418" w:leader="none"/>
        </w:tabs>
        <w:spacing w:lineRule="auto" w:line="360" w:after="20" w:beforeAutospacing="0" w:afterAutospacing="0"/>
        <w:ind w:firstLine="3"/>
        <w:rPr>
          <w:rFonts w:ascii="Arial" w:hAnsi="Arial" w:cs="Arial"/>
          <w:lang w:val="en-GB" w:bidi="en-GB" w:eastAsia="en-GB"/>
        </w:rPr>
      </w:pPr>
      <w:r>
        <w:rPr>
          <w:rFonts w:ascii="Arial" w:hAnsi="Arial" w:cs="Arial"/>
          <w:lang w:val="en-GB" w:bidi="en-GB" w:eastAsia="en-GB"/>
        </w:rPr>
        <w:t>Diagnostics</w:t>
      </w:r>
    </w:p>
    <w:p>
      <w:pPr>
        <w:rPr>
          <w:rFonts w:ascii="Arial" w:hAnsi="Arial" w:cs="Arial"/>
          <w:lang w:val="en-GB" w:bidi="en-GB" w:eastAsia="en-GB"/>
        </w:rPr>
      </w:pPr>
    </w:p>
    <w:p>
      <w:pPr>
        <w:numPr>
          <w:ilvl w:val="0"/>
          <w:numId w:val="1"/>
        </w:numPr>
        <w:tabs>
          <w:tab w:val="left" w:pos="5655" w:leader="none"/>
        </w:tabs>
        <w:spacing w:lineRule="auto" w:line="360" w:after="20" w:beforeAutospacing="0" w:afterAutospacing="0"/>
        <w:ind w:hanging="992" w:left="992"/>
        <w:rPr>
          <w:rFonts w:ascii="Arial" w:hAnsi="Arial" w:cs="Arial"/>
          <w:lang w:val="en-GB" w:bidi="en-GB" w:eastAsia="en-GB"/>
        </w:rPr>
      </w:pPr>
      <w:r>
        <w:rPr>
          <w:rFonts w:ascii="Arial" w:hAnsi="Arial" w:cs="Arial"/>
          <w:lang w:val="en-GB" w:bidi="en-GB" w:eastAsia="en-GB"/>
        </w:rPr>
        <w:t>Radiology</w:t>
      </w:r>
    </w:p>
    <w:p>
      <w:pPr>
        <w:rPr>
          <w:rFonts w:ascii="Arial" w:hAnsi="Arial" w:cs="Arial"/>
          <w:lang w:val="en-GB" w:bidi="en-GB" w:eastAsia="en-GB"/>
        </w:rPr>
      </w:pPr>
    </w:p>
    <w:p>
      <w:pPr>
        <w:numPr>
          <w:ilvl w:val="0"/>
          <w:numId w:val="1"/>
        </w:numPr>
        <w:tabs>
          <w:tab w:val="left" w:pos="5655" w:leader="none"/>
        </w:tabs>
        <w:spacing w:lineRule="auto" w:line="360" w:after="20" w:beforeAutospacing="0" w:afterAutospacing="0"/>
        <w:ind w:hanging="992" w:left="992"/>
        <w:rPr>
          <w:rFonts w:ascii="Arial" w:hAnsi="Arial" w:cs="Arial"/>
          <w:lang w:val="en-GB" w:bidi="en-GB" w:eastAsia="en-GB"/>
        </w:rPr>
      </w:pPr>
      <w:r>
        <w:rPr>
          <w:rFonts w:ascii="Arial" w:hAnsi="Arial" w:cs="Arial"/>
          <w:lang w:val="en-GB" w:bidi="en-GB" w:eastAsia="en-GB"/>
        </w:rPr>
        <w:t>Nuclear Medicine</w:t>
      </w:r>
    </w:p>
    <w:p>
      <w:pPr>
        <w:rPr>
          <w:rFonts w:ascii="Arial" w:hAnsi="Arial" w:cs="Arial"/>
          <w:lang w:val="en-GB" w:bidi="en-GB" w:eastAsia="en-GB"/>
        </w:rPr>
      </w:pPr>
    </w:p>
    <w:p>
      <w:pPr>
        <w:numPr>
          <w:ilvl w:val="0"/>
          <w:numId w:val="1"/>
        </w:numPr>
        <w:spacing w:after="60" w:beforeAutospacing="0" w:afterAutospacing="0"/>
        <w:rPr>
          <w:rFonts w:ascii="Arial" w:hAnsi="Arial" w:cs="Arial"/>
          <w:lang w:val="en-GB" w:bidi="en-GB" w:eastAsia="en-GB"/>
        </w:rPr>
      </w:pPr>
      <w:r>
        <w:rPr>
          <w:rFonts w:ascii="Arial" w:hAnsi="Arial" w:cs="Arial"/>
          <w:lang w:val="en-GB" w:bidi="en-GB" w:eastAsia="en-GB"/>
        </w:rPr>
        <w:t>Surgical Oncology</w:t>
      </w:r>
    </w:p>
    <w:p>
      <w:pPr>
        <w:rPr>
          <w:rFonts w:ascii="Arial" w:hAnsi="Arial" w:cs="Arial"/>
          <w:lang w:val="en-GB" w:bidi="en-GB" w:eastAsia="en-GB"/>
        </w:rPr>
      </w:pPr>
    </w:p>
    <w:p>
      <w:pPr>
        <w:tabs>
          <w:tab w:val="left" w:pos="1418" w:leader="none"/>
        </w:tabs>
        <w:spacing w:lineRule="auto" w:line="276" w:beforeAutospacing="0" w:afterAutospacing="0"/>
        <w:ind w:left="993"/>
        <w:rPr>
          <w:rFonts w:ascii="Arial" w:hAnsi="Arial" w:cs="Arial"/>
          <w:lang w:val="en-GB" w:bidi="en-GB" w:eastAsia="en-GB"/>
        </w:rPr>
      </w:pPr>
      <w:r>
        <w:rPr>
          <w:rFonts w:ascii="Arial" w:hAnsi="Arial" w:cs="Arial"/>
          <w:lang w:val="en-GB" w:bidi="en-GB" w:eastAsia="en-GB"/>
        </w:rPr>
        <w:t>5.1</w:t>
        <w:tab/>
        <w:t>Cross-organ surgical therapy</w:t>
      </w:r>
    </w:p>
    <w:p>
      <w:pPr>
        <w:numPr>
          <w:ilvl w:val="1"/>
          <w:numId w:val="17"/>
        </w:numPr>
        <w:tabs>
          <w:tab w:val="left" w:pos="1418" w:leader="none"/>
        </w:tabs>
        <w:spacing w:after="60" w:beforeAutospacing="0" w:afterAutospacing="0"/>
        <w:ind w:firstLine="0" w:left="993"/>
        <w:rPr>
          <w:rFonts w:ascii="Arial" w:hAnsi="Arial" w:cs="Arial"/>
          <w:lang w:val="en-GB" w:bidi="en-GB" w:eastAsia="en-GB"/>
        </w:rPr>
      </w:pPr>
      <w:r>
        <w:rPr>
          <w:rFonts w:ascii="Arial" w:hAnsi="Arial" w:cs="Arial"/>
          <w:lang w:val="en-GB" w:bidi="en-GB" w:eastAsia="en-GB"/>
        </w:rPr>
        <w:t>Organ-specific surgical therapy</w:t>
      </w:r>
    </w:p>
    <w:p>
      <w:pPr>
        <w:rPr>
          <w:rFonts w:ascii="Arial" w:hAnsi="Arial" w:cs="Arial"/>
          <w:lang w:val="en-GB" w:bidi="en-GB" w:eastAsia="en-GB"/>
        </w:rPr>
      </w:pPr>
    </w:p>
    <w:p>
      <w:pPr>
        <w:numPr>
          <w:ilvl w:val="0"/>
          <w:numId w:val="1"/>
        </w:numPr>
        <w:tabs>
          <w:tab w:val="left" w:pos="5655" w:leader="none"/>
        </w:tabs>
        <w:spacing w:lineRule="auto" w:line="360" w:after="20" w:beforeAutospacing="0" w:afterAutospacing="0"/>
        <w:rPr>
          <w:rFonts w:ascii="Arial" w:hAnsi="Arial" w:cs="Arial"/>
          <w:lang w:val="en-GB" w:bidi="en-GB" w:eastAsia="en-GB"/>
        </w:rPr>
      </w:pPr>
      <w:r>
        <w:rPr>
          <w:rFonts w:ascii="Arial" w:hAnsi="Arial" w:cs="Arial"/>
          <w:lang w:val="en-GB" w:bidi="en-GB" w:eastAsia="en-GB"/>
        </w:rPr>
        <w:t xml:space="preserve">Medicinal Oncology/ Systemic therapy </w:t>
      </w:r>
    </w:p>
    <w:p>
      <w:pPr>
        <w:numPr>
          <w:ilvl w:val="1"/>
          <w:numId w:val="1"/>
        </w:numPr>
        <w:tabs>
          <w:tab w:val="left" w:pos="1418" w:leader="none"/>
        </w:tabs>
        <w:spacing w:lineRule="auto" w:line="360" w:after="20" w:beforeAutospacing="0" w:afterAutospacing="0"/>
        <w:ind w:firstLine="6" w:left="992"/>
        <w:rPr>
          <w:rFonts w:ascii="Arial" w:hAnsi="Arial" w:cs="Arial"/>
          <w:lang w:val="en-GB" w:bidi="en-GB" w:eastAsia="en-GB"/>
        </w:rPr>
      </w:pPr>
      <w:r>
        <w:rPr>
          <w:rFonts w:ascii="Arial" w:hAnsi="Arial" w:cs="Arial"/>
          <w:lang w:val="en-GB" w:bidi="en-GB" w:eastAsia="en-GB"/>
        </w:rPr>
        <w:t>Medical oncology</w:t>
      </w:r>
    </w:p>
    <w:p>
      <w:pPr>
        <w:numPr>
          <w:ilvl w:val="1"/>
          <w:numId w:val="1"/>
        </w:numPr>
        <w:tabs>
          <w:tab w:val="left" w:pos="1418" w:leader="none"/>
        </w:tabs>
        <w:spacing w:lineRule="auto" w:line="360" w:after="20" w:beforeAutospacing="0" w:afterAutospacing="0"/>
        <w:ind w:firstLine="3"/>
        <w:rPr>
          <w:rFonts w:ascii="Arial" w:hAnsi="Arial" w:cs="Arial"/>
          <w:lang w:val="en-GB" w:bidi="en-GB" w:eastAsia="en-GB"/>
        </w:rPr>
      </w:pPr>
      <w:r>
        <w:rPr>
          <w:rFonts w:ascii="Arial" w:hAnsi="Arial" w:cs="Arial"/>
          <w:lang w:val="en-GB" w:bidi="en-GB" w:eastAsia="en-GB"/>
        </w:rPr>
        <w:t>Organ-specific systemic therapy</w:t>
      </w:r>
    </w:p>
    <w:p>
      <w:pPr>
        <w:rPr>
          <w:rFonts w:ascii="Arial" w:hAnsi="Arial" w:cs="Arial"/>
          <w:lang w:val="en-GB" w:bidi="en-GB" w:eastAsia="en-GB"/>
        </w:rPr>
      </w:pPr>
    </w:p>
    <w:p>
      <w:pPr>
        <w:numPr>
          <w:ilvl w:val="0"/>
          <w:numId w:val="1"/>
        </w:numPr>
        <w:tabs>
          <w:tab w:val="left" w:pos="5655" w:leader="none"/>
        </w:tabs>
        <w:spacing w:after="60" w:beforeAutospacing="0" w:afterAutospacing="0"/>
        <w:rPr>
          <w:rFonts w:ascii="Arial" w:hAnsi="Arial" w:cs="Arial"/>
          <w:lang w:val="en-GB" w:bidi="en-GB" w:eastAsia="en-GB"/>
        </w:rPr>
      </w:pPr>
      <w:r>
        <w:rPr>
          <w:rFonts w:ascii="Arial" w:hAnsi="Arial" w:cs="Arial"/>
          <w:lang w:val="en-GB" w:bidi="en-GB" w:eastAsia="en-GB"/>
        </w:rPr>
        <w:t xml:space="preserve">Radio-oncology </w:t>
      </w:r>
    </w:p>
    <w:p>
      <w:pPr>
        <w:rPr>
          <w:rFonts w:ascii="Arial" w:hAnsi="Arial" w:cs="Arial"/>
          <w:lang w:val="en-GB" w:bidi="en-GB" w:eastAsia="en-GB"/>
        </w:rPr>
      </w:pPr>
    </w:p>
    <w:p>
      <w:pPr>
        <w:numPr>
          <w:ilvl w:val="0"/>
          <w:numId w:val="1"/>
        </w:numPr>
        <w:tabs>
          <w:tab w:val="left" w:pos="5655" w:leader="none"/>
        </w:tabs>
        <w:spacing w:after="60" w:beforeAutospacing="0" w:afterAutospacing="0"/>
        <w:rPr>
          <w:rFonts w:ascii="Arial" w:hAnsi="Arial" w:cs="Arial"/>
          <w:lang w:val="en-GB" w:bidi="en-GB" w:eastAsia="en-GB"/>
        </w:rPr>
      </w:pPr>
      <w:r>
        <w:rPr>
          <w:rFonts w:ascii="Arial" w:hAnsi="Arial" w:cs="Arial"/>
          <w:lang w:val="en-GB" w:bidi="en-GB" w:eastAsia="en-GB"/>
        </w:rPr>
        <w:t xml:space="preserve">(Neuro-)Pathology </w:t>
      </w:r>
    </w:p>
    <w:p>
      <w:pPr>
        <w:rPr>
          <w:rFonts w:ascii="Arial" w:hAnsi="Arial" w:cs="Arial"/>
          <w:lang w:val="en-GB" w:bidi="en-GB" w:eastAsia="en-GB"/>
        </w:rPr>
      </w:pPr>
    </w:p>
    <w:p>
      <w:pPr>
        <w:numPr>
          <w:ilvl w:val="0"/>
          <w:numId w:val="1"/>
        </w:numPr>
        <w:spacing w:after="60" w:beforeAutospacing="0" w:afterAutospacing="0"/>
        <w:rPr>
          <w:rFonts w:ascii="Arial" w:hAnsi="Arial" w:cs="Arial"/>
          <w:lang w:val="en-GB" w:bidi="en-GB" w:eastAsia="en-GB"/>
        </w:rPr>
      </w:pPr>
      <w:r>
        <w:rPr>
          <w:rFonts w:ascii="Arial" w:hAnsi="Arial" w:cs="Arial"/>
          <w:lang w:val="en-GB" w:bidi="en-GB" w:eastAsia="en-GB"/>
        </w:rPr>
        <w:t xml:space="preserve">Palliative Care and Hospice Care </w:t>
      </w:r>
    </w:p>
    <w:p>
      <w:pPr>
        <w:rPr>
          <w:rFonts w:ascii="Arial" w:hAnsi="Arial" w:cs="Arial"/>
          <w:lang w:val="en-GB" w:bidi="en-GB" w:eastAsia="en-GB"/>
        </w:rPr>
      </w:pPr>
    </w:p>
    <w:p>
      <w:pPr>
        <w:numPr>
          <w:ilvl w:val="0"/>
          <w:numId w:val="1"/>
        </w:numPr>
        <w:spacing w:after="60" w:beforeAutospacing="0" w:afterAutospacing="0"/>
        <w:rPr>
          <w:rFonts w:ascii="Arial" w:hAnsi="Arial" w:cs="Arial"/>
          <w:lang w:val="en-GB" w:bidi="en-GB" w:eastAsia="en-GB"/>
        </w:rPr>
      </w:pPr>
      <w:r>
        <w:rPr>
          <w:rFonts w:ascii="Arial" w:hAnsi="Arial" w:cs="Arial"/>
          <w:lang w:val="en-GB" w:bidi="en-GB" w:eastAsia="en-GB"/>
        </w:rPr>
        <w:t xml:space="preserve">Tumour Documentation/Outcome Quality </w:t>
      </w:r>
    </w:p>
    <w:p>
      <w:pPr>
        <w:rPr>
          <w:rFonts w:ascii="Arial" w:hAnsi="Arial" w:cs="Arial"/>
          <w:lang w:val="en-GB" w:bidi="en-GB" w:eastAsia="en-GB"/>
        </w:rPr>
      </w:pPr>
    </w:p>
    <w:p>
      <w:pPr>
        <w:rPr>
          <w:rFonts w:ascii="Arial" w:hAnsi="Arial" w:cs="Arial"/>
          <w:lang w:val="en-GB" w:bidi="en-GB" w:eastAsia="en-GB"/>
        </w:rPr>
      </w:pPr>
    </w:p>
    <w:p>
      <w:pPr>
        <w:rPr>
          <w:rFonts w:ascii="Arial" w:hAnsi="Arial" w:cs="Arial"/>
          <w:lang w:val="en-GB" w:bidi="en-GB" w:eastAsia="en-GB"/>
        </w:rPr>
      </w:pPr>
    </w:p>
    <w:p>
      <w:pPr>
        <w:spacing w:after="60" w:beforeAutospacing="0" w:afterAutospacing="0"/>
        <w:rPr>
          <w:rFonts w:ascii="Arial" w:hAnsi="Arial" w:cs="Arial"/>
          <w:u w:val="single"/>
          <w:lang w:val="en-GB" w:bidi="en-GB" w:eastAsia="en-GB"/>
        </w:rPr>
      </w:pPr>
      <w:r>
        <w:rPr>
          <w:rFonts w:ascii="Arial" w:hAnsi="Arial" w:cs="Arial"/>
          <w:u w:val="single"/>
          <w:lang w:val="en-GB" w:bidi="en-GB" w:eastAsia="en-GB"/>
        </w:rPr>
        <w:t>Annexes to the Catalogue of Requirements</w:t>
      </w:r>
    </w:p>
    <w:p>
      <w:pPr>
        <w:rPr>
          <w:rFonts w:ascii="Arial" w:hAnsi="Arial" w:cs="Arial"/>
          <w:lang w:val="en-GB" w:bidi="en-GB" w:eastAsia="en-GB"/>
        </w:rPr>
      </w:pPr>
    </w:p>
    <w:p>
      <w:pPr>
        <w:rPr>
          <w:rFonts w:ascii="Arial" w:hAnsi="Arial" w:cs="Arial"/>
          <w:lang w:val="en-GB" w:bidi="en-GB" w:eastAsia="en-GB"/>
        </w:rPr>
      </w:pPr>
      <w:r>
        <w:rPr>
          <w:rFonts w:ascii="Arial" w:hAnsi="Arial" w:cs="Arial"/>
          <w:lang w:val="en-GB" w:bidi="en-GB" w:eastAsia="en-GB"/>
        </w:rPr>
        <w:t>Data Sheet (Excel-Template)</w:t>
      </w:r>
    </w:p>
    <w:p>
      <w:pPr>
        <w:rPr>
          <w:rFonts w:ascii="Arial" w:hAnsi="Arial" w:cs="Arial"/>
          <w:lang w:val="en-GB" w:bidi="en-GB" w:eastAsia="en-GB"/>
        </w:rPr>
      </w:pPr>
    </w:p>
    <w:p>
      <w:pPr>
        <w:rPr>
          <w:rFonts w:ascii="Arial" w:hAnsi="Arial" w:cs="Arial"/>
          <w:strike w:val="1"/>
          <w:lang w:val="en-GB" w:bidi="en-GB" w:eastAsia="en-GB"/>
        </w:rPr>
      </w:pPr>
      <w:r>
        <w:rPr>
          <w:rFonts w:ascii="Arial" w:hAnsi="Arial" w:cs="Arial"/>
          <w:lang w:val="en-GB" w:bidi="en-GB" w:eastAsia="en-GB"/>
        </w:rPr>
        <w:br w:type="page"/>
      </w: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1.</w:t>
        <w:tab/>
        <w:t xml:space="preserve"> General information on the Breast Cancer Centre</w:t>
      </w:r>
    </w:p>
    <w:p>
      <w:pPr>
        <w:rPr>
          <w:rFonts w:ascii="Arial" w:hAnsi="Arial" w:cs="Arial"/>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1.1</w:t>
              <w:tab/>
              <w:t xml:space="preserve"> Structure of the network</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agreements</w:t>
            </w:r>
          </w:p>
          <w:p>
            <w:pPr>
              <w:spacing w:before="0" w:after="19"/>
              <w:ind w:left="0" w:right="0"/>
              <w:rPr>
                <w:rFonts w:ascii="Arial" w:hAnsi="Arial" w:cs="Arial"/>
                <w:color w:val="auto"/>
                <w:sz w:val="20"/>
                <w:szCs w:val="20"/>
              </w:rPr>
            </w:pPr>
            <w:r>
              <w:rPr>
                <w:rFonts w:ascii="Arial" w:hAnsi="Arial" w:cs="Arial"/>
                <w:color w:val="auto"/>
                <w:sz w:val="20"/>
                <w:szCs w:val="20"/>
              </w:rPr>
              <w:t>Main cooperation partners</w:t>
            </w:r>
          </w:p>
          <w:p>
            <w:pPr>
              <w:spacing w:before="0" w:after="19"/>
              <w:ind w:left="0" w:right="0"/>
              <w:rPr>
                <w:rFonts w:ascii="Arial" w:hAnsi="Arial" w:cs="Arial"/>
                <w:color w:val="auto"/>
                <w:sz w:val="20"/>
                <w:szCs w:val="20"/>
              </w:rPr>
            </w:pPr>
            <w:r>
              <w:rPr>
                <w:rFonts w:ascii="Arial" w:hAnsi="Arial" w:cs="Arial"/>
                <w:color w:val="auto"/>
                <w:sz w:val="20"/>
                <w:szCs w:val="20"/>
              </w:rPr>
              <w:t>Neurosurgery, neurology, neuroradiology, neuropathology, radio-oncology, haematology and oncology and medicinal oncology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Cooperation partners</w:t>
            </w:r>
          </w:p>
          <w:p>
            <w:pPr>
              <w:spacing w:before="0" w:after="19"/>
              <w:ind w:left="0" w:right="0"/>
              <w:rPr>
                <w:rFonts w:ascii="Arial" w:hAnsi="Arial" w:cs="Arial"/>
                <w:color w:val="auto"/>
                <w:sz w:val="20"/>
                <w:szCs w:val="20"/>
              </w:rPr>
            </w:pPr>
            <w:r>
              <w:rPr>
                <w:rFonts w:ascii="Arial" w:hAnsi="Arial" w:cs="Arial"/>
                <w:color w:val="auto"/>
                <w:sz w:val="20"/>
                <w:szCs w:val="20"/>
              </w:rPr>
              <w:t>In addition to the cooperation partners mentioned in the Catalogue of Requirements, cooperation agreements are to be entered into with:</w:t>
            </w:r>
          </w:p>
          <w:p>
            <w:pPr>
              <w:spacing w:before="0" w:after="19"/>
              <w:ind w:left="0" w:right="0"/>
              <w:rPr>
                <w:rFonts w:ascii="Arial" w:hAnsi="Arial" w:cs="Arial"/>
                <w:color w:val="auto"/>
                <w:sz w:val="20"/>
                <w:szCs w:val="20"/>
              </w:rPr>
            </w:pPr>
            <w:r>
              <w:rPr>
                <w:rFonts w:ascii="Arial" w:hAnsi="Arial" w:cs="Arial"/>
                <w:color w:val="auto"/>
                <w:sz w:val="20"/>
                <w:szCs w:val="20"/>
              </w:rPr>
              <w:t>pathology, neuropsychology, psychiatry, paediatric haematology and oncology, occupational therapy, ophthalmology, endocrinology and speech therapy.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Neurology and neurosurgery</w:t>
            </w:r>
          </w:p>
          <w:p>
            <w:pPr>
              <w:spacing w:before="0" w:after="19"/>
              <w:rPr>
                <w:rFonts w:ascii="Arial" w:hAnsi="Arial" w:cs="Arial"/>
                <w:sz w:val="20"/>
                <w:szCs w:val="20"/>
                <w:lang w:val="ro-RO" w:bidi="ar-SA"/>
              </w:rPr>
            </w:pPr>
            <w:r>
              <w:rPr>
                <w:rFonts w:ascii="Arial" w:hAnsi="Arial" w:cs="Arial"/>
                <w:color w:val="auto"/>
                <w:sz w:val="20"/>
                <w:szCs w:val="20"/>
              </w:rPr>
              <w:t>Neurology and neurosurgery units with wards with 24-h on-duty presence, are a mandatory component in Neuro-Oncology Centres.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with certified Centres for haematological neoplasias</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 xml:space="preserve">For the treatment of CNS lymphomas, cooperations with Centres for haematological neoplasias may exist. </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In a cooperation agreement or SOP it has to be defined which treatment stages are provided by which cooperation partner.</w:t>
            </w:r>
          </w:p>
          <w:p>
            <w:pPr>
              <w:numPr>
                <w:ilvl w:val="0"/>
                <w:numId w:val="48"/>
              </w:numPr>
              <w:spacing w:before="0" w:after="19"/>
              <w:ind w:hanging="283" w:left="283" w:right="0"/>
              <w:rPr>
                <w:rFonts w:ascii="Arial" w:hAnsi="Arial" w:cs="Arial"/>
                <w:color w:val="auto"/>
                <w:sz w:val="20"/>
                <w:szCs w:val="20"/>
              </w:rPr>
            </w:pPr>
            <w:r>
              <w:rPr>
                <w:rFonts w:ascii="Arial" w:hAnsi="Arial" w:cs="Arial"/>
                <w:color w:val="auto"/>
                <w:sz w:val="20"/>
                <w:szCs w:val="20"/>
              </w:rPr>
              <w:t xml:space="preserve">Counting patients with CNS lymphomas is possible for both partners under these conditions. </w:t>
            </w:r>
          </w:p>
          <w:p>
            <w:pPr>
              <w:numPr>
                <w:ilvl w:val="0"/>
                <w:numId w:val="48"/>
              </w:numPr>
              <w:spacing w:before="0" w:after="19"/>
              <w:ind w:hanging="283" w:left="283"/>
              <w:rPr>
                <w:rFonts w:ascii="Arial" w:hAnsi="Arial" w:cs="Arial"/>
                <w:sz w:val="20"/>
                <w:szCs w:val="20"/>
                <w:lang w:val="ro-RO" w:bidi="ar-SA"/>
              </w:rPr>
            </w:pPr>
            <w:r>
              <w:rPr>
                <w:rFonts w:ascii="Arial" w:hAnsi="Arial" w:cs="Arial"/>
                <w:color w:val="auto"/>
                <w:sz w:val="20"/>
                <w:szCs w:val="20"/>
              </w:rPr>
              <w:t>The cooperating Centres are to be designated by name.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Cooperation with other certified Centres (entities from the network of the Oncology Centre)</w:t>
            </w:r>
          </w:p>
          <w:p>
            <w:pPr>
              <w:spacing w:before="0" w:after="19"/>
              <w:ind w:left="0" w:right="0"/>
              <w:rPr>
                <w:rFonts w:ascii="Arial" w:hAnsi="Arial" w:cs="Arial"/>
                <w:color w:val="auto"/>
                <w:sz w:val="20"/>
                <w:szCs w:val="20"/>
              </w:rPr>
            </w:pPr>
            <w:r>
              <w:rPr>
                <w:rFonts w:ascii="Arial" w:hAnsi="Arial" w:cs="Arial"/>
                <w:color w:val="auto"/>
                <w:sz w:val="20"/>
                <w:szCs w:val="20"/>
              </w:rPr>
              <w:t>The cooperation for the care of patients with cerebral metastatis must be regulated in writing (SOP/ cooperation agreement).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following points must be regulated:</w:t>
            </w:r>
          </w:p>
          <w:p>
            <w:pPr>
              <w:numPr>
                <w:ilvl w:val="0"/>
                <w:numId w:val="49"/>
              </w:numPr>
              <w:spacing w:before="0" w:after="19"/>
              <w:ind w:hanging="283" w:left="283" w:right="0"/>
              <w:rPr>
                <w:rFonts w:ascii="Arial" w:hAnsi="Arial" w:cs="Arial"/>
                <w:color w:val="auto"/>
                <w:sz w:val="20"/>
                <w:szCs w:val="20"/>
              </w:rPr>
            </w:pPr>
            <w:r>
              <w:rPr>
                <w:rFonts w:ascii="Arial" w:hAnsi="Arial" w:cs="Arial"/>
                <w:color w:val="auto"/>
                <w:sz w:val="20"/>
                <w:szCs w:val="20"/>
              </w:rPr>
              <w:t xml:space="preserve">Case-related involvement of the neurosurgeon in the </w:t>
            </w:r>
            <w:r>
              <w:rPr>
                <w:rFonts w:ascii="Arial" w:hAnsi="Arial" w:cs="Arial"/>
                <w:color w:val="auto"/>
                <w:sz w:val="20"/>
                <w:szCs w:val="20"/>
                <w:shd w:val="clear" w:color="auto" w:fill="00FF00"/>
              </w:rPr>
              <w:t xml:space="preserve">organ-specific </w:t>
            </w:r>
            <w:r>
              <w:rPr>
                <w:rFonts w:ascii="Arial" w:hAnsi="Arial" w:cs="Arial"/>
                <w:color w:val="auto"/>
                <w:sz w:val="20"/>
                <w:szCs w:val="20"/>
              </w:rPr>
              <w:t>tumour board for patients with cerebral metastatis (telemedicine if necessary)</w:t>
            </w:r>
          </w:p>
          <w:p>
            <w:pPr>
              <w:spacing w:before="0" w:after="19"/>
              <w:ind w:left="0" w:right="0"/>
              <w:rPr>
                <w:rFonts w:ascii="Arial" w:hAnsi="Arial" w:cs="Arial"/>
                <w:color w:val="auto"/>
                <w:sz w:val="20"/>
                <w:szCs w:val="20"/>
              </w:rPr>
            </w:pPr>
            <w:r>
              <w:rPr>
                <w:rFonts w:ascii="Arial" w:hAnsi="Arial" w:cs="Arial"/>
                <w:color w:val="auto"/>
                <w:sz w:val="20"/>
                <w:szCs w:val="20"/>
              </w:rPr>
              <w:t>or</w:t>
            </w:r>
          </w:p>
          <w:p>
            <w:pPr>
              <w:numPr>
                <w:ilvl w:val="0"/>
                <w:numId w:val="50"/>
              </w:numPr>
              <w:spacing w:before="0" w:after="19"/>
              <w:ind w:hanging="283" w:left="283" w:right="0"/>
              <w:rPr>
                <w:rFonts w:ascii="Arial" w:hAnsi="Arial" w:cs="Arial"/>
                <w:color w:val="auto"/>
                <w:sz w:val="20"/>
                <w:szCs w:val="20"/>
              </w:rPr>
            </w:pPr>
            <w:r>
              <w:rPr>
                <w:rFonts w:ascii="Arial" w:hAnsi="Arial" w:cs="Arial"/>
                <w:color w:val="auto"/>
                <w:sz w:val="20"/>
                <w:szCs w:val="20"/>
              </w:rPr>
              <w:t xml:space="preserve">Presentation of patients with cerebral metastatis in the tumour board of the Neurooncology Centre </w:t>
            </w:r>
          </w:p>
          <w:p>
            <w:pPr>
              <w:spacing w:before="0" w:after="19"/>
              <w:ind w:left="0" w:right="0"/>
              <w:rPr>
                <w:rFonts w:ascii="Arial" w:hAnsi="Arial" w:cs="Arial"/>
                <w:color w:val="auto"/>
                <w:sz w:val="20"/>
                <w:szCs w:val="20"/>
              </w:rPr>
            </w:pPr>
            <w:r>
              <w:rPr>
                <w:rFonts w:ascii="Arial" w:hAnsi="Arial" w:cs="Arial"/>
                <w:color w:val="auto"/>
                <w:sz w:val="20"/>
                <w:szCs w:val="20"/>
              </w:rPr>
              <w:t>or</w:t>
            </w:r>
          </w:p>
          <w:p>
            <w:pPr>
              <w:numPr>
                <w:ilvl w:val="0"/>
                <w:numId w:val="51"/>
              </w:numPr>
              <w:spacing w:before="0" w:after="19"/>
              <w:ind w:hanging="283" w:left="283" w:right="0"/>
              <w:rPr>
                <w:rFonts w:ascii="Arial" w:hAnsi="Arial" w:cs="Arial"/>
                <w:color w:val="auto"/>
                <w:sz w:val="20"/>
                <w:szCs w:val="20"/>
              </w:rPr>
            </w:pPr>
            <w:r>
              <w:rPr>
                <w:rFonts w:ascii="Arial" w:hAnsi="Arial" w:cs="Arial"/>
                <w:color w:val="auto"/>
                <w:sz w:val="20"/>
                <w:szCs w:val="20"/>
              </w:rPr>
              <w:t xml:space="preserve">Consultative neurosurgical presentation of patients with cerebral metastatis </w:t>
            </w:r>
            <w:r>
              <w:rPr>
                <w:rFonts w:ascii="Arial" w:hAnsi="Arial" w:cs="Arial"/>
                <w:strike w:val="1"/>
                <w:color w:val="auto"/>
                <w:sz w:val="20"/>
                <w:szCs w:val="20"/>
                <w:shd w:val="clear" w:color="auto" w:fill="00FE00"/>
              </w:rPr>
              <w:t>according to tumour board decision</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2. For patients with cerebral metastases who present primarily to the NOC, organ-specific centres must be involved.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implementation must be proven with concrete patient examples</w:t>
            </w:r>
          </w:p>
          <w:p>
            <w:pPr>
              <w:spacing w:before="0" w:after="19"/>
              <w:rPr>
                <w:rFonts w:ascii="Arial" w:hAnsi="Arial" w:cs="Arial"/>
                <w:sz w:val="20"/>
                <w:szCs w:val="20"/>
                <w:lang w:val="ro-RO" w:bidi="ar-SA"/>
              </w:rPr>
            </w:pPr>
            <w:r>
              <w:rPr>
                <w:rFonts w:ascii="Arial" w:hAnsi="Arial" w:cs="Arial"/>
                <w:color w:val="auto"/>
                <w:sz w:val="20"/>
                <w:szCs w:val="20"/>
              </w:rPr>
              <w:t> </w:t>
            </w:r>
          </w:p>
        </w:tc>
        <w:tc>
          <w:tcPr>
            <w:tcW w:w="1" w:type="dxa"/>
          </w:tcPr>
          <w:p>
            <w:pPr>
              <w:spacing w:before="0" w:after="19"/>
              <w:rPr>
                <w:rFonts w:ascii="Arial" w:hAnsi="Arial" w:cs="Arial"/>
                <w:sz w:val="20"/>
                <w:szCs w:val="20"/>
                <w:lang w:val="ro-RO" w:bidi="ar-SA"/>
              </w:rPr>
            </w:pPr>
          </w:p>
        </w:tc>
      </w:tr>
    </w:tbl>
    <w:p>
      <w:pPr>
        <w:rPr>
          <w:rFonts w:ascii="Arial" w:hAnsi="Arial" w:cs="Arial"/>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1.2</w:t>
              <w:tab/>
              <w:t xml:space="preserve"> Interdisciplinary cooperation</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Number of primary cases</w:t>
            </w:r>
          </w:p>
          <w:p>
            <w:pPr>
              <w:spacing w:before="0" w:after="19"/>
              <w:ind w:left="0" w:right="0"/>
              <w:rPr>
                <w:rFonts w:ascii="Arial" w:hAnsi="Arial" w:cs="Arial"/>
                <w:color w:val="auto"/>
                <w:sz w:val="20"/>
                <w:szCs w:val="20"/>
              </w:rPr>
            </w:pPr>
            <w:r>
              <w:rPr>
                <w:rFonts w:ascii="Arial" w:hAnsi="Arial" w:cs="Arial"/>
                <w:color w:val="auto"/>
                <w:sz w:val="20"/>
                <w:szCs w:val="20"/>
              </w:rPr>
              <w:t>The Centre must treat 100 patients annually with a primary diagnosis of a neuro-oncological tumour.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Definition:</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Patients and not stays and not operations; in line with the list of primary cases at the end of the Catalogue of Requirements.</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 xml:space="preserve">Histology report must be available (biopsy or resection). Justified exceptions are to be listed (e.g. acoustic neurinoma, meningeoma, etc.). </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Patient with initial disease.</w:t>
            </w:r>
          </w:p>
          <w:p>
            <w:pPr>
              <w:numPr>
                <w:ilvl w:val="0"/>
                <w:numId w:val="52"/>
              </w:numPr>
              <w:spacing w:before="0" w:after="19"/>
              <w:ind w:hanging="283" w:left="283" w:right="0"/>
              <w:rPr>
                <w:rFonts w:ascii="Arial" w:hAnsi="Arial" w:cs="Arial"/>
                <w:color w:val="auto"/>
                <w:sz w:val="20"/>
                <w:szCs w:val="20"/>
              </w:rPr>
            </w:pPr>
            <w:r>
              <w:rPr>
                <w:rFonts w:ascii="Arial" w:hAnsi="Arial" w:cs="Arial"/>
                <w:color w:val="auto"/>
                <w:sz w:val="20"/>
                <w:szCs w:val="20"/>
              </w:rPr>
              <w:t>The time of counting is the time of the histological confirmation of diagnosis or the time of clinical diagnosis by way of tumour board decision in the case of non-histologically confirmed tumours (e.g. acoustic neurinoma, meningeoma, etc.).</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Patients, who are only presented for the purposes of seeking a second opinion or for the purposes of consultation, are not included.</w:t>
            </w:r>
          </w:p>
          <w:p>
            <w:pPr>
              <w:spacing w:before="0" w:after="19"/>
              <w:rPr>
                <w:rFonts w:ascii="Arial" w:hAnsi="Arial" w:cs="Arial"/>
                <w:sz w:val="20"/>
                <w:szCs w:val="20"/>
                <w:lang w:val="ro-RO" w:bidi="ar-SA"/>
              </w:rPr>
            </w:pPr>
            <w:r>
              <w:rPr>
                <w:rFonts w:ascii="Arial" w:hAnsi="Arial" w:cs="Arial"/>
                <w:color w:val="auto"/>
                <w:sz w:val="20"/>
                <w:szCs w:val="20"/>
              </w:rPr>
              <w:t>(see also 5.2.3 Surgical primary cases)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Interdisciplinary pre-intervention tumour board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Cycle</w:t>
            </w:r>
          </w:p>
          <w:p>
            <w:pPr>
              <w:spacing w:before="0" w:after="19"/>
              <w:ind w:left="0" w:right="0"/>
              <w:rPr>
                <w:rFonts w:ascii="Arial" w:hAnsi="Arial" w:cs="Arial"/>
                <w:color w:val="auto"/>
                <w:sz w:val="20"/>
                <w:szCs w:val="20"/>
              </w:rPr>
            </w:pPr>
            <w:r>
              <w:rPr>
                <w:rFonts w:ascii="Arial" w:hAnsi="Arial" w:cs="Arial"/>
                <w:color w:val="auto"/>
                <w:sz w:val="20"/>
                <w:szCs w:val="20"/>
              </w:rPr>
              <w:t>A tumour board must be staged at least once a week.</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Participants:</w:t>
            </w:r>
          </w:p>
          <w:p>
            <w:pPr>
              <w:spacing w:before="0" w:after="19"/>
              <w:ind w:left="0" w:right="0"/>
              <w:rPr>
                <w:rFonts w:ascii="Arial" w:hAnsi="Arial" w:cs="Arial"/>
                <w:color w:val="auto"/>
                <w:sz w:val="20"/>
                <w:szCs w:val="20"/>
              </w:rPr>
            </w:pPr>
            <w:r>
              <w:rPr>
                <w:rFonts w:ascii="Arial" w:hAnsi="Arial" w:cs="Arial"/>
                <w:color w:val="auto"/>
                <w:sz w:val="20"/>
                <w:szCs w:val="20"/>
              </w:rPr>
              <w:t>Neurosurgeon, neurologist, neuroradiologist, neuropathologist, radiotherapist, internal oncologist*.</w:t>
            </w:r>
          </w:p>
          <w:p>
            <w:pPr>
              <w:spacing w:before="0" w:after="19"/>
              <w:ind w:left="0" w:right="0"/>
              <w:rPr>
                <w:rFonts w:ascii="Arial" w:hAnsi="Arial" w:cs="Arial"/>
                <w:color w:val="auto"/>
                <w:sz w:val="20"/>
                <w:szCs w:val="20"/>
              </w:rPr>
            </w:pPr>
            <w:r>
              <w:rPr>
                <w:rFonts w:ascii="Arial" w:hAnsi="Arial" w:cs="Arial"/>
                <w:color w:val="auto"/>
                <w:sz w:val="20"/>
                <w:szCs w:val="20"/>
              </w:rPr>
              <w:t>Related to the indication, e.g. in the case of cerebral metastases the presenting specialties are to be invited to the tumour board.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*Haematologist/oncologist</w:t>
            </w:r>
          </w:p>
          <w:p>
            <w:pPr>
              <w:spacing w:before="0" w:after="19"/>
              <w:ind w:left="0" w:right="0"/>
              <w:rPr>
                <w:rFonts w:ascii="Arial" w:hAnsi="Arial" w:cs="Arial"/>
                <w:color w:val="auto"/>
                <w:sz w:val="20"/>
                <w:szCs w:val="20"/>
              </w:rPr>
            </w:pPr>
            <w:r>
              <w:rPr>
                <w:rFonts w:ascii="Arial" w:hAnsi="Arial" w:cs="Arial"/>
                <w:color w:val="auto"/>
                <w:sz w:val="20"/>
                <w:szCs w:val="20"/>
              </w:rPr>
              <w:t xml:space="preserve">If the haematologist/oncologist is unable to attend the tumour board, he/she may be represented by the </w:t>
            </w:r>
            <w:r>
              <w:rPr>
                <w:rFonts w:ascii="Arial" w:hAnsi="Arial" w:cs="Arial"/>
                <w:strike w:val="1"/>
                <w:color w:val="auto"/>
                <w:sz w:val="20"/>
                <w:szCs w:val="20"/>
                <w:shd w:val="clear" w:color="auto" w:fill="00FE00"/>
              </w:rPr>
              <w:t>neuro-oncologist</w:t>
            </w:r>
            <w:r>
              <w:rPr>
                <w:rFonts w:ascii="Arial" w:hAnsi="Arial" w:cs="Arial"/>
                <w:color w:val="auto"/>
                <w:sz w:val="20"/>
                <w:szCs w:val="20"/>
              </w:rPr>
              <w:t xml:space="preserve"> </w:t>
            </w:r>
            <w:r>
              <w:rPr>
                <w:rFonts w:ascii="Arial" w:hAnsi="Arial" w:cs="Arial"/>
                <w:color w:val="auto"/>
                <w:sz w:val="20"/>
                <w:szCs w:val="20"/>
                <w:shd w:val="clear" w:color="auto" w:fill="00FF00"/>
              </w:rPr>
              <w:t>medical specialist</w:t>
            </w:r>
            <w:r>
              <w:rPr>
                <w:rFonts w:ascii="Arial" w:hAnsi="Arial" w:cs="Arial"/>
                <w:color w:val="auto"/>
                <w:sz w:val="20"/>
                <w:szCs w:val="20"/>
              </w:rPr>
              <w:t xml:space="preserve"> responsible for chemotherapy (qualification in line with section 6.2 </w:t>
            </w:r>
            <w:r>
              <w:rPr>
                <w:rFonts w:ascii="Arial" w:hAnsi="Arial" w:cs="Arial"/>
                <w:color w:val="auto"/>
                <w:sz w:val="20"/>
                <w:szCs w:val="20"/>
                <w:shd w:val="clear" w:color="auto" w:fill="00FF00"/>
              </w:rPr>
              <w:t>OC</w:t>
            </w:r>
            <w:r>
              <w:rPr>
                <w:rFonts w:ascii="Arial" w:hAnsi="Arial" w:cs="Arial"/>
                <w:color w:val="auto"/>
                <w:sz w:val="20"/>
                <w:szCs w:val="20"/>
              </w:rPr>
              <w: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Interdisciplinary tumour board</w:t>
            </w:r>
          </w:p>
          <w:p>
            <w:pPr>
              <w:spacing w:before="0" w:after="19"/>
              <w:ind w:left="0" w:right="0"/>
              <w:rPr>
                <w:rFonts w:ascii="Arial" w:hAnsi="Arial" w:cs="Arial"/>
                <w:color w:val="auto"/>
                <w:sz w:val="20"/>
                <w:szCs w:val="20"/>
              </w:rPr>
            </w:pPr>
            <w:r>
              <w:rPr>
                <w:rFonts w:ascii="Arial" w:hAnsi="Arial" w:cs="Arial"/>
                <w:color w:val="auto"/>
                <w:sz w:val="20"/>
                <w:szCs w:val="20"/>
              </w:rPr>
              <w:t>All primary case patients should be presented in the interdisciplinary tumour board: Elective patients: pre-intervention, emergency patients: at least post-intervention (Patient can only be taken into account 1x for the numerator).</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Scale of the discussed primary cases ≥95%</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1.2.4.a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Further presentation tumour board</w:t>
            </w:r>
          </w:p>
          <w:p>
            <w:pPr>
              <w:spacing w:before="0" w:after="19"/>
              <w:ind w:left="0" w:right="0"/>
              <w:rPr>
                <w:rFonts w:ascii="Arial" w:hAnsi="Arial" w:cs="Arial"/>
                <w:color w:val="auto"/>
                <w:sz w:val="20"/>
                <w:szCs w:val="20"/>
              </w:rPr>
            </w:pPr>
            <w:r>
              <w:rPr>
                <w:rFonts w:ascii="Arial" w:hAnsi="Arial" w:cs="Arial"/>
                <w:color w:val="auto"/>
                <w:sz w:val="20"/>
                <w:szCs w:val="20"/>
              </w:rPr>
              <w:t>(not to be taken into account for the Data Sheet):</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after completion of the neuropathological diagnosis when there was a corresponding recommendation of the tumour board pre-intervention;</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after completion of a therapy sequence;</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for each change in the clinical/imaging results a renewed presentation should be made in the interdisciplinary tumour board;</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emergency patients who were not discussed pre-intervention.</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rPr>
              <w:t>All patients with recurrences, who have entrusted the Centre with their care, are to be presented.</w:t>
            </w:r>
          </w:p>
          <w:p>
            <w:pPr>
              <w:numPr>
                <w:ilvl w:val="0"/>
                <w:numId w:val="53"/>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 xml:space="preserve">The general requirements for the tumour board as set out in section 1.2 CR OC must be met. In particular, suitable study patients must be considered in advance. </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Details of the number of presentations: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1.2.4.b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For patients with advanced cancer who</w:t>
            </w:r>
          </w:p>
          <w:p>
            <w:pPr>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have completed the guideline-based therapy and</w:t>
            </w:r>
          </w:p>
          <w:p>
            <w:pPr>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who, according to the clinical parameters, are able to receive a molecular-based therapy and</w:t>
            </w:r>
          </w:p>
          <w:p>
            <w:pPr>
              <w:numPr>
                <w:ilvl w:val="0"/>
                <w:numId w:val="54"/>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who, in principle, agree to possible therapy based on the molecular findings,</w:t>
            </w:r>
          </w:p>
          <w:p>
            <w:pPr>
              <w:spacing w:before="0" w:after="19"/>
              <w:ind w:left="0" w:right="0"/>
              <w:rPr>
                <w:rFonts w:ascii="Arial" w:hAnsi="Arial" w:cs="Arial"/>
                <w:color w:val="auto"/>
                <w:sz w:val="20"/>
                <w:szCs w:val="20"/>
              </w:rPr>
            </w:pPr>
            <w:r>
              <w:rPr>
                <w:rFonts w:ascii="Arial" w:hAnsi="Arial" w:cs="Arial"/>
                <w:color w:val="auto"/>
                <w:sz w:val="20"/>
                <w:szCs w:val="20"/>
                <w:shd w:val="clear" w:color="auto" w:fill="00FF00"/>
              </w:rPr>
              <w:t>a presentation at a Centre for Personalised Medicine should be sought.</w:t>
              <w:br w:type="textWrapping"/>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A prerequisite is the existence of a tumour board decision from an organ-specific centre. The MTB recommendation is provided to the referring centre.</w:t>
            </w:r>
            <w:r>
              <w:rPr>
                <w:rFonts w:ascii="Arial" w:hAnsi="Arial" w:cs="Arial"/>
                <w:color w:val="auto"/>
                <w:sz w:val="20"/>
                <w:szCs w:val="20"/>
              </w:rPr>
              <w:br w:type="textWrapping"/>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Guidelines</w:t>
            </w:r>
          </w:p>
          <w:p>
            <w:pPr>
              <w:spacing w:before="0" w:after="19"/>
              <w:ind w:left="0" w:right="0"/>
              <w:rPr>
                <w:rFonts w:ascii="Arial" w:hAnsi="Arial" w:cs="Arial"/>
                <w:color w:val="auto"/>
                <w:sz w:val="20"/>
                <w:szCs w:val="20"/>
              </w:rPr>
            </w:pPr>
            <w:r>
              <w:rPr>
                <w:rFonts w:ascii="Arial" w:hAnsi="Arial" w:cs="Arial"/>
                <w:color w:val="auto"/>
                <w:sz w:val="20"/>
                <w:szCs w:val="20"/>
              </w:rPr>
              <w:t xml:space="preserve">In addition to the requirement mentioned in Section 1.2.11 of the CR OC the following applies: </w:t>
            </w:r>
          </w:p>
          <w:p>
            <w:pPr>
              <w:numPr>
                <w:ilvl w:val="0"/>
                <w:numId w:val="55"/>
              </w:numPr>
              <w:spacing w:before="0" w:after="19"/>
              <w:ind w:hanging="283" w:left="283" w:right="0"/>
              <w:rPr>
                <w:rFonts w:ascii="Arial" w:hAnsi="Arial" w:cs="Arial"/>
                <w:color w:val="auto"/>
                <w:sz w:val="20"/>
                <w:szCs w:val="20"/>
              </w:rPr>
            </w:pPr>
            <w:r>
              <w:rPr>
                <w:rFonts w:ascii="Arial" w:hAnsi="Arial" w:cs="Arial"/>
                <w:color w:val="auto"/>
                <w:sz w:val="20"/>
                <w:szCs w:val="20"/>
              </w:rPr>
              <w:t>The main cooperation partners of the Centre must lay down uniform standards for diagnostics, therapy and aftercare (for instance in a quality circle) for neuro-oncological tumours for which there are no evidence-based guidelines.</w:t>
            </w:r>
          </w:p>
          <w:p>
            <w:pPr>
              <w:numPr>
                <w:ilvl w:val="0"/>
                <w:numId w:val="55"/>
              </w:numPr>
              <w:spacing w:before="0" w:after="19"/>
              <w:ind w:hanging="283" w:left="283"/>
              <w:rPr>
                <w:rFonts w:ascii="Arial" w:hAnsi="Arial" w:cs="Arial"/>
                <w:sz w:val="20"/>
                <w:szCs w:val="20"/>
                <w:lang w:val="ro-RO" w:bidi="ar-SA"/>
              </w:rPr>
            </w:pPr>
            <w:r>
              <w:rPr>
                <w:rFonts w:ascii="Arial" w:hAnsi="Arial" w:cs="Arial"/>
                <w:color w:val="auto"/>
                <w:sz w:val="20"/>
                <w:szCs w:val="20"/>
              </w:rPr>
              <w:t>The standards must be updated and made known by the person responsible for the guidelines (see ER OC 1.2.12). Implementation must be checked by means of suitable measures. The process is to be described.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Morbidity /mortality conferences (M&amp;M conferences)</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The invited participants are the participants in the tumour board and referrers.</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The dates of these conferences can be timed to coordinate with the tumour board or with events for referrers.</w:t>
            </w:r>
          </w:p>
          <w:p>
            <w:pPr>
              <w:numPr>
                <w:ilvl w:val="0"/>
                <w:numId w:val="56"/>
              </w:numPr>
              <w:spacing w:before="0" w:after="19"/>
              <w:ind w:hanging="283" w:left="283" w:right="0"/>
              <w:rPr>
                <w:rFonts w:ascii="Arial" w:hAnsi="Arial" w:cs="Arial"/>
                <w:color w:val="auto"/>
                <w:sz w:val="20"/>
                <w:szCs w:val="20"/>
              </w:rPr>
            </w:pPr>
            <w:r>
              <w:rPr>
                <w:rFonts w:ascii="Arial" w:hAnsi="Arial" w:cs="Arial"/>
                <w:color w:val="auto"/>
                <w:sz w:val="20"/>
                <w:szCs w:val="20"/>
              </w:rPr>
              <w:t xml:space="preserve">Both cases with a negative and a positive course are to be presented. M&amp;M conferences are to be held 2x a year. </w:t>
            </w:r>
          </w:p>
          <w:p>
            <w:pPr>
              <w:numPr>
                <w:ilvl w:val="0"/>
                <w:numId w:val="56"/>
              </w:numPr>
              <w:spacing w:before="0" w:after="19"/>
              <w:ind w:hanging="283" w:left="283"/>
              <w:rPr>
                <w:rFonts w:ascii="Arial" w:hAnsi="Arial" w:cs="Arial"/>
                <w:sz w:val="20"/>
                <w:szCs w:val="20"/>
                <w:lang w:val="ro-RO" w:bidi="ar-SA"/>
              </w:rPr>
            </w:pPr>
            <w:r>
              <w:rPr>
                <w:rFonts w:ascii="Arial" w:hAnsi="Arial" w:cs="Arial"/>
                <w:color w:val="auto"/>
                <w:sz w:val="20"/>
                <w:szCs w:val="20"/>
              </w:rPr>
              <w:t>M&amp;S conferences are to be minuted.</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1.3</w:t>
              <w:tab/>
              <w:t xml:space="preserve"> Cooperation with referring physicians and providers of aftercare treatment</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Referrer satisfaction survey</w:t>
            </w:r>
          </w:p>
          <w:p>
            <w:pPr>
              <w:numPr>
                <w:ilvl w:val="0"/>
                <w:numId w:val="57"/>
              </w:numPr>
              <w:spacing w:before="0" w:after="19"/>
              <w:ind w:hanging="283" w:left="283" w:right="0"/>
              <w:rPr>
                <w:rFonts w:ascii="Arial" w:hAnsi="Arial" w:cs="Arial"/>
                <w:color w:val="auto"/>
                <w:sz w:val="20"/>
                <w:szCs w:val="20"/>
              </w:rPr>
            </w:pPr>
            <w:r>
              <w:rPr>
                <w:rFonts w:ascii="Arial" w:hAnsi="Arial" w:cs="Arial"/>
                <w:color w:val="auto"/>
                <w:sz w:val="20"/>
                <w:szCs w:val="20"/>
              </w:rPr>
              <w:t>Every three years a referrer satisfaction survey must be conducted. The results of this survey are to be evaluated and analysed.</w:t>
            </w:r>
          </w:p>
          <w:p>
            <w:pPr>
              <w:numPr>
                <w:ilvl w:val="0"/>
                <w:numId w:val="57"/>
              </w:numPr>
              <w:spacing w:before="0" w:after="19"/>
              <w:ind w:hanging="283" w:left="283"/>
              <w:rPr>
                <w:rFonts w:ascii="Arial" w:hAnsi="Arial" w:cs="Arial"/>
                <w:sz w:val="20"/>
                <w:szCs w:val="20"/>
                <w:lang w:val="ro-RO" w:bidi="ar-SA"/>
              </w:rPr>
            </w:pPr>
            <w:r>
              <w:rPr>
                <w:rFonts w:ascii="Arial" w:hAnsi="Arial" w:cs="Arial"/>
                <w:color w:val="auto"/>
                <w:sz w:val="20"/>
                <w:szCs w:val="20"/>
              </w:rPr>
              <w:t>The referrer satisfaction survey must be available for the first time for the first surveillance audit (1 year after initial certification).</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1.4</w:t>
              <w:tab/>
              <w:t xml:space="preserve"> Psycho-oncology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Documentation and Evaluation</w:t>
            </w:r>
          </w:p>
          <w:p>
            <w:pPr>
              <w:spacing w:before="0" w:after="19"/>
              <w:ind w:left="0" w:right="0"/>
              <w:rPr>
                <w:rFonts w:ascii="Arial" w:hAnsi="Arial" w:cs="Arial"/>
                <w:color w:val="auto"/>
                <w:sz w:val="20"/>
                <w:szCs w:val="20"/>
              </w:rPr>
            </w:pPr>
            <w:r>
              <w:rPr>
                <w:rFonts w:ascii="Arial" w:hAnsi="Arial" w:cs="Arial"/>
                <w:color w:val="auto"/>
                <w:sz w:val="20"/>
                <w:szCs w:val="20"/>
              </w:rPr>
              <w:t>In order to identify the need for treatment, screening of the level of mental stress is mandatory (Indicator "Psycho-oncological distress screening) and document the results. The proportion of patients subjected to distress over-threshold screening should be reported.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Psycho-oncological counselling</w:t>
            </w:r>
          </w:p>
          <w:p>
            <w:pPr>
              <w:spacing w:before="0" w:after="19"/>
              <w:ind w:left="0" w:right="0"/>
              <w:rPr>
                <w:rFonts w:ascii="Arial" w:hAnsi="Arial" w:cs="Arial"/>
                <w:color w:val="auto"/>
                <w:sz w:val="20"/>
                <w:szCs w:val="20"/>
              </w:rPr>
            </w:pPr>
            <w:r>
              <w:rPr>
                <w:rFonts w:ascii="Arial" w:hAnsi="Arial" w:cs="Arial"/>
                <w:color w:val="auto"/>
                <w:sz w:val="20"/>
                <w:szCs w:val="20"/>
              </w:rPr>
              <w:t>Psycho-oncological care, in particular for patients with excessive stress in the distress screening, must be presented.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Psycho-oncology resources</w:t>
            </w:r>
          </w:p>
          <w:p>
            <w:pPr>
              <w:spacing w:before="0" w:after="19"/>
              <w:rPr>
                <w:rFonts w:ascii="Arial" w:hAnsi="Arial" w:cs="Arial"/>
                <w:sz w:val="20"/>
                <w:szCs w:val="20"/>
                <w:lang w:val="ro-RO" w:bidi="ar-SA"/>
              </w:rPr>
            </w:pPr>
            <w:r>
              <w:rPr>
                <w:rFonts w:ascii="Arial" w:hAnsi="Arial" w:cs="Arial"/>
                <w:color w:val="auto"/>
                <w:sz w:val="20"/>
                <w:szCs w:val="20"/>
              </w:rPr>
              <w:t>Needs-based a least 1 psycho-oncologist with the above qualifications is available to the Centre (name is to be given). The personnel resources can be kept centrally, the organisation plan must be available.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Neuropsychology</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1 psychologist with the additional designation Clinical Neuropsychologist (GNP) is available to the Centre (if necessary via cooperation).</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Cooperation must be presented by way of documented cases during the assessment period.</w:t>
            </w:r>
          </w:p>
          <w:p>
            <w:pPr>
              <w:numPr>
                <w:ilvl w:val="0"/>
                <w:numId w:val="58"/>
              </w:numPr>
              <w:spacing w:before="0" w:after="19"/>
              <w:ind w:hanging="283" w:left="283" w:right="0"/>
              <w:rPr>
                <w:rFonts w:ascii="Arial" w:hAnsi="Arial" w:cs="Arial"/>
                <w:color w:val="auto"/>
                <w:sz w:val="20"/>
                <w:szCs w:val="20"/>
              </w:rPr>
            </w:pPr>
            <w:r>
              <w:rPr>
                <w:rFonts w:ascii="Arial" w:hAnsi="Arial" w:cs="Arial"/>
                <w:color w:val="auto"/>
                <w:sz w:val="20"/>
                <w:szCs w:val="20"/>
              </w:rPr>
              <w:t>The following processes are to be described with details of responsibilities:</w:t>
            </w:r>
          </w:p>
          <w:p>
            <w:pPr>
              <w:numPr>
                <w:ilvl w:val="1"/>
                <w:numId w:val="58"/>
              </w:numPr>
              <w:spacing w:before="0" w:after="19"/>
              <w:ind w:hanging="567" w:left="567" w:right="0"/>
              <w:rPr>
                <w:rFonts w:ascii="Arial" w:hAnsi="Arial" w:cs="Arial"/>
                <w:color w:val="auto"/>
                <w:sz w:val="20"/>
                <w:szCs w:val="20"/>
              </w:rPr>
            </w:pPr>
            <w:r>
              <w:rPr>
                <w:rFonts w:ascii="Arial" w:hAnsi="Arial" w:cs="Arial"/>
                <w:color w:val="auto"/>
                <w:sz w:val="20"/>
                <w:szCs w:val="20"/>
              </w:rPr>
              <w:t>patient presentation criteria;</w:t>
            </w:r>
          </w:p>
          <w:p>
            <w:pPr>
              <w:numPr>
                <w:ilvl w:val="1"/>
                <w:numId w:val="58"/>
              </w:numPr>
              <w:spacing w:before="0" w:after="19"/>
              <w:ind w:hanging="567" w:left="567" w:right="0"/>
              <w:rPr>
                <w:rFonts w:ascii="Arial" w:hAnsi="Arial" w:cs="Arial"/>
                <w:color w:val="auto"/>
                <w:sz w:val="20"/>
                <w:szCs w:val="20"/>
              </w:rPr>
            </w:pPr>
            <w:r>
              <w:rPr>
                <w:rFonts w:ascii="Arial" w:hAnsi="Arial" w:cs="Arial"/>
                <w:color w:val="auto"/>
                <w:sz w:val="20"/>
                <w:szCs w:val="20"/>
              </w:rPr>
              <w:t>communication within the Centre;</w:t>
            </w:r>
          </w:p>
          <w:p>
            <w:pPr>
              <w:numPr>
                <w:ilvl w:val="1"/>
                <w:numId w:val="58"/>
              </w:numPr>
              <w:spacing w:before="0" w:after="19"/>
              <w:ind w:hanging="567" w:left="567" w:right="0"/>
              <w:rPr>
                <w:rFonts w:ascii="Arial" w:hAnsi="Arial" w:cs="Arial"/>
                <w:color w:val="auto"/>
                <w:sz w:val="20"/>
                <w:szCs w:val="20"/>
              </w:rPr>
            </w:pPr>
            <w:r>
              <w:rPr>
                <w:rFonts w:ascii="Arial" w:hAnsi="Arial" w:cs="Arial"/>
                <w:color w:val="auto"/>
                <w:sz w:val="20"/>
                <w:szCs w:val="20"/>
              </w:rPr>
              <w:t>participation in events, quality circles, tumour boardand similar events of the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1.4.5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Additional content of the counselling:</w:t>
            </w:r>
          </w:p>
          <w:p>
            <w:pPr>
              <w:numPr>
                <w:ilvl w:val="0"/>
                <w:numId w:val="59"/>
              </w:numPr>
              <w:spacing w:before="0" w:after="19"/>
              <w:ind w:hanging="283" w:left="283"/>
              <w:rPr>
                <w:rFonts w:ascii="Arial" w:hAnsi="Arial" w:cs="Arial"/>
                <w:sz w:val="20"/>
                <w:szCs w:val="20"/>
                <w:lang w:val="ro-RO" w:bidi="ar-SA"/>
              </w:rPr>
            </w:pPr>
            <w:r>
              <w:rPr>
                <w:rFonts w:ascii="Arial" w:hAnsi="Arial" w:cs="Arial"/>
                <w:color w:val="auto"/>
                <w:sz w:val="20"/>
                <w:szCs w:val="20"/>
              </w:rPr>
              <w:t>Providing of information on outpatient psycho-oncological care after hospitalisation</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1.5</w:t>
              <w:tab/>
              <w:t xml:space="preserve"> Social work and rehabilitation</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1.5.2</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 section not assigned -</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1.6</w:t>
              <w:tab/>
              <w:t xml:space="preserve"> Patient participation</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Patient surveys:</w:t>
            </w:r>
          </w:p>
          <w:p>
            <w:pPr>
              <w:numPr>
                <w:ilvl w:val="0"/>
                <w:numId w:val="60"/>
              </w:numPr>
              <w:spacing w:before="0" w:after="19"/>
              <w:ind w:hanging="283" w:left="283" w:right="0"/>
              <w:rPr>
                <w:rFonts w:ascii="Arial" w:hAnsi="Arial" w:cs="Arial"/>
                <w:color w:val="auto"/>
                <w:sz w:val="20"/>
                <w:szCs w:val="20"/>
              </w:rPr>
            </w:pPr>
            <w:r>
              <w:rPr>
                <w:rFonts w:ascii="Arial" w:hAnsi="Arial" w:cs="Arial"/>
                <w:color w:val="auto"/>
                <w:sz w:val="20"/>
                <w:szCs w:val="20"/>
              </w:rPr>
              <w:t>All patients should be given the opportunity to take part in a patient survey over a period of least three months every three years.</w:t>
            </w:r>
          </w:p>
          <w:p>
            <w:pPr>
              <w:numPr>
                <w:ilvl w:val="0"/>
                <w:numId w:val="60"/>
              </w:numPr>
              <w:spacing w:before="0" w:after="19"/>
              <w:ind w:hanging="283" w:left="283"/>
              <w:rPr>
                <w:rFonts w:ascii="Arial" w:hAnsi="Arial" w:cs="Arial"/>
                <w:sz w:val="20"/>
                <w:szCs w:val="20"/>
                <w:lang w:val="ro-RO" w:bidi="ar-SA"/>
              </w:rPr>
            </w:pPr>
            <w:r>
              <w:rPr>
                <w:rFonts w:ascii="Arial" w:hAnsi="Arial" w:cs="Arial"/>
                <w:color w:val="auto"/>
                <w:sz w:val="20"/>
                <w:szCs w:val="20"/>
              </w:rPr>
              <w:t>The return rate should be more than 30% (to be evaluated if this rate is not reached)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1.6.3</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Patient information should be made available as needed and preferably in written form.</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Discharge interview</w:t>
            </w:r>
          </w:p>
          <w:p>
            <w:pPr>
              <w:spacing w:before="0" w:after="19"/>
              <w:ind w:left="0" w:right="0"/>
              <w:rPr>
                <w:rFonts w:ascii="Arial" w:hAnsi="Arial" w:cs="Arial"/>
                <w:color w:val="auto"/>
                <w:sz w:val="20"/>
                <w:szCs w:val="20"/>
              </w:rPr>
            </w:pPr>
            <w:r>
              <w:rPr>
                <w:rFonts w:ascii="Arial" w:hAnsi="Arial" w:cs="Arial"/>
                <w:color w:val="auto"/>
                <w:sz w:val="20"/>
                <w:szCs w:val="20"/>
              </w:rPr>
              <w:t>A conversation is held with each patient upon discharge (short documentation/checklist), in which at least the following topics are addressed and appropriate information is provided:</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Therapy planning and diagnostic check-ups</w:t>
            </w:r>
          </w:p>
          <w:p>
            <w:pPr>
              <w:numPr>
                <w:ilvl w:val="0"/>
                <w:numId w:val="61"/>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Individual aftercare plan (handover of aftercare pass) </w:t>
            </w:r>
          </w:p>
          <w:p>
            <w:pPr>
              <w:numPr>
                <w:ilvl w:val="0"/>
                <w:numId w:val="61"/>
              </w:numPr>
              <w:spacing w:before="0" w:after="19"/>
              <w:ind w:hanging="283" w:left="283"/>
              <w:rPr>
                <w:rFonts w:ascii="Arial" w:hAnsi="Arial" w:cs="Arial"/>
                <w:sz w:val="20"/>
                <w:szCs w:val="20"/>
                <w:lang w:val="ro-RO" w:bidi="ar-SA"/>
              </w:rPr>
            </w:pPr>
            <w:r>
              <w:rPr>
                <w:rFonts w:ascii="Arial" w:hAnsi="Arial" w:cs="Arial"/>
                <w:color w:val="auto"/>
                <w:sz w:val="20"/>
                <w:szCs w:val="20"/>
              </w:rPr>
              <w:t xml:space="preserve">If applicable, "patient guideline" </w:t>
            </w:r>
            <w:hyperlink xmlns:r="http://schemas.openxmlformats.org/officeDocument/2006/relationships" r:id="R3" w:tgtFrame="_blank">
              <w:r>
                <w:rPr>
                  <w:rFonts w:ascii="Arial" w:hAnsi="Arial" w:cs="Arial"/>
                  <w:color w:val="auto"/>
                  <w:sz w:val="20"/>
                  <w:szCs w:val="20"/>
                  <w:u w:val="single"/>
                </w:rPr>
                <w:t>www.leitlinienprogramm-onkologie.de</w:t>
              </w:r>
            </w:hyperlink>
            <w:r>
              <w:rPr>
                <w:rFonts w:ascii="Arial" w:hAnsi="Arial" w:cs="Arial"/>
                <w:color w:val="auto"/>
                <w:sz w:val="20"/>
                <w:szCs w:val="20"/>
              </w:rPr>
              <w:t>, flyer on self-help</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1.6.5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If patient events are (co-)financed by industry, this fact, including potential conflicts of interest of the speakers, must be revealed. The Centre must exclude any direct influence on patients by industry stakeholders.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1.7</w:t>
              <w:tab/>
              <w:t xml:space="preserve"> Study management</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1.7.2</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 Section not completed -</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Study leader</w:t>
            </w:r>
          </w:p>
          <w:p>
            <w:pPr>
              <w:spacing w:before="0" w:after="19"/>
              <w:ind w:left="0" w:right="0"/>
              <w:rPr>
                <w:rFonts w:ascii="Arial" w:hAnsi="Arial" w:cs="Arial"/>
                <w:color w:val="auto"/>
                <w:sz w:val="20"/>
                <w:szCs w:val="20"/>
              </w:rPr>
            </w:pPr>
            <w:r>
              <w:rPr>
                <w:rFonts w:ascii="Arial" w:hAnsi="Arial" w:cs="Arial"/>
                <w:color w:val="auto"/>
                <w:sz w:val="20"/>
                <w:szCs w:val="20"/>
              </w:rPr>
              <w:t>The name of the physician in charge of the study is to be given.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Study assistance</w:t>
            </w:r>
          </w:p>
          <w:p>
            <w:pPr>
              <w:numPr>
                <w:ilvl w:val="0"/>
                <w:numId w:val="62"/>
              </w:numPr>
              <w:spacing w:before="0" w:after="19"/>
              <w:ind w:hanging="283" w:left="283" w:right="0"/>
              <w:rPr>
                <w:rFonts w:ascii="Arial" w:hAnsi="Arial" w:cs="Arial"/>
                <w:color w:val="auto"/>
                <w:sz w:val="20"/>
                <w:szCs w:val="20"/>
              </w:rPr>
            </w:pPr>
            <w:r>
              <w:rPr>
                <w:rFonts w:ascii="Arial" w:hAnsi="Arial" w:cs="Arial"/>
                <w:color w:val="auto"/>
                <w:sz w:val="20"/>
                <w:szCs w:val="20"/>
              </w:rPr>
              <w:t>The name of a study assistant is to be included in the "study organisation chart" for "each active study unit".</w:t>
            </w:r>
          </w:p>
          <w:p>
            <w:pPr>
              <w:numPr>
                <w:ilvl w:val="0"/>
                <w:numId w:val="62"/>
              </w:numPr>
              <w:spacing w:before="0" w:after="19"/>
              <w:ind w:hanging="283" w:left="283"/>
              <w:rPr>
                <w:rFonts w:ascii="Arial" w:hAnsi="Arial" w:cs="Arial"/>
                <w:sz w:val="20"/>
                <w:szCs w:val="20"/>
                <w:lang w:val="ro-RO" w:bidi="ar-SA"/>
              </w:rPr>
            </w:pPr>
            <w:r>
              <w:rPr>
                <w:rFonts w:ascii="Arial" w:hAnsi="Arial" w:cs="Arial"/>
                <w:color w:val="auto"/>
                <w:sz w:val="20"/>
                <w:szCs w:val="20"/>
              </w:rPr>
              <w:t>He/she can work in a parallel manner for several "units conducting studies".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1.7.4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Proportion study patients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1. Initial certification:</w:t>
            </w:r>
          </w:p>
          <w:p>
            <w:pPr>
              <w:spacing w:before="0" w:after="19"/>
              <w:ind w:left="0" w:right="0"/>
              <w:rPr>
                <w:rFonts w:ascii="Arial" w:hAnsi="Arial" w:cs="Arial"/>
                <w:color w:val="auto"/>
                <w:sz w:val="20"/>
                <w:szCs w:val="20"/>
              </w:rPr>
            </w:pPr>
            <w:r>
              <w:rPr>
                <w:rFonts w:ascii="Arial" w:hAnsi="Arial" w:cs="Arial"/>
                <w:color w:val="auto"/>
                <w:sz w:val="20"/>
                <w:szCs w:val="20"/>
              </w:rPr>
              <w:t>At the time of initial certification ≥1 patient must have been included in studies.</w:t>
            </w:r>
          </w:p>
          <w:p>
            <w:pPr>
              <w:spacing w:before="0" w:after="19"/>
              <w:ind w:left="0" w:right="0"/>
              <w:rPr>
                <w:rFonts w:ascii="Arial" w:hAnsi="Arial" w:cs="Arial"/>
                <w:color w:val="auto"/>
                <w:sz w:val="20"/>
                <w:szCs w:val="20"/>
              </w:rPr>
            </w:pPr>
            <w:r>
              <w:rPr>
                <w:rFonts w:ascii="Arial" w:hAnsi="Arial" w:cs="Arial"/>
                <w:color w:val="auto"/>
                <w:sz w:val="20"/>
                <w:szCs w:val="20"/>
              </w:rPr>
              <w:t>2. after 1 year:</w:t>
            </w:r>
          </w:p>
          <w:p>
            <w:pPr>
              <w:spacing w:before="0" w:after="19"/>
              <w:ind w:left="0" w:right="0"/>
              <w:rPr>
                <w:rFonts w:ascii="Arial" w:hAnsi="Arial" w:cs="Arial"/>
                <w:color w:val="auto"/>
                <w:sz w:val="20"/>
                <w:szCs w:val="20"/>
              </w:rPr>
            </w:pPr>
            <w:r>
              <w:rPr>
                <w:rFonts w:ascii="Arial" w:hAnsi="Arial" w:cs="Arial"/>
                <w:color w:val="auto"/>
                <w:sz w:val="20"/>
                <w:szCs w:val="20"/>
              </w:rPr>
              <w:t>at least 5% of malignant primary case number (ICD C70-72, C75.1-3)</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Only the inclusion of patients in studies with an ethical vote counts as study participation (non-interventional/diagnostic studies and prevention studies are also recognised, sole biobank collections are excluded).</w:t>
            </w:r>
          </w:p>
          <w:p>
            <w:pPr>
              <w:spacing w:before="0" w:after="19"/>
              <w:ind w:left="0" w:right="0"/>
              <w:rPr>
                <w:rFonts w:ascii="Arial" w:hAnsi="Arial" w:cs="Arial"/>
                <w:color w:val="auto"/>
                <w:sz w:val="20"/>
                <w:szCs w:val="20"/>
              </w:rPr>
            </w:pPr>
            <w:r>
              <w:rPr>
                <w:rFonts w:ascii="Arial" w:hAnsi="Arial" w:cs="Arial"/>
                <w:color w:val="auto"/>
                <w:sz w:val="20"/>
                <w:szCs w:val="20"/>
              </w:rPr>
              <w:t>All study patients can be taken into account when calculating the study rate (share study patients based on the Centre's primary case number).</w:t>
            </w:r>
          </w:p>
          <w:p>
            <w:pPr>
              <w:spacing w:before="0" w:after="19"/>
              <w:ind w:left="0" w:right="0"/>
              <w:rPr>
                <w:rFonts w:ascii="Arial" w:hAnsi="Arial" w:cs="Arial"/>
                <w:color w:val="auto"/>
                <w:sz w:val="20"/>
                <w:szCs w:val="20"/>
              </w:rPr>
            </w:pPr>
            <w:r>
              <w:rPr>
                <w:rFonts w:ascii="Arial" w:hAnsi="Arial" w:cs="Arial"/>
                <w:color w:val="auto"/>
                <w:sz w:val="20"/>
                <w:szCs w:val="20"/>
              </w:rPr>
              <w:t>General preconditions for the definition of the study quota:</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Patients can be counted 1x per study, time: Date of patient's informed consent.</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Patients in the palliative and adjuvant situation can be counted, no limitations regarding stage of disease.</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Patients who are taking part in several studies simultaneously can be counted several times.</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rPr>
              <w:t>The study rate can also be achieved in cooperation with other active units.</w:t>
            </w:r>
          </w:p>
          <w:p>
            <w:pPr>
              <w:numPr>
                <w:ilvl w:val="0"/>
                <w:numId w:val="63"/>
              </w:numPr>
              <w:spacing w:before="0" w:after="19"/>
              <w:ind w:hanging="283" w:left="283" w:right="0"/>
              <w:rPr>
                <w:rFonts w:ascii="Arial" w:hAnsi="Arial" w:cs="Arial"/>
                <w:color w:val="auto"/>
                <w:sz w:val="20"/>
                <w:szCs w:val="20"/>
              </w:rPr>
            </w:pPr>
            <w:r>
              <w:rPr>
                <w:rFonts w:ascii="Arial" w:hAnsi="Arial" w:cs="Arial"/>
                <w:color w:val="auto"/>
                <w:sz w:val="20"/>
                <w:szCs w:val="20"/>
                <w:shd w:val="clear" w:color="auto" w:fill="00FF00"/>
              </w:rPr>
              <w:t>Study patients can be counted for 2 centres, provided that the sending centre itself conducts at least one study for patients of the Neuro-Oncology Centre. If this counting method is chosen (optional), the centre must show how many patients are included in studies at their own centre, sent to other centres/clinics to participate in studies and taken from other centres/clinics to participate in studies – see also Excel template Data Sheet.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1.8</w:t>
              <w:tab/>
              <w:t xml:space="preserve"> Nursing care</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1.8.1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1.8.2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 oncology nurses</w:t>
            </w:r>
          </w:p>
          <w:p>
            <w:pPr>
              <w:numPr>
                <w:ilvl w:val="0"/>
                <w:numId w:val="64"/>
              </w:numPr>
              <w:spacing w:before="0" w:after="19"/>
              <w:ind w:hanging="283" w:left="283" w:right="0"/>
              <w:rPr>
                <w:rFonts w:ascii="Arial" w:hAnsi="Arial" w:cs="Arial"/>
                <w:color w:val="auto"/>
                <w:sz w:val="20"/>
                <w:szCs w:val="20"/>
              </w:rPr>
            </w:pPr>
            <w:r>
              <w:rPr>
                <w:rFonts w:ascii="Arial" w:hAnsi="Arial" w:cs="Arial"/>
                <w:color w:val="auto"/>
                <w:sz w:val="20"/>
                <w:szCs w:val="20"/>
              </w:rPr>
              <w:t>At least 1 active specialist oncological nurse must be involved in the Centre.</w:t>
            </w:r>
          </w:p>
          <w:p>
            <w:pPr>
              <w:numPr>
                <w:ilvl w:val="0"/>
                <w:numId w:val="64"/>
              </w:numPr>
              <w:spacing w:before="0" w:after="19"/>
              <w:ind w:hanging="283" w:left="283"/>
              <w:rPr>
                <w:rFonts w:ascii="Arial" w:hAnsi="Arial" w:cs="Arial"/>
                <w:sz w:val="20"/>
                <w:szCs w:val="20"/>
                <w:lang w:val="ro-RO" w:bidi="ar-SA"/>
              </w:rPr>
            </w:pPr>
            <w:r>
              <w:rPr>
                <w:rFonts w:ascii="Arial" w:hAnsi="Arial" w:cs="Arial"/>
                <w:color w:val="auto"/>
                <w:sz w:val="20"/>
                <w:szCs w:val="20"/>
              </w:rPr>
              <w:t>The names of specialist oncology nurses are to be provided.</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1.9</w:t>
              <w:tab/>
              <w:t xml:space="preserve"> General service areas (pharmacy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Speech therapy</w:t>
            </w:r>
          </w:p>
          <w:p>
            <w:pPr>
              <w:spacing w:before="0" w:after="19"/>
              <w:ind w:left="0" w:right="0"/>
              <w:rPr>
                <w:rFonts w:ascii="Arial" w:hAnsi="Arial" w:cs="Arial"/>
                <w:color w:val="auto"/>
                <w:sz w:val="20"/>
                <w:szCs w:val="20"/>
              </w:rPr>
            </w:pPr>
            <w:r>
              <w:rPr>
                <w:rFonts w:ascii="Arial" w:hAnsi="Arial" w:cs="Arial"/>
                <w:color w:val="auto"/>
                <w:sz w:val="20"/>
                <w:szCs w:val="20"/>
              </w:rPr>
              <w:t>At least 1 speech therapist is available to the Centre (possibly in cooperation).</w:t>
            </w:r>
          </w:p>
          <w:p>
            <w:pPr>
              <w:spacing w:before="0" w:after="19"/>
              <w:ind w:left="0" w:right="0"/>
              <w:rPr>
                <w:rFonts w:ascii="Arial" w:hAnsi="Arial" w:cs="Arial"/>
                <w:color w:val="auto"/>
                <w:sz w:val="20"/>
                <w:szCs w:val="20"/>
              </w:rPr>
            </w:pPr>
            <w:r>
              <w:rPr>
                <w:rFonts w:ascii="Arial" w:hAnsi="Arial" w:cs="Arial"/>
                <w:color w:val="auto"/>
                <w:sz w:val="20"/>
                <w:szCs w:val="20"/>
              </w:rPr>
              <w:t>Tasks speech therapy:</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Provision of further outpatient treatment: speedy outpatient access to speech, language and swallowing therapies is to be guaranteed via cooperation agreements.</w:t>
            </w:r>
          </w:p>
          <w:p>
            <w:pPr>
              <w:numPr>
                <w:ilvl w:val="0"/>
                <w:numId w:val="65"/>
              </w:numPr>
              <w:spacing w:before="0" w:after="19"/>
              <w:ind w:hanging="283" w:left="283" w:right="0"/>
              <w:rPr>
                <w:rFonts w:ascii="Arial" w:hAnsi="Arial" w:cs="Arial"/>
                <w:color w:val="auto"/>
                <w:sz w:val="20"/>
                <w:szCs w:val="20"/>
              </w:rPr>
            </w:pPr>
            <w:r>
              <w:rPr>
                <w:rFonts w:ascii="Arial" w:hAnsi="Arial" w:cs="Arial"/>
                <w:color w:val="auto"/>
                <w:sz w:val="20"/>
                <w:szCs w:val="20"/>
              </w:rPr>
              <w:t>Voice and swallowing training, speech, language and swallowing diagnostics and therapy.</w:t>
            </w:r>
          </w:p>
          <w:p>
            <w:pPr>
              <w:numPr>
                <w:ilvl w:val="0"/>
                <w:numId w:val="65"/>
              </w:numPr>
              <w:spacing w:before="0" w:after="19"/>
              <w:ind w:hanging="283" w:left="283"/>
              <w:rPr>
                <w:rFonts w:ascii="Arial" w:hAnsi="Arial" w:cs="Arial"/>
                <w:sz w:val="20"/>
                <w:szCs w:val="20"/>
                <w:lang w:val="ro-RO" w:bidi="ar-SA"/>
              </w:rPr>
            </w:pPr>
            <w:r>
              <w:rPr>
                <w:rFonts w:ascii="Arial" w:hAnsi="Arial" w:cs="Arial"/>
                <w:color w:val="auto"/>
                <w:sz w:val="20"/>
                <w:szCs w:val="20"/>
              </w:rPr>
              <w:t>Accompaniment by food intake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1.9.3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Occupational therapy</w:t>
            </w:r>
          </w:p>
          <w:p>
            <w:pPr>
              <w:spacing w:before="0" w:after="19"/>
              <w:ind w:left="0" w:right="0"/>
              <w:rPr>
                <w:rFonts w:ascii="Arial" w:hAnsi="Arial" w:cs="Arial"/>
                <w:color w:val="auto"/>
                <w:sz w:val="20"/>
                <w:szCs w:val="20"/>
              </w:rPr>
            </w:pPr>
            <w:r>
              <w:rPr>
                <w:rFonts w:ascii="Arial" w:hAnsi="Arial" w:cs="Arial"/>
                <w:color w:val="auto"/>
                <w:sz w:val="20"/>
                <w:szCs w:val="20"/>
              </w:rPr>
              <w:t>At least 1 occupational therapist is available to the Centre (possibly in cooperation).</w:t>
            </w:r>
          </w:p>
          <w:p>
            <w:pPr>
              <w:spacing w:before="0" w:after="19"/>
              <w:ind w:left="0" w:right="0"/>
              <w:rPr>
                <w:rFonts w:ascii="Arial" w:hAnsi="Arial" w:cs="Arial"/>
                <w:color w:val="auto"/>
                <w:sz w:val="20"/>
                <w:szCs w:val="20"/>
              </w:rPr>
            </w:pPr>
            <w:r>
              <w:rPr>
                <w:rFonts w:ascii="Arial" w:hAnsi="Arial" w:cs="Arial"/>
                <w:color w:val="auto"/>
                <w:sz w:val="20"/>
                <w:szCs w:val="20"/>
              </w:rPr>
              <w:t>Tasks occupational therapy:</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 xml:space="preserve">Provision of further outpatient treatment: </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Timely outpatient access is to be ensured via cooperation agreements in collaboration with social services.</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Regaining and/or maintaining the ability to act and, by extension, the greatest possible self-autonomy and independence.</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Sensorimotor-perceptual training.</w:t>
            </w:r>
          </w:p>
          <w:p>
            <w:pPr>
              <w:numPr>
                <w:ilvl w:val="0"/>
                <w:numId w:val="66"/>
              </w:numPr>
              <w:spacing w:before="0" w:after="19"/>
              <w:ind w:hanging="283" w:left="283" w:right="0"/>
              <w:rPr>
                <w:rFonts w:ascii="Arial" w:hAnsi="Arial" w:cs="Arial"/>
                <w:color w:val="auto"/>
                <w:sz w:val="20"/>
                <w:szCs w:val="20"/>
              </w:rPr>
            </w:pPr>
            <w:r>
              <w:rPr>
                <w:rFonts w:ascii="Arial" w:hAnsi="Arial" w:cs="Arial"/>
                <w:color w:val="auto"/>
                <w:sz w:val="20"/>
                <w:szCs w:val="20"/>
              </w:rPr>
              <w:t>Cognitive and neuropsychological training.</w:t>
            </w:r>
          </w:p>
          <w:p>
            <w:pPr>
              <w:numPr>
                <w:ilvl w:val="0"/>
                <w:numId w:val="66"/>
              </w:numPr>
              <w:spacing w:before="0" w:after="19"/>
              <w:ind w:hanging="283" w:left="283"/>
              <w:rPr>
                <w:rFonts w:ascii="Arial" w:hAnsi="Arial" w:cs="Arial"/>
                <w:sz w:val="20"/>
                <w:szCs w:val="20"/>
                <w:lang w:val="ro-RO" w:bidi="ar-SA"/>
              </w:rPr>
            </w:pPr>
            <w:r>
              <w:rPr>
                <w:rFonts w:ascii="Arial" w:hAnsi="Arial" w:cs="Arial"/>
                <w:color w:val="auto"/>
                <w:sz w:val="20"/>
                <w:szCs w:val="20"/>
              </w:rPr>
              <w:t>Advice and provision of aids.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2.</w:t>
        <w:tab/>
        <w:t xml:space="preserve"> Organ-specific diagnostics</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2.1</w:t>
              <w:tab/>
              <w:t xml:space="preserve"> Consultation hours</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Information / dialogue with the patient </w:t>
            </w:r>
          </w:p>
          <w:p>
            <w:pPr>
              <w:spacing w:before="0" w:after="19"/>
              <w:ind w:left="0" w:right="0"/>
              <w:rPr>
                <w:rFonts w:ascii="Arial" w:hAnsi="Arial" w:cs="Arial"/>
                <w:color w:val="auto"/>
                <w:sz w:val="20"/>
                <w:szCs w:val="20"/>
              </w:rPr>
            </w:pPr>
            <w:r>
              <w:rPr>
                <w:rFonts w:ascii="Arial" w:hAnsi="Arial" w:cs="Arial"/>
                <w:color w:val="auto"/>
                <w:sz w:val="20"/>
                <w:szCs w:val="20"/>
              </w:rPr>
              <w:t>Adequate information must be provided about diagnosis and therapy planning and a dialogue is to be entered into. This includes inter alia:</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Presentation of alternative treatment concepts</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Offer of and aid in obtaining second opinions</w:t>
            </w:r>
          </w:p>
          <w:p>
            <w:pPr>
              <w:numPr>
                <w:ilvl w:val="0"/>
                <w:numId w:val="67"/>
              </w:numPr>
              <w:spacing w:before="0" w:after="19"/>
              <w:ind w:hanging="283" w:left="283" w:right="0"/>
              <w:rPr>
                <w:rFonts w:ascii="Arial" w:hAnsi="Arial" w:cs="Arial"/>
                <w:color w:val="auto"/>
                <w:sz w:val="20"/>
                <w:szCs w:val="20"/>
              </w:rPr>
            </w:pPr>
            <w:r>
              <w:rPr>
                <w:rFonts w:ascii="Arial" w:hAnsi="Arial" w:cs="Arial"/>
                <w:color w:val="auto"/>
                <w:sz w:val="20"/>
                <w:szCs w:val="20"/>
              </w:rPr>
              <w:t>Discharge consultations as a standard procedure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 general description is to be given of the way in which information is provided and the dialogue organised. This is to be documented for each patient in medical reports and minutes/records.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Conduct of consulting hours</w:t>
            </w:r>
          </w:p>
          <w:p>
            <w:pPr>
              <w:spacing w:before="0" w:after="19"/>
              <w:ind w:left="0" w:right="0"/>
              <w:rPr>
                <w:rFonts w:ascii="Arial" w:hAnsi="Arial" w:cs="Arial"/>
                <w:color w:val="auto"/>
                <w:sz w:val="20"/>
                <w:szCs w:val="20"/>
              </w:rPr>
            </w:pPr>
            <w:r>
              <w:rPr>
                <w:rFonts w:ascii="Arial" w:hAnsi="Arial" w:cs="Arial"/>
                <w:color w:val="auto"/>
                <w:sz w:val="20"/>
                <w:szCs w:val="20"/>
              </w:rPr>
              <w:t>For the conduct of the consulting hours a</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specialist for neurology or</w:t>
            </w:r>
          </w:p>
          <w:p>
            <w:pPr>
              <w:numPr>
                <w:ilvl w:val="0"/>
                <w:numId w:val="68"/>
              </w:numPr>
              <w:spacing w:before="0" w:after="19"/>
              <w:ind w:hanging="283" w:left="283" w:right="0"/>
              <w:rPr>
                <w:rFonts w:ascii="Arial" w:hAnsi="Arial" w:cs="Arial"/>
                <w:color w:val="auto"/>
                <w:sz w:val="20"/>
                <w:szCs w:val="20"/>
              </w:rPr>
            </w:pPr>
            <w:r>
              <w:rPr>
                <w:rFonts w:ascii="Arial" w:hAnsi="Arial" w:cs="Arial"/>
                <w:color w:val="auto"/>
                <w:sz w:val="20"/>
                <w:szCs w:val="20"/>
              </w:rPr>
              <w:t xml:space="preserve">specialist for neurosurgery </w:t>
            </w:r>
          </w:p>
          <w:p>
            <w:pPr>
              <w:spacing w:before="0" w:after="19"/>
              <w:rPr>
                <w:rFonts w:ascii="Arial" w:hAnsi="Arial" w:cs="Arial"/>
                <w:sz w:val="20"/>
                <w:szCs w:val="20"/>
                <w:lang w:val="ro-RO" w:bidi="ar-SA"/>
              </w:rPr>
            </w:pPr>
            <w:r>
              <w:rPr>
                <w:rFonts w:ascii="Arial" w:hAnsi="Arial" w:cs="Arial"/>
                <w:color w:val="auto"/>
                <w:sz w:val="20"/>
                <w:szCs w:val="20"/>
              </w:rPr>
              <w:t>is responsible.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Consulting hours in neurology and neurosurgery must be staged at least once a week and they must cover the following topics:</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Initial examination after external suspicion or confirmation of diagnosis</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Planning of next diagnostic steps</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Passing on to the interdisciplinary tumour board</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Planning of the next therapeutic steps (based on the decision of the tumour board)</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Post-surgical aftercare</w:t>
            </w:r>
          </w:p>
          <w:p>
            <w:pPr>
              <w:numPr>
                <w:ilvl w:val="0"/>
                <w:numId w:val="69"/>
              </w:numPr>
              <w:spacing w:before="0" w:after="19"/>
              <w:ind w:hanging="283" w:left="283" w:right="0"/>
              <w:rPr>
                <w:rFonts w:ascii="Arial" w:hAnsi="Arial" w:cs="Arial"/>
                <w:color w:val="auto"/>
                <w:sz w:val="20"/>
                <w:szCs w:val="20"/>
              </w:rPr>
            </w:pPr>
            <w:r>
              <w:rPr>
                <w:rFonts w:ascii="Arial" w:hAnsi="Arial" w:cs="Arial"/>
                <w:color w:val="auto"/>
                <w:sz w:val="20"/>
                <w:szCs w:val="20"/>
              </w:rPr>
              <w:t>Tumour aftercare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Consultative discussion neurosurgery or neurology on a working day</w:t>
            </w:r>
          </w:p>
          <w:p>
            <w:pPr>
              <w:spacing w:before="0" w:after="19"/>
              <w:rPr>
                <w:rFonts w:ascii="Arial" w:hAnsi="Arial" w:cs="Arial"/>
                <w:sz w:val="20"/>
                <w:szCs w:val="20"/>
                <w:lang w:val="ro-RO" w:bidi="ar-SA"/>
              </w:rPr>
            </w:pPr>
            <w:r>
              <w:rPr>
                <w:rFonts w:ascii="Arial" w:hAnsi="Arial" w:cs="Arial"/>
                <w:color w:val="auto"/>
                <w:sz w:val="20"/>
                <w:szCs w:val="20"/>
              </w:rPr>
              <w:t>If appropriate, the topics can be covered in special, separate consulting hours.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Waiting times during the consulting hours</w:t>
            </w:r>
          </w:p>
          <w:p>
            <w:pPr>
              <w:spacing w:before="0" w:after="19"/>
              <w:ind w:left="0" w:right="0"/>
              <w:rPr>
                <w:rFonts w:ascii="Arial" w:hAnsi="Arial" w:cs="Arial"/>
                <w:color w:val="auto"/>
                <w:sz w:val="20"/>
                <w:szCs w:val="20"/>
              </w:rPr>
            </w:pPr>
            <w:r>
              <w:rPr>
                <w:rFonts w:ascii="Arial" w:hAnsi="Arial" w:cs="Arial"/>
                <w:color w:val="auto"/>
                <w:sz w:val="20"/>
                <w:szCs w:val="20"/>
              </w:rPr>
              <w:t>Requirement: &lt; 60 min (target value)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How long are the waiting times for an appointment</w:t>
            </w:r>
          </w:p>
          <w:p>
            <w:pPr>
              <w:spacing w:before="0" w:after="19"/>
              <w:ind w:left="0" w:right="0"/>
              <w:rPr>
                <w:rFonts w:ascii="Arial" w:hAnsi="Arial" w:cs="Arial"/>
                <w:color w:val="auto"/>
                <w:sz w:val="20"/>
                <w:szCs w:val="20"/>
              </w:rPr>
            </w:pPr>
            <w:r>
              <w:rPr>
                <w:rFonts w:ascii="Arial" w:hAnsi="Arial" w:cs="Arial"/>
                <w:color w:val="auto"/>
                <w:sz w:val="20"/>
                <w:szCs w:val="20"/>
              </w:rPr>
              <w:t>Requirement: &lt; 2 weeks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The waiting times are to be recorded on a random basis and statistically evaluated (recommendation: evaluation period 4 weeks a year).</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From the consulting hours the following services/methods are to be ensured:</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Access to imaging</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Consultative discussion neurosurgery or neurology on a working day</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Neuropsychological diagnostics</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Neurophysiological diagnostics, e.g. EEC</w:t>
            </w:r>
          </w:p>
          <w:p>
            <w:pPr>
              <w:numPr>
                <w:ilvl w:val="0"/>
                <w:numId w:val="70"/>
              </w:numPr>
              <w:spacing w:before="0" w:after="19"/>
              <w:ind w:hanging="283" w:left="283" w:right="0"/>
              <w:rPr>
                <w:rFonts w:ascii="Arial" w:hAnsi="Arial" w:cs="Arial"/>
                <w:color w:val="auto"/>
                <w:sz w:val="20"/>
                <w:szCs w:val="20"/>
              </w:rPr>
            </w:pPr>
            <w:r>
              <w:rPr>
                <w:rFonts w:ascii="Arial" w:hAnsi="Arial" w:cs="Arial"/>
                <w:color w:val="auto"/>
                <w:sz w:val="20"/>
                <w:szCs w:val="20"/>
              </w:rPr>
              <w:t>Fluid diagnostics</w:t>
            </w:r>
          </w:p>
          <w:p>
            <w:pPr>
              <w:numPr>
                <w:ilvl w:val="0"/>
                <w:numId w:val="70"/>
              </w:numPr>
              <w:spacing w:before="0" w:after="19"/>
              <w:ind w:hanging="283" w:left="283"/>
              <w:rPr>
                <w:rFonts w:ascii="Arial" w:hAnsi="Arial" w:cs="Arial"/>
                <w:sz w:val="20"/>
                <w:szCs w:val="20"/>
                <w:lang w:val="ro-RO" w:bidi="ar-SA"/>
              </w:rPr>
            </w:pPr>
            <w:r>
              <w:rPr>
                <w:rFonts w:ascii="Arial" w:hAnsi="Arial" w:cs="Arial"/>
                <w:color w:val="auto"/>
                <w:sz w:val="20"/>
                <w:szCs w:val="20"/>
              </w:rPr>
              <w:t>Neurological examination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2.1.6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quality-determining processes are to be described with details of the responsibilities:</w:t>
            </w:r>
          </w:p>
          <w:p>
            <w:pPr>
              <w:spacing w:before="0" w:after="19"/>
              <w:ind w:left="0" w:right="0"/>
              <w:rPr>
                <w:rFonts w:ascii="Arial" w:hAnsi="Arial" w:cs="Arial"/>
                <w:color w:val="auto"/>
                <w:sz w:val="20"/>
                <w:szCs w:val="20"/>
              </w:rPr>
            </w:pPr>
            <w:r>
              <w:rPr>
                <w:rFonts w:ascii="Arial" w:hAnsi="Arial" w:cs="Arial"/>
                <w:color w:val="auto"/>
                <w:sz w:val="20"/>
                <w:szCs w:val="20"/>
              </w:rPr>
              <w:t>• Agreed course of diagnostics</w:t>
            </w:r>
          </w:p>
          <w:p>
            <w:pPr>
              <w:spacing w:before="0" w:after="19"/>
              <w:ind w:left="0" w:right="0"/>
              <w:rPr>
                <w:rFonts w:ascii="Arial" w:hAnsi="Arial" w:cs="Arial"/>
                <w:color w:val="auto"/>
                <w:sz w:val="20"/>
                <w:szCs w:val="20"/>
              </w:rPr>
            </w:pPr>
            <w:r>
              <w:rPr>
                <w:rFonts w:ascii="Arial" w:hAnsi="Arial" w:cs="Arial"/>
                <w:color w:val="auto"/>
                <w:sz w:val="20"/>
                <w:szCs w:val="20"/>
              </w:rPr>
              <w:t>• Preparation of patients for the tumour board</w:t>
            </w:r>
          </w:p>
          <w:p>
            <w:pPr>
              <w:spacing w:before="0" w:after="19"/>
              <w:ind w:left="0" w:right="0"/>
              <w:rPr>
                <w:rFonts w:ascii="Arial" w:hAnsi="Arial" w:cs="Arial"/>
                <w:color w:val="auto"/>
                <w:sz w:val="20"/>
                <w:szCs w:val="20"/>
              </w:rPr>
            </w:pPr>
            <w:r>
              <w:rPr>
                <w:rFonts w:ascii="Arial" w:hAnsi="Arial" w:cs="Arial"/>
                <w:color w:val="auto"/>
                <w:sz w:val="20"/>
                <w:szCs w:val="20"/>
              </w:rPr>
              <w:t>• In-patient admission</w:t>
            </w:r>
          </w:p>
          <w:p>
            <w:pPr>
              <w:spacing w:before="0" w:after="19"/>
              <w:rPr>
                <w:rFonts w:ascii="Arial" w:hAnsi="Arial" w:cs="Arial"/>
                <w:sz w:val="20"/>
                <w:szCs w:val="20"/>
                <w:lang w:val="ro-RO" w:bidi="ar-SA"/>
              </w:rPr>
            </w:pPr>
            <w:r>
              <w:rPr>
                <w:rFonts w:ascii="Arial" w:hAnsi="Arial" w:cs="Arial"/>
                <w:color w:val="auto"/>
                <w:sz w:val="20"/>
                <w:szCs w:val="20"/>
              </w:rPr>
              <w:t>Sufficient resources must be available to conduct the processes.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2.2</w:t>
              <w:tab/>
              <w:t xml:space="preserve"> Diagnostics</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2.2.1</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3.</w:t>
        <w:tab/>
        <w:t xml:space="preserve"> Radiology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At least 1 specialist in radiology with a focus on neuroradiology.</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Cross-over provision of staff with the same qualification is to be documented in writing.</w:t>
            </w:r>
          </w:p>
          <w:p>
            <w:pPr>
              <w:numPr>
                <w:ilvl w:val="0"/>
                <w:numId w:val="71"/>
              </w:numPr>
              <w:spacing w:before="0" w:after="19"/>
              <w:ind w:hanging="283" w:left="283" w:right="0"/>
              <w:rPr>
                <w:rFonts w:ascii="Arial" w:hAnsi="Arial" w:cs="Arial"/>
                <w:color w:val="auto"/>
                <w:sz w:val="20"/>
                <w:szCs w:val="20"/>
              </w:rPr>
            </w:pPr>
            <w:r>
              <w:rPr>
                <w:rFonts w:ascii="Arial" w:hAnsi="Arial" w:cs="Arial"/>
                <w:color w:val="auto"/>
                <w:sz w:val="20"/>
                <w:szCs w:val="20"/>
              </w:rPr>
              <w:t>The names of the specialist and cover staff are to be given.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The cooperation partner of neuroradiology may not be more than max 60 km away.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3.3</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Radiology RTAs:</w:t>
            </w:r>
          </w:p>
          <w:p>
            <w:pPr>
              <w:spacing w:before="0" w:after="19"/>
              <w:rPr>
                <w:rFonts w:ascii="Arial" w:hAnsi="Arial" w:cs="Arial"/>
                <w:sz w:val="20"/>
                <w:szCs w:val="20"/>
                <w:lang w:val="ro-RO" w:bidi="ar-SA"/>
              </w:rPr>
            </w:pPr>
            <w:r>
              <w:rPr>
                <w:rFonts w:ascii="Arial" w:hAnsi="Arial" w:cs="Arial"/>
                <w:color w:val="auto"/>
                <w:sz w:val="20"/>
                <w:szCs w:val="20"/>
              </w:rPr>
              <w:t>At least 2 qualified RTAs must be available and their names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Necessary examination methods at the location:</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Perfusion MRI</w:t>
            </w:r>
          </w:p>
          <w:p>
            <w:pPr>
              <w:numPr>
                <w:ilvl w:val="0"/>
                <w:numId w:val="72"/>
              </w:numPr>
              <w:spacing w:before="0" w:after="19"/>
              <w:ind w:hanging="283" w:left="283" w:right="0"/>
              <w:rPr>
                <w:rFonts w:ascii="Arial" w:hAnsi="Arial" w:cs="Arial"/>
                <w:color w:val="auto"/>
                <w:sz w:val="20"/>
                <w:szCs w:val="20"/>
              </w:rPr>
            </w:pPr>
            <w:r>
              <w:rPr>
                <w:rFonts w:ascii="Arial" w:hAnsi="Arial" w:cs="Arial"/>
                <w:color w:val="auto"/>
                <w:sz w:val="20"/>
                <w:szCs w:val="20"/>
              </w:rPr>
              <w:t>Digital subtraction angiography (DSA)</w:t>
            </w:r>
          </w:p>
          <w:p>
            <w:pPr>
              <w:numPr>
                <w:ilvl w:val="0"/>
                <w:numId w:val="72"/>
              </w:numPr>
              <w:spacing w:before="0" w:after="19"/>
              <w:ind w:hanging="283" w:left="283"/>
              <w:rPr>
                <w:rFonts w:ascii="Arial" w:hAnsi="Arial" w:cs="Arial"/>
                <w:sz w:val="20"/>
                <w:szCs w:val="20"/>
                <w:lang w:val="ro-RO" w:bidi="ar-SA"/>
              </w:rPr>
            </w:pPr>
            <w:r>
              <w:rPr>
                <w:rFonts w:ascii="Arial" w:hAnsi="Arial" w:cs="Arial"/>
                <w:color w:val="auto"/>
                <w:sz w:val="20"/>
                <w:szCs w:val="20"/>
              </w:rPr>
              <w:t>Optional: MR spectroscopy</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Necessary therapeutic techniques on site:</w:t>
            </w:r>
          </w:p>
          <w:p>
            <w:pPr>
              <w:numPr>
                <w:ilvl w:val="0"/>
                <w:numId w:val="73"/>
              </w:numPr>
              <w:spacing w:before="0" w:after="19"/>
              <w:ind w:hanging="283" w:left="283"/>
              <w:rPr>
                <w:rFonts w:ascii="Arial" w:hAnsi="Arial" w:cs="Arial"/>
                <w:sz w:val="20"/>
                <w:szCs w:val="20"/>
                <w:lang w:val="ro-RO" w:bidi="ar-SA"/>
              </w:rPr>
            </w:pPr>
            <w:r>
              <w:rPr>
                <w:rFonts w:ascii="Arial" w:hAnsi="Arial" w:cs="Arial"/>
                <w:color w:val="auto"/>
                <w:sz w:val="20"/>
                <w:szCs w:val="20"/>
              </w:rPr>
              <w:t>Interventional catheterisation procedures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3.6</w:t>
            </w:r>
          </w:p>
        </w:tc>
        <w:tc>
          <w:tcPr>
            <w:tcW w:w="1" w:type="dxa"/>
          </w:tcPr>
          <w:p>
            <w:pPr>
              <w:spacing w:before="0" w:after="19"/>
              <w:rPr>
                <w:rFonts w:ascii="Arial" w:hAnsi="Arial" w:cs="Arial"/>
                <w:sz w:val="20"/>
                <w:szCs w:val="20"/>
                <w:lang w:val="ro-RO" w:bidi="ar-SA"/>
              </w:rPr>
            </w:pPr>
            <w:r>
              <w:rPr>
                <w:rFonts w:ascii="Arial" w:hAnsi="Arial" w:cs="Arial"/>
                <w:color w:val="auto"/>
                <w:sz w:val="20"/>
                <w:szCs w:val="20"/>
              </w:rPr>
              <w:t>Neuroradiological assessment should be undertaken in line with the RANO/ iRANO criteria.</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4.</w:t>
        <w:tab/>
        <w:t xml:space="preserve"> Nuclear medicine</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4.2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Additional examination methods (where appropriate via cooperation):</w:t>
            </w:r>
          </w:p>
          <w:p>
            <w:pPr>
              <w:spacing w:before="0" w:after="19"/>
              <w:rPr>
                <w:rFonts w:ascii="Arial" w:hAnsi="Arial" w:cs="Arial"/>
                <w:sz w:val="20"/>
                <w:szCs w:val="20"/>
                <w:lang w:val="ro-RO" w:bidi="ar-SA"/>
              </w:rPr>
            </w:pPr>
            <w:r>
              <w:rPr>
                <w:rFonts w:ascii="Arial" w:hAnsi="Arial" w:cs="Arial"/>
                <w:color w:val="auto"/>
                <w:sz w:val="20"/>
                <w:szCs w:val="20"/>
              </w:rPr>
              <w:t>• Amino acid PET/ CT (facultative)</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5.</w:t>
        <w:tab/>
        <w:t xml:space="preserve"> Surgical oncology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5.1</w:t>
              <w:tab/>
              <w:t xml:space="preserve"> Multiple organ surgical therapy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5.2</w:t>
              <w:tab/>
              <w:t xml:space="preserve"> Organ-specific surgical therapy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Specialists </w:t>
            </w:r>
          </w:p>
          <w:p>
            <w:pPr>
              <w:numPr>
                <w:ilvl w:val="0"/>
                <w:numId w:val="74"/>
              </w:numPr>
              <w:spacing w:before="0" w:after="19"/>
              <w:ind w:hanging="283" w:left="283" w:right="0"/>
              <w:rPr>
                <w:rFonts w:ascii="Arial" w:hAnsi="Arial" w:cs="Arial"/>
                <w:color w:val="auto"/>
                <w:sz w:val="20"/>
                <w:szCs w:val="20"/>
              </w:rPr>
            </w:pPr>
            <w:r>
              <w:rPr>
                <w:rFonts w:ascii="Arial" w:hAnsi="Arial" w:cs="Arial"/>
                <w:color w:val="auto"/>
                <w:sz w:val="20"/>
                <w:szCs w:val="20"/>
              </w:rPr>
              <w:t>At least 2 neurosurgery specialists</w:t>
            </w:r>
          </w:p>
          <w:p>
            <w:pPr>
              <w:numPr>
                <w:ilvl w:val="0"/>
                <w:numId w:val="74"/>
              </w:numPr>
              <w:spacing w:before="0" w:after="19"/>
              <w:ind w:hanging="283" w:left="283"/>
              <w:rPr>
                <w:rFonts w:ascii="Arial" w:hAnsi="Arial" w:cs="Arial"/>
                <w:sz w:val="20"/>
                <w:szCs w:val="20"/>
                <w:lang w:val="ro-RO" w:bidi="ar-SA"/>
              </w:rPr>
            </w:pPr>
            <w:r>
              <w:rPr>
                <w:rFonts w:ascii="Arial" w:hAnsi="Arial" w:cs="Arial"/>
                <w:color w:val="auto"/>
                <w:sz w:val="20"/>
                <w:szCs w:val="20"/>
              </w:rPr>
              <w:t>The names of the specialists are to be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5.2.3.a</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Surgical primary cases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At least 60 primary cases (Definition see CR 1.2.1) are operated every year.</w:t>
            </w:r>
          </w:p>
          <w:p>
            <w:pPr>
              <w:spacing w:before="0" w:after="19"/>
              <w:ind w:left="0" w:right="0"/>
              <w:rPr>
                <w:rFonts w:ascii="Arial" w:hAnsi="Arial" w:cs="Arial"/>
                <w:color w:val="auto"/>
                <w:sz w:val="20"/>
                <w:szCs w:val="20"/>
              </w:rPr>
            </w:pPr>
            <w:r>
              <w:rPr>
                <w:rFonts w:ascii="Arial" w:hAnsi="Arial" w:cs="Arial"/>
                <w:color w:val="auto"/>
                <w:sz w:val="20"/>
                <w:szCs w:val="20"/>
              </w:rPr>
              <w:t>All surgeries (primary cases and recurrences) are to be performed under the supervision of the named surgeon (as 1. or 2. surgeon or along the lines of documented supervision).</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Definition surgical therapy</w:t>
            </w:r>
          </w:p>
          <w:p>
            <w:pPr>
              <w:spacing w:before="0" w:after="19"/>
              <w:ind w:left="0" w:right="0"/>
              <w:rPr>
                <w:rFonts w:ascii="Arial" w:hAnsi="Arial" w:cs="Arial"/>
                <w:color w:val="auto"/>
                <w:sz w:val="20"/>
                <w:szCs w:val="20"/>
              </w:rPr>
            </w:pPr>
            <w:r>
              <w:rPr>
                <w:rFonts w:ascii="Arial" w:hAnsi="Arial" w:cs="Arial"/>
                <w:color w:val="auto"/>
                <w:sz w:val="20"/>
                <w:szCs w:val="20"/>
              </w:rPr>
              <w:t>German procedure classification (OPS): 5-015.0; 5-015.1; 5-015.3; 5-015.4; 5-016.0; 5-016.2; 5-016.4; 5-016.6; 5-017.1, 5-035, 5-075</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5.2.3.b</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Biopsies:</w:t>
            </w:r>
          </w:p>
          <w:p>
            <w:pPr>
              <w:spacing w:before="0" w:after="19"/>
              <w:ind w:left="0" w:right="0"/>
              <w:rPr>
                <w:rFonts w:ascii="Arial" w:hAnsi="Arial" w:cs="Arial"/>
                <w:color w:val="auto"/>
                <w:sz w:val="20"/>
                <w:szCs w:val="20"/>
              </w:rPr>
            </w:pPr>
            <w:r>
              <w:rPr>
                <w:rFonts w:ascii="Arial" w:hAnsi="Arial" w:cs="Arial"/>
                <w:color w:val="auto"/>
                <w:sz w:val="20"/>
                <w:szCs w:val="20"/>
              </w:rPr>
              <w:t>Recording biopsies for primary cases: German procedure classification (OPS): 1-510.; 1-511; 1-512.; 1-514; 1-515</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Qualification surgeons</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Per surgeon evidence of at least 25 open neuro-oncological operations/year (as 1st or 2nd surgeon as part of training of new surgeons).</w:t>
            </w:r>
          </w:p>
          <w:p>
            <w:pPr>
              <w:numPr>
                <w:ilvl w:val="0"/>
                <w:numId w:val="75"/>
              </w:numPr>
              <w:spacing w:before="0" w:after="19"/>
              <w:ind w:hanging="283" w:left="283" w:right="0"/>
              <w:rPr>
                <w:rFonts w:ascii="Arial" w:hAnsi="Arial" w:cs="Arial"/>
                <w:color w:val="auto"/>
                <w:sz w:val="20"/>
                <w:szCs w:val="20"/>
              </w:rPr>
            </w:pPr>
            <w:r>
              <w:rPr>
                <w:rFonts w:ascii="Arial" w:hAnsi="Arial" w:cs="Arial"/>
                <w:color w:val="auto"/>
                <w:sz w:val="20"/>
                <w:szCs w:val="20"/>
              </w:rPr>
              <w:t>The special qualification of surgeons is documented via curricula.</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OPS classification:</w:t>
            </w:r>
          </w:p>
          <w:p>
            <w:pPr>
              <w:spacing w:before="0" w:after="19"/>
              <w:ind w:left="0" w:right="0"/>
              <w:rPr>
                <w:rFonts w:ascii="Arial" w:hAnsi="Arial" w:cs="Arial"/>
                <w:color w:val="auto"/>
                <w:sz w:val="20"/>
                <w:szCs w:val="20"/>
              </w:rPr>
            </w:pPr>
            <w:r>
              <w:rPr>
                <w:rFonts w:ascii="Arial" w:hAnsi="Arial" w:cs="Arial"/>
                <w:color w:val="auto"/>
                <w:sz w:val="20"/>
                <w:szCs w:val="20"/>
              </w:rPr>
              <w:t>5-015.0; 5-015.1; 5-015.3; 5-015.4; 5-016.0; 5-016.2; 5-016.4; 5-016.6; 5-017.1; 5-035; 5-075</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Approval of new surgeons</w:t>
            </w:r>
          </w:p>
          <w:p>
            <w:pPr>
              <w:numPr>
                <w:ilvl w:val="0"/>
                <w:numId w:val="76"/>
              </w:numPr>
              <w:spacing w:before="0" w:after="19"/>
              <w:ind w:hanging="283" w:left="283" w:right="0"/>
              <w:rPr>
                <w:rFonts w:ascii="Arial" w:hAnsi="Arial" w:cs="Arial"/>
                <w:color w:val="auto"/>
                <w:sz w:val="20"/>
                <w:szCs w:val="20"/>
              </w:rPr>
            </w:pPr>
            <w:r>
              <w:rPr>
                <w:rFonts w:ascii="Arial" w:hAnsi="Arial" w:cs="Arial"/>
                <w:color w:val="auto"/>
                <w:sz w:val="20"/>
                <w:szCs w:val="20"/>
              </w:rPr>
              <w:t>Specialist for neurosurgery</w:t>
            </w:r>
          </w:p>
          <w:p>
            <w:pPr>
              <w:numPr>
                <w:ilvl w:val="0"/>
                <w:numId w:val="76"/>
              </w:numPr>
              <w:spacing w:before="0" w:after="19"/>
              <w:ind w:hanging="283" w:left="283"/>
              <w:rPr>
                <w:rFonts w:ascii="Arial" w:hAnsi="Arial" w:cs="Arial"/>
                <w:sz w:val="20"/>
                <w:szCs w:val="20"/>
                <w:lang w:val="ro-RO" w:bidi="ar-SA"/>
              </w:rPr>
            </w:pPr>
            <w:r>
              <w:rPr>
                <w:rFonts w:ascii="Arial" w:hAnsi="Arial" w:cs="Arial"/>
                <w:color w:val="auto"/>
                <w:sz w:val="20"/>
                <w:szCs w:val="20"/>
              </w:rPr>
              <w:t>In addition to the specialist title: Proof of at least 50 operations on supra- or infratentorial tumours, 20 surgeries on spinal tumours (including vertebral metastases) and 20 biopsies performed with the support of computer-aided, three dimensional planning systems (e.g. stereotaxy, neuronavigation systems) (submission of surgical reports, performance as 1st surgeon)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Stereotaxy</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1 specialist for neurosurgery with key knowledge on stereotaxy must be available (can be identical with 5.2.2).</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Cover staff arrangements must be in place.</w:t>
            </w:r>
          </w:p>
          <w:p>
            <w:pPr>
              <w:numPr>
                <w:ilvl w:val="0"/>
                <w:numId w:val="77"/>
              </w:numPr>
              <w:spacing w:before="0" w:after="19"/>
              <w:ind w:hanging="283" w:left="283" w:right="0"/>
              <w:rPr>
                <w:rFonts w:ascii="Arial" w:hAnsi="Arial" w:cs="Arial"/>
                <w:color w:val="auto"/>
                <w:sz w:val="20"/>
                <w:szCs w:val="20"/>
              </w:rPr>
            </w:pPr>
            <w:r>
              <w:rPr>
                <w:rFonts w:ascii="Arial" w:hAnsi="Arial" w:cs="Arial"/>
                <w:color w:val="auto"/>
                <w:sz w:val="20"/>
                <w:szCs w:val="20"/>
              </w:rPr>
              <w:t xml:space="preserve">Qualifications for frame-based biopsy must be </w:t>
            </w:r>
            <w:r>
              <w:rPr>
                <w:rFonts w:ascii="Arial" w:hAnsi="Arial" w:cs="Arial"/>
                <w:color w:val="auto"/>
                <w:sz w:val="20"/>
                <w:szCs w:val="20"/>
                <w:shd w:val="clear" w:color="auto" w:fill="00FF00"/>
              </w:rPr>
              <w:t>shown</w:t>
            </w:r>
            <w:r>
              <w:rPr>
                <w:rFonts w:ascii="Arial" w:hAnsi="Arial" w:cs="Arial"/>
                <w:color w:val="auto"/>
                <w:sz w:val="20"/>
                <w:szCs w:val="20"/>
              </w:rPr>
              <w:t xml:space="preserve"> </w:t>
            </w:r>
            <w:r>
              <w:rPr>
                <w:rFonts w:ascii="Arial" w:hAnsi="Arial" w:cs="Arial"/>
                <w:strike w:val="1"/>
                <w:color w:val="auto"/>
                <w:sz w:val="20"/>
                <w:szCs w:val="20"/>
                <w:shd w:val="clear" w:color="auto" w:fill="00FE00"/>
              </w:rPr>
              <w:t>documented</w:t>
            </w:r>
            <w:r>
              <w:rPr>
                <w:rFonts w:ascii="Arial" w:hAnsi="Arial" w:cs="Arial"/>
                <w:color w:val="auto"/>
                <w:sz w:val="20"/>
                <w:szCs w:val="20"/>
              </w:rPr>
              <w:t xml:space="preserve"> in curricula / surgical logbooks or </w:t>
            </w:r>
            <w:r>
              <w:rPr>
                <w:rFonts w:ascii="Arial" w:hAnsi="Arial" w:cs="Arial"/>
                <w:color w:val="auto"/>
                <w:sz w:val="20"/>
                <w:szCs w:val="20"/>
                <w:shd w:val="clear" w:color="auto" w:fill="00FF00"/>
              </w:rPr>
              <w:t>cooperation's</w:t>
            </w:r>
            <w:r>
              <w:rPr>
                <w:rFonts w:ascii="Arial" w:hAnsi="Arial" w:cs="Arial"/>
                <w:color w:val="auto"/>
                <w:sz w:val="20"/>
                <w:szCs w:val="20"/>
              </w:rPr>
              <w:t xml:space="preserve">. </w:t>
            </w:r>
          </w:p>
          <w:p>
            <w:pPr>
              <w:numPr>
                <w:ilvl w:val="0"/>
                <w:numId w:val="77"/>
              </w:numPr>
              <w:spacing w:before="0" w:after="19"/>
              <w:ind w:hanging="283" w:left="283"/>
              <w:rPr>
                <w:rFonts w:ascii="Arial" w:hAnsi="Arial" w:cs="Arial"/>
                <w:sz w:val="20"/>
                <w:szCs w:val="20"/>
                <w:lang w:val="ro-RO" w:bidi="ar-SA"/>
              </w:rPr>
            </w:pPr>
            <w:r>
              <w:rPr>
                <w:rFonts w:ascii="Arial" w:hAnsi="Arial" w:cs="Arial"/>
                <w:color w:val="auto"/>
                <w:sz w:val="20"/>
                <w:szCs w:val="20"/>
              </w:rPr>
              <w:t>Requirement: 10 frame-based</w:t>
            </w:r>
            <w:r>
              <w:rPr>
                <w:rFonts w:ascii="Arial" w:hAnsi="Arial" w:cs="Arial"/>
                <w:color w:val="auto"/>
                <w:sz w:val="20"/>
                <w:szCs w:val="20"/>
                <w:shd w:val="clear" w:color="auto" w:fill="00FF00"/>
              </w:rPr>
              <w:t>/frameless</w:t>
            </w:r>
            <w:r>
              <w:rPr>
                <w:rFonts w:ascii="Arial" w:hAnsi="Arial" w:cs="Arial"/>
                <w:color w:val="auto"/>
                <w:sz w:val="20"/>
                <w:szCs w:val="20"/>
              </w:rPr>
              <w:t xml:space="preserve"> biopsies /year.</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Training of new surgeons</w:t>
            </w:r>
          </w:p>
          <w:p>
            <w:pPr>
              <w:spacing w:before="0" w:after="19"/>
              <w:rPr>
                <w:rFonts w:ascii="Arial" w:hAnsi="Arial" w:cs="Arial"/>
                <w:sz w:val="20"/>
                <w:szCs w:val="20"/>
                <w:lang w:val="ro-RO" w:bidi="ar-SA"/>
              </w:rPr>
            </w:pPr>
            <w:r>
              <w:rPr>
                <w:rFonts w:ascii="Arial" w:hAnsi="Arial" w:cs="Arial"/>
                <w:color w:val="auto"/>
                <w:sz w:val="20"/>
                <w:szCs w:val="20"/>
              </w:rPr>
              <w:t>Per centre and per 50 primary cases the training of further surgeons must be guaranteed and proven.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Structures/methods that must be available</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Minimal invasive, stereotactic surgical methods also using neuronavigation</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Microsurgery</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Intraoperative electrophysiological monitoring (evoked potential, EMG, cortical and subcortical stimulation)</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Methods for intraoperative tumour localisation (intra-OP MRI, ultrasound, fluorescence</w:t>
            </w:r>
          </w:p>
          <w:p>
            <w:pPr>
              <w:numPr>
                <w:ilvl w:val="0"/>
                <w:numId w:val="78"/>
              </w:numPr>
              <w:spacing w:before="0" w:after="19"/>
              <w:ind w:hanging="283" w:left="283" w:right="0"/>
              <w:rPr>
                <w:rFonts w:ascii="Arial" w:hAnsi="Arial" w:cs="Arial"/>
                <w:color w:val="auto"/>
                <w:sz w:val="20"/>
                <w:szCs w:val="20"/>
              </w:rPr>
            </w:pPr>
            <w:r>
              <w:rPr>
                <w:rFonts w:ascii="Arial" w:hAnsi="Arial" w:cs="Arial"/>
                <w:color w:val="auto"/>
                <w:sz w:val="20"/>
                <w:szCs w:val="20"/>
              </w:rPr>
              <w:t>Early postoperative MRI controls within 72 hours</w:t>
            </w:r>
          </w:p>
          <w:p>
            <w:pPr>
              <w:numPr>
                <w:ilvl w:val="0"/>
                <w:numId w:val="78"/>
              </w:numPr>
              <w:spacing w:before="0" w:after="19"/>
              <w:ind w:hanging="283" w:left="283"/>
              <w:rPr>
                <w:rFonts w:ascii="Arial" w:hAnsi="Arial" w:cs="Arial"/>
                <w:sz w:val="20"/>
                <w:szCs w:val="20"/>
                <w:lang w:val="ro-RO" w:bidi="ar-SA"/>
              </w:rPr>
            </w:pPr>
            <w:r>
              <w:rPr>
                <w:rFonts w:ascii="Arial" w:hAnsi="Arial" w:cs="Arial"/>
                <w:color w:val="auto"/>
                <w:sz w:val="20"/>
                <w:szCs w:val="20"/>
              </w:rPr>
              <w:t>Intraoperative frozen section diagnosis by neuropathologist</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On call/reachability neurosurgery</w:t>
            </w:r>
          </w:p>
          <w:p>
            <w:pPr>
              <w:spacing w:before="0" w:after="19"/>
              <w:rPr>
                <w:rFonts w:ascii="Arial" w:hAnsi="Arial" w:cs="Arial"/>
                <w:sz w:val="20"/>
                <w:szCs w:val="20"/>
                <w:lang w:val="ro-RO" w:bidi="ar-SA"/>
              </w:rPr>
            </w:pPr>
            <w:r>
              <w:rPr>
                <w:rFonts w:ascii="Arial" w:hAnsi="Arial" w:cs="Arial"/>
                <w:color w:val="auto"/>
                <w:sz w:val="20"/>
                <w:szCs w:val="20"/>
              </w:rPr>
              <w:t>24-hour reachability and surgical emergency care outside normal working hours including weekends and public holidays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following quality-determining processes are to be described with details of the responsibilities:</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Surgical preliminary preparation of patients</w:t>
            </w:r>
          </w:p>
          <w:p>
            <w:pPr>
              <w:numPr>
                <w:ilvl w:val="0"/>
                <w:numId w:val="79"/>
              </w:numPr>
              <w:spacing w:before="0" w:after="19"/>
              <w:ind w:hanging="283" w:left="283" w:right="0"/>
              <w:rPr>
                <w:rFonts w:ascii="Arial" w:hAnsi="Arial" w:cs="Arial"/>
                <w:color w:val="auto"/>
                <w:sz w:val="20"/>
                <w:szCs w:val="20"/>
              </w:rPr>
            </w:pPr>
            <w:r>
              <w:rPr>
                <w:rFonts w:ascii="Arial" w:hAnsi="Arial" w:cs="Arial"/>
                <w:color w:val="auto"/>
                <w:sz w:val="20"/>
                <w:szCs w:val="20"/>
              </w:rPr>
              <w:t>Standard of surgical strategies</w:t>
            </w:r>
          </w:p>
          <w:p>
            <w:pPr>
              <w:numPr>
                <w:ilvl w:val="0"/>
                <w:numId w:val="79"/>
              </w:numPr>
              <w:spacing w:before="0" w:after="19"/>
              <w:ind w:hanging="283" w:left="283"/>
              <w:rPr>
                <w:rFonts w:ascii="Arial" w:hAnsi="Arial" w:cs="Arial"/>
                <w:sz w:val="20"/>
                <w:szCs w:val="20"/>
                <w:lang w:val="ro-RO" w:bidi="ar-SA"/>
              </w:rPr>
            </w:pPr>
            <w:r>
              <w:rPr>
                <w:rFonts w:ascii="Arial" w:hAnsi="Arial" w:cs="Arial"/>
                <w:color w:val="auto"/>
                <w:sz w:val="20"/>
                <w:szCs w:val="20"/>
              </w:rPr>
              <w:t>Surgical aftercare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Postoperative complications</w:t>
            </w:r>
          </w:p>
          <w:p>
            <w:pPr>
              <w:spacing w:before="0" w:after="19"/>
              <w:ind w:left="0" w:right="0"/>
              <w:rPr>
                <w:rFonts w:ascii="Arial" w:hAnsi="Arial" w:cs="Arial"/>
                <w:color w:val="auto"/>
                <w:sz w:val="20"/>
                <w:szCs w:val="20"/>
              </w:rPr>
            </w:pPr>
            <w:r>
              <w:rPr>
                <w:rFonts w:ascii="Arial" w:hAnsi="Arial" w:cs="Arial"/>
                <w:color w:val="auto"/>
                <w:sz w:val="20"/>
                <w:szCs w:val="20"/>
              </w:rPr>
              <w:t>To be collected (cf. Data Sheet):</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Revision surgeries due to intra- or postoperative complications in own Centre</w:t>
            </w:r>
          </w:p>
          <w:p>
            <w:pPr>
              <w:numPr>
                <w:ilvl w:val="0"/>
                <w:numId w:val="80"/>
              </w:numPr>
              <w:spacing w:before="0" w:after="19"/>
              <w:ind w:hanging="283" w:left="283" w:right="0"/>
              <w:rPr>
                <w:rFonts w:ascii="Arial" w:hAnsi="Arial" w:cs="Arial"/>
                <w:color w:val="auto"/>
                <w:sz w:val="20"/>
                <w:szCs w:val="20"/>
              </w:rPr>
            </w:pPr>
            <w:r>
              <w:rPr>
                <w:rFonts w:ascii="Arial" w:hAnsi="Arial" w:cs="Arial"/>
                <w:color w:val="auto"/>
                <w:sz w:val="20"/>
                <w:szCs w:val="20"/>
              </w:rPr>
              <w:t>Clinically symptomatic postoperative haemorrhage</w:t>
            </w:r>
          </w:p>
          <w:p>
            <w:pPr>
              <w:numPr>
                <w:ilvl w:val="0"/>
                <w:numId w:val="80"/>
              </w:numPr>
              <w:spacing w:before="0" w:after="19"/>
              <w:ind w:hanging="283" w:left="283"/>
              <w:rPr>
                <w:rFonts w:ascii="Arial" w:hAnsi="Arial" w:cs="Arial"/>
                <w:sz w:val="20"/>
                <w:szCs w:val="20"/>
                <w:lang w:val="ro-RO" w:bidi="ar-SA"/>
              </w:rPr>
            </w:pPr>
            <w:r>
              <w:rPr>
                <w:rFonts w:ascii="Arial" w:hAnsi="Arial" w:cs="Arial"/>
                <w:color w:val="auto"/>
                <w:sz w:val="20"/>
                <w:szCs w:val="20"/>
              </w:rPr>
              <w:t>Postoperative wound infections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5.2.12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Postoperative surveillance </w:t>
            </w:r>
          </w:p>
          <w:p>
            <w:pPr>
              <w:numPr>
                <w:ilvl w:val="0"/>
                <w:numId w:val="81"/>
              </w:numPr>
              <w:spacing w:before="0" w:after="19"/>
              <w:ind w:hanging="283" w:left="283" w:right="0"/>
              <w:rPr>
                <w:rFonts w:ascii="Arial" w:hAnsi="Arial" w:cs="Arial"/>
                <w:color w:val="auto"/>
                <w:sz w:val="20"/>
                <w:szCs w:val="20"/>
              </w:rPr>
            </w:pPr>
            <w:r>
              <w:rPr>
                <w:rFonts w:ascii="Arial" w:hAnsi="Arial" w:cs="Arial"/>
                <w:color w:val="auto"/>
                <w:sz w:val="20"/>
                <w:szCs w:val="20"/>
              </w:rPr>
              <w:t>Beds must be available for postoperative surveillance in the intensive care ward or intermediate care station.</w:t>
            </w:r>
          </w:p>
          <w:p>
            <w:pPr>
              <w:numPr>
                <w:ilvl w:val="0"/>
                <w:numId w:val="81"/>
              </w:numPr>
              <w:spacing w:before="0" w:after="19"/>
              <w:ind w:hanging="283" w:left="283"/>
              <w:rPr>
                <w:rFonts w:ascii="Arial" w:hAnsi="Arial" w:cs="Arial"/>
                <w:sz w:val="20"/>
                <w:szCs w:val="20"/>
                <w:lang w:val="ro-RO" w:bidi="ar-SA"/>
              </w:rPr>
            </w:pPr>
            <w:r>
              <w:rPr>
                <w:rFonts w:ascii="Arial" w:hAnsi="Arial" w:cs="Arial"/>
                <w:color w:val="auto"/>
                <w:sz w:val="20"/>
                <w:szCs w:val="20"/>
              </w:rPr>
              <w:t>The processes for postoperative care and transfer to the normal ward are to be described, including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6.</w:t>
        <w:tab/>
        <w:t xml:space="preserve"> Medicinal oncology/ Systemic therapy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6.1</w:t>
              <w:tab/>
              <w:t xml:space="preserve"> Medical oncology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6.1.2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Doctors' qualifications</w:t>
            </w:r>
          </w:p>
          <w:p>
            <w:pPr>
              <w:spacing w:before="0" w:after="19"/>
              <w:ind w:left="0" w:right="0"/>
              <w:rPr>
                <w:rFonts w:ascii="Arial" w:hAnsi="Arial" w:cs="Arial"/>
                <w:color w:val="auto"/>
                <w:sz w:val="20"/>
                <w:szCs w:val="20"/>
              </w:rPr>
            </w:pPr>
            <w:r>
              <w:rPr>
                <w:rFonts w:ascii="Arial" w:hAnsi="Arial" w:cs="Arial"/>
                <w:color w:val="auto"/>
                <w:sz w:val="20"/>
                <w:szCs w:val="20"/>
              </w:rPr>
              <w:t>Specialist for internal medicine with the focus designation haematology and oncology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Requirements (optional)</w:t>
            </w:r>
          </w:p>
          <w:p>
            <w:pPr>
              <w:spacing w:before="0" w:after="19"/>
              <w:ind w:left="0" w:right="0"/>
              <w:rPr>
                <w:rFonts w:ascii="Arial" w:hAnsi="Arial" w:cs="Arial"/>
                <w:color w:val="auto"/>
                <w:sz w:val="20"/>
                <w:szCs w:val="20"/>
              </w:rPr>
            </w:pPr>
            <w:r>
              <w:rPr>
                <w:rFonts w:ascii="Arial" w:hAnsi="Arial" w:cs="Arial"/>
                <w:color w:val="auto"/>
                <w:sz w:val="20"/>
                <w:szCs w:val="20"/>
              </w:rPr>
              <w:t>Entitlement to specialty training by the competent medical association in the focus haematology and oncology</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The name of one representative with the above-mentioned qualification is to be given.</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b w:val="1"/>
                <w:bCs w:val="1"/>
                <w:strike w:val="0"/>
                <w:sz w:val="20"/>
                <w:szCs w:val="20"/>
                <w:lang w:val="ro-RO" w:bidi="ar-SA"/>
              </w:rPr>
            </w:pPr>
            <w:r>
              <w:rPr>
                <w:rFonts w:ascii="Arial" w:hAnsi="Arial" w:cs="Arial"/>
                <w:b w:val="1"/>
                <w:bCs w:val="1"/>
                <w:strike w:val="0"/>
                <w:sz w:val="20"/>
                <w:szCs w:val="20"/>
                <w:lang w:val="ro-RO" w:bidi="ar-SA"/>
              </w:rPr>
              <w:t>6.2</w:t>
              <w:tab/>
              <w:t xml:space="preserve"> Organ-specific systemic therapy</w:t>
            </w:r>
          </w:p>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6.2.2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Autologous stem cell transplantation </w:t>
            </w:r>
          </w:p>
          <w:p>
            <w:pPr>
              <w:spacing w:before="0" w:after="19"/>
              <w:rPr>
                <w:rFonts w:ascii="Arial" w:hAnsi="Arial" w:cs="Arial"/>
                <w:sz w:val="20"/>
                <w:szCs w:val="20"/>
                <w:lang w:val="ro-RO" w:bidi="ar-SA"/>
              </w:rPr>
            </w:pPr>
            <w:r>
              <w:rPr>
                <w:rFonts w:ascii="Arial" w:hAnsi="Arial" w:cs="Arial"/>
                <w:color w:val="auto"/>
                <w:sz w:val="20"/>
                <w:szCs w:val="20"/>
              </w:rPr>
              <w:t>The option of autologous stem cell transplantation must be available, where appropriate, in cooperation.</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7.</w:t>
        <w:tab/>
        <w:t xml:space="preserve"> Radio-oncology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7.0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Technical and Medical Requirements to be met by radio-oncology are summed up in the "Catalogue of Requirements Radio-Oncology" in a cross-organ manner. Independently of the number of Organ Cancer Centres / Modules, which work with a radio-oncology unit, this "Catalogue of Requirements Radio-Oncology" is only to be processed once and also only updated once per audit year (goal: no multiple presentations or on-site inspections within one audit year). The "Catalogue of Requirements Radio-Oncology" therefore constitutes an annex to this Catalogue of Requirements.</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 xml:space="preserve">Download cross-organ "Catalogue of Requirements Radio-Oncology" on </w:t>
            </w:r>
            <w:hyperlink xmlns:r="http://schemas.openxmlformats.org/officeDocument/2006/relationships" r:id="R4" w:tgtFrame="_blank">
              <w:r>
                <w:rPr>
                  <w:rFonts w:ascii="Arial" w:hAnsi="Arial" w:cs="Arial"/>
                  <w:color w:val="auto"/>
                  <w:sz w:val="20"/>
                  <w:szCs w:val="20"/>
                  <w:u w:val="single"/>
                </w:rPr>
                <w:t>www.ecc-cert.org</w:t>
              </w:r>
            </w:hyperlink>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8.</w:t>
        <w:tab/>
        <w:t xml:space="preserve"> Pathology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Alternatively, the Technical and Medical Requirements to be met by </w:t>
            </w:r>
            <w:r>
              <w:rPr>
                <w:rFonts w:ascii="Arial" w:hAnsi="Arial" w:cs="Arial"/>
                <w:color w:val="auto"/>
                <w:sz w:val="20"/>
                <w:szCs w:val="20"/>
                <w:shd w:val="clear" w:color="auto" w:fill="00FF00"/>
              </w:rPr>
              <w:t>Neuro</w:t>
            </w:r>
            <w:r>
              <w:rPr>
                <w:rFonts w:ascii="Arial" w:hAnsi="Arial" w:cs="Arial"/>
                <w:color w:val="auto"/>
                <w:sz w:val="20"/>
                <w:szCs w:val="20"/>
              </w:rPr>
              <w:t>pathology can be presented in the "Catalogue of Requirements Pathology". This is especially recommended when the pathology unit is named as a cooperation partner (one-off, cross-organ presentation) for further certified Organ Cancer Centres. In this case the Catalogue of Requirements "Pathology" is an annex to the Catalogue of Requirements and, consequently, is to be submitted, too.</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 xml:space="preserve">Download cross-organ "Catalogue of Requirements Pathology" on </w:t>
            </w:r>
            <w:hyperlink xmlns:r="http://schemas.openxmlformats.org/officeDocument/2006/relationships" r:id="R5" w:tgtFrame="_blank">
              <w:r>
                <w:rPr>
                  <w:rFonts w:ascii="Arial" w:hAnsi="Arial" w:cs="Arial"/>
                  <w:color w:val="auto"/>
                  <w:sz w:val="20"/>
                  <w:szCs w:val="20"/>
                  <w:u w:val="single"/>
                </w:rPr>
                <w:t>www.ecc-cert.org</w:t>
              </w:r>
            </w:hyperlink>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Specialists</w:t>
            </w:r>
          </w:p>
          <w:p>
            <w:pPr>
              <w:numPr>
                <w:ilvl w:val="0"/>
                <w:numId w:val="82"/>
              </w:numPr>
              <w:spacing w:before="0" w:after="19"/>
              <w:ind w:hanging="283" w:left="283" w:right="0"/>
              <w:rPr>
                <w:rFonts w:ascii="Arial" w:hAnsi="Arial" w:cs="Arial"/>
                <w:color w:val="auto"/>
                <w:sz w:val="20"/>
                <w:szCs w:val="20"/>
              </w:rPr>
            </w:pPr>
            <w:r>
              <w:rPr>
                <w:rFonts w:ascii="Arial" w:hAnsi="Arial" w:cs="Arial"/>
                <w:color w:val="auto"/>
                <w:sz w:val="20"/>
                <w:szCs w:val="20"/>
              </w:rPr>
              <w:t xml:space="preserve">At least 2 </w:t>
            </w:r>
            <w:r>
              <w:rPr>
                <w:rFonts w:ascii="Arial" w:hAnsi="Arial" w:cs="Arial"/>
                <w:color w:val="auto"/>
                <w:sz w:val="20"/>
                <w:szCs w:val="20"/>
                <w:shd w:val="clear" w:color="auto" w:fill="00FF00"/>
              </w:rPr>
              <w:t>specialist</w:t>
            </w:r>
            <w:r>
              <w:rPr>
                <w:rFonts w:ascii="Arial" w:hAnsi="Arial" w:cs="Arial"/>
                <w:color w:val="auto"/>
                <w:sz w:val="20"/>
                <w:szCs w:val="20"/>
              </w:rPr>
              <w:t xml:space="preserve"> neuropathologists are available to the Centre (possibly in cooperation).</w:t>
            </w:r>
          </w:p>
          <w:p>
            <w:pPr>
              <w:numPr>
                <w:ilvl w:val="0"/>
                <w:numId w:val="82"/>
              </w:numPr>
              <w:spacing w:before="0" w:after="19"/>
              <w:ind w:hanging="283" w:left="283"/>
              <w:rPr>
                <w:rFonts w:ascii="Arial" w:hAnsi="Arial" w:cs="Arial"/>
                <w:sz w:val="20"/>
                <w:szCs w:val="20"/>
                <w:lang w:val="ro-RO" w:bidi="ar-SA"/>
              </w:rPr>
            </w:pPr>
            <w:r>
              <w:rPr>
                <w:rFonts w:ascii="Arial" w:hAnsi="Arial" w:cs="Arial"/>
                <w:color w:val="auto"/>
                <w:sz w:val="20"/>
                <w:szCs w:val="20"/>
              </w:rPr>
              <w:t>The names of the specialists are to be given.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8.3</w:t>
            </w:r>
          </w:p>
        </w:tc>
        <w:tc>
          <w:tcPr>
            <w:tcW w:w="1" w:type="dxa"/>
          </w:tcPr>
          <w:p>
            <w:pPr>
              <w:spacing w:before="0" w:after="19"/>
              <w:ind w:left="0" w:right="0"/>
              <w:rPr>
                <w:rFonts w:ascii="Arial" w:hAnsi="Arial" w:cs="Arial"/>
                <w:color w:val="auto"/>
                <w:sz w:val="20"/>
                <w:szCs w:val="20"/>
              </w:rPr>
            </w:pPr>
            <w:r>
              <w:rPr>
                <w:rFonts w:ascii="Arial" w:hAnsi="Arial" w:cs="Arial"/>
                <w:strike w:val="1"/>
                <w:color w:val="auto"/>
                <w:sz w:val="20"/>
                <w:szCs w:val="20"/>
                <w:shd w:val="clear" w:color="auto" w:fill="00FE00"/>
              </w:rPr>
              <w:t xml:space="preserve">MTAs </w:t>
            </w:r>
            <w:r>
              <w:rPr>
                <w:rFonts w:ascii="Arial" w:hAnsi="Arial" w:cs="Arial"/>
                <w:color w:val="auto"/>
                <w:sz w:val="20"/>
                <w:szCs w:val="20"/>
                <w:shd w:val="clear" w:color="auto" w:fill="00FF00"/>
              </w:rPr>
              <w:t>Medical technologist for laboratory analysis (MTLs)</w:t>
            </w:r>
          </w:p>
          <w:p>
            <w:pPr>
              <w:spacing w:before="0" w:after="19"/>
              <w:rPr>
                <w:rFonts w:ascii="Arial" w:hAnsi="Arial" w:cs="Arial"/>
                <w:sz w:val="20"/>
                <w:szCs w:val="20"/>
                <w:lang w:val="ro-RO" w:bidi="ar-SA"/>
              </w:rPr>
            </w:pPr>
            <w:r>
              <w:rPr>
                <w:rFonts w:ascii="Arial" w:hAnsi="Arial" w:cs="Arial"/>
                <w:color w:val="auto"/>
                <w:sz w:val="20"/>
                <w:szCs w:val="20"/>
              </w:rPr>
              <w:t xml:space="preserve">A sufficient number of qualified </w:t>
            </w:r>
            <w:r>
              <w:rPr>
                <w:rFonts w:ascii="Arial" w:hAnsi="Arial" w:cs="Arial"/>
                <w:strike w:val="1"/>
                <w:color w:val="auto"/>
                <w:sz w:val="20"/>
                <w:szCs w:val="20"/>
                <w:shd w:val="clear" w:color="auto" w:fill="00FE00"/>
              </w:rPr>
              <w:t>MTAs /</w:t>
            </w:r>
            <w:r>
              <w:rPr>
                <w:rFonts w:ascii="Arial" w:hAnsi="Arial" w:cs="Arial"/>
                <w:color w:val="auto"/>
                <w:sz w:val="20"/>
                <w:szCs w:val="20"/>
              </w:rPr>
              <w:t xml:space="preserve"> </w:t>
            </w:r>
            <w:r>
              <w:rPr>
                <w:rFonts w:ascii="Arial" w:hAnsi="Arial" w:cs="Arial"/>
                <w:color w:val="auto"/>
                <w:sz w:val="20"/>
                <w:szCs w:val="20"/>
                <w:shd w:val="clear" w:color="auto" w:fill="00FF00"/>
              </w:rPr>
              <w:t xml:space="preserve">MTLs </w:t>
            </w:r>
            <w:r>
              <w:rPr>
                <w:rFonts w:ascii="Arial" w:hAnsi="Arial" w:cs="Arial"/>
                <w:color w:val="auto"/>
                <w:sz w:val="20"/>
                <w:szCs w:val="20"/>
              </w:rPr>
              <w:t>technical assistants must be available.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8.4</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 xml:space="preserve">Case numbers Institute/Department of Neuropathology </w:t>
            </w:r>
          </w:p>
          <w:p>
            <w:pPr>
              <w:spacing w:before="0" w:after="19"/>
              <w:rPr>
                <w:rFonts w:ascii="Arial" w:hAnsi="Arial" w:cs="Arial"/>
                <w:sz w:val="20"/>
                <w:szCs w:val="20"/>
                <w:lang w:val="ro-RO" w:bidi="ar-SA"/>
              </w:rPr>
            </w:pPr>
            <w:r>
              <w:rPr>
                <w:rFonts w:ascii="Arial" w:hAnsi="Arial" w:cs="Arial"/>
                <w:color w:val="auto"/>
                <w:sz w:val="20"/>
                <w:szCs w:val="20"/>
              </w:rPr>
              <w:t>Every year at least 1,000 histological, including cytological and immunohistochemical, tests (case numbers, proof via journal no.)</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8.5</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Histological classification</w:t>
            </w:r>
          </w:p>
          <w:p>
            <w:pPr>
              <w:numPr>
                <w:ilvl w:val="0"/>
                <w:numId w:val="83"/>
              </w:numPr>
              <w:spacing w:before="0" w:after="19"/>
              <w:ind w:hanging="283" w:left="283" w:right="0"/>
              <w:rPr>
                <w:rFonts w:ascii="Arial" w:hAnsi="Arial" w:cs="Arial"/>
                <w:color w:val="auto"/>
                <w:sz w:val="20"/>
                <w:szCs w:val="20"/>
              </w:rPr>
            </w:pPr>
            <w:r>
              <w:rPr>
                <w:rFonts w:ascii="Arial" w:hAnsi="Arial" w:cs="Arial"/>
                <w:color w:val="auto"/>
                <w:sz w:val="20"/>
                <w:szCs w:val="20"/>
              </w:rPr>
              <w:t xml:space="preserve">In line with the criteria of the current WHO classification </w:t>
            </w:r>
            <w:r>
              <w:rPr>
                <w:rFonts w:ascii="Arial" w:hAnsi="Arial" w:cs="Arial"/>
                <w:color w:val="auto"/>
                <w:sz w:val="20"/>
                <w:szCs w:val="20"/>
                <w:shd w:val="clear" w:color="auto" w:fill="00FF00"/>
              </w:rPr>
              <w:t>2021</w:t>
            </w:r>
            <w:r>
              <w:rPr>
                <w:rFonts w:ascii="Arial" w:hAnsi="Arial" w:cs="Arial"/>
                <w:color w:val="auto"/>
                <w:sz w:val="20"/>
                <w:szCs w:val="20"/>
              </w:rPr>
              <w:t xml:space="preserve"> of tumours of the central nervous system</w:t>
            </w:r>
          </w:p>
          <w:p>
            <w:pPr>
              <w:numPr>
                <w:ilvl w:val="0"/>
                <w:numId w:val="83"/>
              </w:numPr>
              <w:spacing w:before="0" w:after="19"/>
              <w:ind w:hanging="283" w:left="283"/>
              <w:rPr>
                <w:rFonts w:ascii="Arial" w:hAnsi="Arial" w:cs="Arial"/>
                <w:sz w:val="20"/>
                <w:szCs w:val="20"/>
                <w:lang w:val="ro-RO" w:bidi="ar-SA"/>
              </w:rPr>
            </w:pPr>
            <w:r>
              <w:rPr>
                <w:rFonts w:ascii="Arial" w:hAnsi="Arial" w:cs="Arial"/>
                <w:color w:val="auto"/>
                <w:sz w:val="20"/>
                <w:szCs w:val="20"/>
              </w:rPr>
              <w:t>The histological, cytological, histochemical and immunohistochemical methods required under the WHO criteria must be established.</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8.6</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Stereotactic brain biopsies</w:t>
            </w:r>
          </w:p>
          <w:p>
            <w:pPr>
              <w:spacing w:before="0" w:after="19"/>
              <w:rPr>
                <w:rFonts w:ascii="Arial" w:hAnsi="Arial" w:cs="Arial"/>
                <w:sz w:val="20"/>
                <w:szCs w:val="20"/>
                <w:lang w:val="ro-RO" w:bidi="ar-SA"/>
              </w:rPr>
            </w:pPr>
            <w:r>
              <w:rPr>
                <w:rFonts w:ascii="Arial" w:hAnsi="Arial" w:cs="Arial"/>
                <w:color w:val="auto"/>
                <w:sz w:val="20"/>
                <w:szCs w:val="20"/>
              </w:rPr>
              <w:t>Possibility of processing and gaining experience in the microscopic assessment of stereotactic brain biopsies must be available.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8.6.1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Assessment frozen sections / specimens</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 xml:space="preserve">All frozen sections / sections are to be diagnosed by </w:t>
            </w:r>
            <w:r>
              <w:rPr>
                <w:rFonts w:ascii="Arial" w:hAnsi="Arial" w:cs="Arial"/>
                <w:color w:val="auto"/>
                <w:sz w:val="20"/>
                <w:szCs w:val="20"/>
                <w:shd w:val="clear" w:color="auto" w:fill="00FF00"/>
              </w:rPr>
              <w:t xml:space="preserve">specialist for </w:t>
            </w:r>
            <w:r>
              <w:rPr>
                <w:rFonts w:ascii="Arial" w:hAnsi="Arial" w:cs="Arial"/>
                <w:color w:val="auto"/>
                <w:sz w:val="20"/>
                <w:szCs w:val="20"/>
              </w:rPr>
              <w:t>neuropatholog</w:t>
            </w:r>
            <w:r>
              <w:rPr>
                <w:rFonts w:ascii="Arial" w:hAnsi="Arial" w:cs="Arial"/>
                <w:color w:val="auto"/>
                <w:sz w:val="20"/>
                <w:szCs w:val="20"/>
                <w:shd w:val="clear" w:color="auto" w:fill="00FF00"/>
              </w:rPr>
              <w:t>y</w:t>
            </w:r>
            <w:r>
              <w:rPr>
                <w:rFonts w:ascii="Arial" w:hAnsi="Arial" w:cs="Arial"/>
                <w:strike w:val="1"/>
                <w:color w:val="auto"/>
                <w:sz w:val="20"/>
                <w:szCs w:val="20"/>
                <w:shd w:val="clear" w:color="auto" w:fill="00FE00"/>
              </w:rPr>
              <w:t>ists</w:t>
            </w:r>
            <w:r>
              <w:rPr>
                <w:rFonts w:ascii="Arial" w:hAnsi="Arial" w:cs="Arial"/>
                <w:color w:val="auto"/>
                <w:sz w:val="20"/>
                <w:szCs w:val="20"/>
              </w:rPr>
              <w:t xml:space="preserve"> (as a rule on site, possibly via cooperation; cooperations &gt; 45km are to be justified).</w:t>
            </w:r>
          </w:p>
          <w:p>
            <w:pPr>
              <w:numPr>
                <w:ilvl w:val="0"/>
                <w:numId w:val="84"/>
              </w:numPr>
              <w:spacing w:before="0" w:after="19"/>
              <w:ind w:hanging="283" w:left="283" w:right="0"/>
              <w:rPr>
                <w:rFonts w:ascii="Arial" w:hAnsi="Arial" w:cs="Arial"/>
                <w:color w:val="auto"/>
                <w:sz w:val="20"/>
                <w:szCs w:val="20"/>
              </w:rPr>
            </w:pPr>
            <w:r>
              <w:rPr>
                <w:rFonts w:ascii="Arial" w:hAnsi="Arial" w:cs="Arial"/>
                <w:color w:val="auto"/>
                <w:sz w:val="20"/>
                <w:szCs w:val="20"/>
              </w:rPr>
              <w:t>In exceptional cases the cutting of the frozen section may be undertaken by pathologists on site. In these cases, the telemedical microscopic assessment of the frozen sections must be done by the neuropathology specialist.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8.7</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Cytopathological assessment</w:t>
            </w:r>
          </w:p>
          <w:p>
            <w:pPr>
              <w:spacing w:before="0" w:after="19"/>
              <w:rPr>
                <w:rFonts w:ascii="Arial" w:hAnsi="Arial" w:cs="Arial"/>
                <w:sz w:val="20"/>
                <w:szCs w:val="20"/>
                <w:lang w:val="ro-RO" w:bidi="ar-SA"/>
              </w:rPr>
            </w:pPr>
            <w:r>
              <w:rPr>
                <w:rFonts w:ascii="Arial" w:hAnsi="Arial" w:cs="Arial"/>
                <w:color w:val="auto"/>
                <w:sz w:val="20"/>
                <w:szCs w:val="20"/>
              </w:rPr>
              <w:t>Possibility of processing and gaining experience in the microscopic assessment of liquor-cytological specimens must be available.</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8.8</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Molecular diagnostics</w:t>
            </w:r>
          </w:p>
          <w:p>
            <w:pPr>
              <w:spacing w:before="0" w:after="19"/>
              <w:ind w:left="0" w:right="0"/>
              <w:rPr>
                <w:rFonts w:ascii="Arial" w:hAnsi="Arial" w:cs="Arial"/>
                <w:color w:val="auto"/>
                <w:sz w:val="20"/>
                <w:szCs w:val="20"/>
              </w:rPr>
            </w:pPr>
            <w:r>
              <w:rPr>
                <w:rFonts w:ascii="Arial" w:hAnsi="Arial" w:cs="Arial"/>
                <w:color w:val="auto"/>
                <w:sz w:val="20"/>
                <w:szCs w:val="20"/>
              </w:rPr>
              <w:t xml:space="preserve">Possibility to determine relevant neuro-oncological markers in line with WHO classification </w:t>
            </w:r>
            <w:r>
              <w:rPr>
                <w:rFonts w:ascii="Arial" w:hAnsi="Arial" w:cs="Arial"/>
                <w:strike w:val="1"/>
                <w:color w:val="auto"/>
                <w:sz w:val="20"/>
                <w:szCs w:val="20"/>
                <w:shd w:val="clear" w:color="auto" w:fill="00FE00"/>
              </w:rPr>
              <w:t>2016</w:t>
            </w:r>
            <w:r>
              <w:rPr>
                <w:rFonts w:ascii="Arial" w:hAnsi="Arial" w:cs="Arial"/>
                <w:color w:val="auto"/>
                <w:sz w:val="20"/>
                <w:szCs w:val="20"/>
              </w:rPr>
              <w:t xml:space="preserve"> </w:t>
            </w:r>
            <w:r>
              <w:rPr>
                <w:rFonts w:ascii="Arial" w:hAnsi="Arial" w:cs="Arial"/>
                <w:color w:val="auto"/>
                <w:sz w:val="20"/>
                <w:szCs w:val="20"/>
                <w:shd w:val="clear" w:color="auto" w:fill="00FF00"/>
              </w:rPr>
              <w:t>2021</w:t>
            </w:r>
            <w:r>
              <w:rPr>
                <w:rFonts w:ascii="Arial" w:hAnsi="Arial" w:cs="Arial"/>
                <w:color w:val="auto"/>
                <w:sz w:val="20"/>
                <w:szCs w:val="20"/>
              </w:rPr>
              <w:t xml:space="preserve"> </w:t>
            </w:r>
            <w:r>
              <w:rPr>
                <w:rFonts w:ascii="Arial" w:hAnsi="Arial" w:cs="Arial"/>
                <w:strike w:val="1"/>
                <w:color w:val="auto"/>
                <w:sz w:val="20"/>
                <w:szCs w:val="20"/>
                <w:shd w:val="clear" w:color="auto" w:fill="00FE00"/>
              </w:rPr>
              <w:t>(e.g. MGMT promoter methylation, 1p/ 19q deletion, mutations in the IDH1 gene)</w:t>
            </w:r>
            <w:r>
              <w:rPr>
                <w:rFonts w:ascii="Arial" w:hAnsi="Arial" w:cs="Arial"/>
                <w:color w:val="auto"/>
                <w:sz w:val="20"/>
                <w:szCs w:val="20"/>
              </w:rPr>
              <w:t xml:space="preserve"> (possibly in cooperation) and to gain experience in the assessment of molecular pathological findings must be available.</w:t>
            </w:r>
          </w:p>
          <w:p>
            <w:pPr>
              <w:spacing w:before="0" w:after="19"/>
              <w:rPr>
                <w:rFonts w:ascii="Arial" w:hAnsi="Arial" w:cs="Arial"/>
                <w:sz w:val="20"/>
                <w:szCs w:val="20"/>
                <w:lang w:val="ro-RO" w:bidi="ar-SA"/>
              </w:rPr>
            </w:pPr>
            <w:r>
              <w:rPr>
                <w:rFonts w:ascii="Arial" w:hAnsi="Arial" w:cs="Arial"/>
                <w:color w:val="auto"/>
                <w:sz w:val="20"/>
                <w:szCs w:val="20"/>
                <w:shd w:val="clear" w:color="auto" w:fill="00FF00"/>
              </w:rPr>
              <w:t>There is an opportunity to perform and evaluate DNA methylome, RNA/DNA panel NGS (possibly in cooperation).</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8.9</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Asservation of tissue samples</w:t>
            </w:r>
          </w:p>
          <w:p>
            <w:pPr>
              <w:spacing w:before="0" w:after="19"/>
              <w:rPr>
                <w:rFonts w:ascii="Arial" w:hAnsi="Arial" w:cs="Arial"/>
                <w:sz w:val="20"/>
                <w:szCs w:val="20"/>
                <w:lang w:val="ro-RO" w:bidi="ar-SA"/>
              </w:rPr>
            </w:pPr>
            <w:r>
              <w:rPr>
                <w:rFonts w:ascii="Arial" w:hAnsi="Arial" w:cs="Arial"/>
                <w:color w:val="auto"/>
                <w:sz w:val="20"/>
                <w:szCs w:val="20"/>
              </w:rPr>
              <w:t xml:space="preserve">In addition to the asservation of the paraffin blocks and sliced specimens, there must be a possibility of asservation of shock-frozen tissue samples at at least -80 </w:t>
            </w:r>
            <w:r>
              <w:rPr>
                <w:rFonts w:ascii="Arial" w:hAnsi="Arial" w:cs="Arial"/>
                <w:color w:val="auto"/>
                <w:sz w:val="20"/>
                <w:szCs w:val="20"/>
                <w:vertAlign w:val="superscript"/>
              </w:rPr>
              <w:t>o</w:t>
            </w:r>
            <w:r>
              <w:rPr>
                <w:rFonts w:ascii="Arial" w:hAnsi="Arial" w:cs="Arial"/>
                <w:color w:val="auto"/>
                <w:sz w:val="20"/>
                <w:szCs w:val="20"/>
              </w:rPr>
              <w:t>C.</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8.10</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Participation in clinical trials and translational research projects</w:t>
            </w:r>
          </w:p>
          <w:p>
            <w:pPr>
              <w:numPr>
                <w:ilvl w:val="0"/>
                <w:numId w:val="85"/>
              </w:numPr>
              <w:spacing w:before="0" w:after="19"/>
              <w:ind w:hanging="283" w:left="283" w:right="0"/>
              <w:rPr>
                <w:rFonts w:ascii="Arial" w:hAnsi="Arial" w:cs="Arial"/>
                <w:color w:val="auto"/>
                <w:sz w:val="20"/>
                <w:szCs w:val="20"/>
              </w:rPr>
            </w:pPr>
            <w:r>
              <w:rPr>
                <w:rFonts w:ascii="Arial" w:hAnsi="Arial" w:cs="Arial"/>
                <w:color w:val="auto"/>
                <w:sz w:val="20"/>
                <w:szCs w:val="20"/>
              </w:rPr>
              <w:t>Provision/dispatch of tissue samples for reference histological evaluation as part of clinical trials</w:t>
            </w:r>
          </w:p>
          <w:p>
            <w:pPr>
              <w:numPr>
                <w:ilvl w:val="0"/>
                <w:numId w:val="85"/>
              </w:numPr>
              <w:spacing w:before="0" w:after="19"/>
              <w:ind w:hanging="283" w:left="283"/>
              <w:rPr>
                <w:rFonts w:ascii="Arial" w:hAnsi="Arial" w:cs="Arial"/>
                <w:sz w:val="20"/>
                <w:szCs w:val="20"/>
                <w:lang w:val="ro-RO" w:bidi="ar-SA"/>
              </w:rPr>
            </w:pPr>
            <w:r>
              <w:rPr>
                <w:rFonts w:ascii="Arial" w:hAnsi="Arial" w:cs="Arial"/>
                <w:color w:val="auto"/>
                <w:sz w:val="20"/>
                <w:szCs w:val="20"/>
              </w:rPr>
              <w:t>Asservation, provision and possibly dispatch of tissue samples for translational research projects as part of clinical trials.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9.</w:t>
        <w:tab/>
        <w:t xml:space="preserve"> Palliative care and hospice care</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9.1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rPr>
          <w:rFonts w:ascii="Arial" w:hAnsi="Arial" w:cs="Arial"/>
          <w:b w:val="1"/>
          <w:bCs w:val="1"/>
          <w:color w:val="auto"/>
          <w:sz w:val="20"/>
          <w:szCs w:val="20"/>
          <w:lang w:val="ro-RO" w:bidi="ar-SA"/>
        </w:rPr>
      </w:pPr>
      <w:r>
        <w:rPr>
          <w:rFonts w:ascii="Arial" w:hAnsi="Arial" w:cs="Arial"/>
          <w:b w:val="1"/>
          <w:bCs w:val="1"/>
          <w:color w:val="auto"/>
          <w:sz w:val="20"/>
          <w:szCs w:val="20"/>
          <w:lang w:val="ro-RO" w:bidi="ar-SA"/>
        </w:rPr>
        <w:t>10.</w:t>
        <w:tab/>
        <w:t xml:space="preserve"> Tumour documentation / Outcome quality</w:t>
      </w:r>
    </w:p>
    <w:p>
      <w:pPr>
        <w:rPr>
          <w:rFonts w:ascii="Arial" w:hAnsi="Arial" w:cs="Arial"/>
          <w:sz w:val="20"/>
          <w:szCs w:val="20"/>
          <w:lang w:val="ro-RO" w:bidi="ar-SA"/>
        </w:rPr>
      </w:pPr>
    </w:p>
    <w:tbl>
      <w:tblPr>
        <w:tblStyle w:val="T1"/>
        <w:tblW w:w="0" w:type="dxa"/>
        <w:jc w:val="left"/>
        <w:tblLayout w:type="fixed"/>
        <w:tblLook w:val="04A0"/>
      </w:tblPr>
      <w:tblGrid/>
      <w:tr>
        <w:trPr>
          <w:tblHeader/>
        </w:trPr>
        <w:tc>
          <w:tcPr>
            <w:tcW w:w="648" w:type="dxa"/>
            <w:gridSpan w:val="3"/>
            <w:tcBorders>
              <w:top w:val="nil"/>
              <w:left w:val="nil"/>
              <w:right w:val="nil"/>
            </w:tcBorders>
          </w:tcPr>
          <w:p>
            <w:pPr>
              <w:spacing w:before="0" w:after="19"/>
              <w:rPr>
                <w:rFonts w:ascii="Arial" w:hAnsi="Arial" w:cs="Arial"/>
                <w:sz w:val="20"/>
                <w:szCs w:val="20"/>
                <w:lang w:val="ro-RO" w:bidi="ar-SA"/>
              </w:rPr>
            </w:pPr>
          </w:p>
        </w:tc>
      </w:tr>
      <w:tr>
        <w:trPr>
          <w:tblHeader/>
        </w:trPr>
        <w:tc>
          <w:tcPr>
            <w:tcW w:w="964"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Section</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Requirements</w:t>
            </w:r>
          </w:p>
        </w:tc>
        <w:tc>
          <w:tcPr>
            <w:tcW w:w="4649" w:type="dxa"/>
          </w:tcPr>
          <w:p>
            <w:pPr>
              <w:spacing w:before="0" w:after="19"/>
              <w:jc w:val="center"/>
              <w:rPr>
                <w:rFonts w:ascii="Arial" w:hAnsi="Arial" w:cs="Arial"/>
                <w:b w:val="1"/>
                <w:bCs w:val="1"/>
                <w:sz w:val="20"/>
                <w:szCs w:val="20"/>
                <w:lang w:val="ro-RO" w:bidi="ar-SA"/>
              </w:rPr>
            </w:pPr>
            <w:r>
              <w:rPr>
                <w:rFonts w:ascii="Arial" w:hAnsi="Arial" w:cs="Arial"/>
                <w:b w:val="1"/>
                <w:bCs w:val="1"/>
                <w:sz w:val="20"/>
                <w:szCs w:val="20"/>
                <w:lang w:val="ro-RO" w:bidi="ar-SA"/>
              </w:rPr>
              <w:t>Explanatory remarks by the Cancer Centre</w:t>
            </w: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10.1</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The requirements of the Catalogue of Requirements Oncology Centres are to be met.</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Any special features of neuro-oncological tumours are to be described here with details of responsibilities.</w:t>
            </w:r>
          </w:p>
        </w:tc>
        <w:tc>
          <w:tcPr>
            <w:tcW w:w="1" w:type="dxa"/>
          </w:tcPr>
          <w:p>
            <w:pPr>
              <w:spacing w:before="0" w:after="19"/>
              <w:rPr>
                <w:rFonts w:ascii="Arial" w:hAnsi="Arial" w:cs="Arial"/>
                <w:sz w:val="20"/>
                <w:szCs w:val="20"/>
                <w:lang w:val="ro-RO" w:bidi="ar-SA"/>
              </w:rPr>
            </w:pPr>
          </w:p>
        </w:tc>
      </w:tr>
      <w:tr>
        <w:tc>
          <w:tcPr>
            <w:tcW w:w="1" w:type="dxa"/>
          </w:tcPr>
          <w:p>
            <w:pPr>
              <w:spacing w:before="0" w:after="19"/>
              <w:rPr>
                <w:rFonts w:ascii="Arial" w:hAnsi="Arial" w:cs="Arial"/>
                <w:sz w:val="20"/>
                <w:szCs w:val="20"/>
                <w:lang w:val="ro-RO" w:bidi="ar-SA"/>
              </w:rPr>
            </w:pPr>
            <w:r>
              <w:rPr>
                <w:rFonts w:ascii="Arial" w:hAnsi="Arial" w:cs="Arial"/>
                <w:color w:val="auto"/>
                <w:sz w:val="20"/>
                <w:szCs w:val="20"/>
                <w:lang w:val="ro-RO" w:bidi="ar-SA"/>
              </w:rPr>
              <w:t>10.2</w:t>
            </w:r>
          </w:p>
        </w:tc>
        <w:tc>
          <w:tcPr>
            <w:tcW w:w="1" w:type="dxa"/>
          </w:tcPr>
          <w:p>
            <w:pPr>
              <w:spacing w:before="0" w:after="19"/>
              <w:ind w:left="0" w:right="0"/>
              <w:rPr>
                <w:rFonts w:ascii="Arial" w:hAnsi="Arial" w:cs="Arial"/>
                <w:color w:val="auto"/>
                <w:sz w:val="20"/>
                <w:szCs w:val="20"/>
              </w:rPr>
            </w:pPr>
            <w:r>
              <w:rPr>
                <w:rFonts w:ascii="Arial" w:hAnsi="Arial" w:cs="Arial"/>
                <w:color w:val="auto"/>
                <w:sz w:val="20"/>
                <w:szCs w:val="20"/>
              </w:rPr>
              <w:t>Tumour documentation system</w:t>
            </w:r>
          </w:p>
          <w:p>
            <w:pPr>
              <w:numPr>
                <w:ilvl w:val="0"/>
                <w:numId w:val="86"/>
              </w:numPr>
              <w:spacing w:before="0" w:after="19"/>
              <w:ind w:hanging="283" w:left="283" w:right="0"/>
              <w:rPr>
                <w:rFonts w:ascii="Arial" w:hAnsi="Arial" w:cs="Arial"/>
                <w:color w:val="auto"/>
                <w:sz w:val="20"/>
                <w:szCs w:val="20"/>
              </w:rPr>
            </w:pPr>
            <w:r>
              <w:rPr>
                <w:rFonts w:ascii="Arial" w:hAnsi="Arial" w:cs="Arial"/>
                <w:color w:val="auto"/>
                <w:sz w:val="20"/>
                <w:szCs w:val="20"/>
              </w:rPr>
              <w:t>Tumour documentation, which contains the patient data for a minimum period of 3 months, must be in place at the time of initial certification.</w:t>
            </w:r>
          </w:p>
          <w:p>
            <w:pPr>
              <w:numPr>
                <w:ilvl w:val="0"/>
                <w:numId w:val="86"/>
              </w:numPr>
              <w:spacing w:before="0" w:after="19"/>
              <w:ind w:hanging="283" w:left="283" w:right="0"/>
              <w:rPr>
                <w:rFonts w:ascii="Arial" w:hAnsi="Arial" w:cs="Arial"/>
                <w:color w:val="auto"/>
                <w:sz w:val="20"/>
                <w:szCs w:val="20"/>
              </w:rPr>
            </w:pPr>
            <w:r>
              <w:rPr>
                <w:rFonts w:ascii="Arial" w:hAnsi="Arial" w:cs="Arial"/>
                <w:color w:val="auto"/>
                <w:sz w:val="20"/>
                <w:szCs w:val="20"/>
              </w:rPr>
              <w:t>The patients with neuro-oncological tumours must be recorded in one tumour documentation system.</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Name of the tumour documentation system in a cancer registry and/or Centre</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A data set in line with the Uniform Oncological Basic Data Set (Einheitlicher Onkologischer Basisdatensatz) and its modules of the Working Group of German Tumour Centres (Arbeitsgemeinschaft Deutscher Tumorzentren - ADT) and the Association of Population-based Cancer Registries in Germany (Gesellschaft der epidemiologischen Krebsregister in Deutschland - GEKID) must be used.</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ind w:left="0" w:right="0"/>
              <w:rPr>
                <w:rFonts w:ascii="Arial" w:hAnsi="Arial" w:cs="Arial"/>
                <w:color w:val="auto"/>
                <w:sz w:val="20"/>
                <w:szCs w:val="20"/>
              </w:rPr>
            </w:pPr>
            <w:r>
              <w:rPr>
                <w:rFonts w:ascii="Arial" w:hAnsi="Arial" w:cs="Arial"/>
                <w:color w:val="auto"/>
                <w:sz w:val="20"/>
                <w:szCs w:val="20"/>
              </w:rPr>
              <w:t>The Centre must ensure that the data transfer to the competent cancer registry is done in a timely manner. Any existing federal state laws for notification deadlines are to be complied with.</w:t>
            </w:r>
          </w:p>
          <w:p>
            <w:pPr>
              <w:spacing w:before="0" w:after="19"/>
              <w:ind w:left="0" w:right="0"/>
              <w:rPr>
                <w:rFonts w:ascii="Arial" w:hAnsi="Arial" w:cs="Arial"/>
                <w:color w:val="auto"/>
                <w:sz w:val="20"/>
                <w:szCs w:val="20"/>
              </w:rPr>
            </w:pPr>
            <w:r>
              <w:rPr>
                <w:rFonts w:ascii="Arial" w:hAnsi="Arial" w:cs="Arial"/>
                <w:color w:val="auto"/>
                <w:sz w:val="20"/>
                <w:szCs w:val="20"/>
              </w:rPr>
              <w:t> </w:t>
            </w:r>
          </w:p>
          <w:p>
            <w:pPr>
              <w:spacing w:before="0" w:after="19"/>
              <w:rPr>
                <w:rFonts w:ascii="Arial" w:hAnsi="Arial" w:cs="Arial"/>
                <w:sz w:val="20"/>
                <w:szCs w:val="20"/>
                <w:lang w:val="ro-RO" w:bidi="ar-SA"/>
              </w:rPr>
            </w:pPr>
            <w:r>
              <w:rPr>
                <w:rFonts w:ascii="Arial" w:hAnsi="Arial" w:cs="Arial"/>
                <w:color w:val="auto"/>
                <w:sz w:val="20"/>
                <w:szCs w:val="20"/>
              </w:rPr>
              <w:t>For further information, see FAQ.</w:t>
            </w:r>
          </w:p>
        </w:tc>
        <w:tc>
          <w:tcPr>
            <w:tcW w:w="1" w:type="dxa"/>
          </w:tcPr>
          <w:p>
            <w:pPr>
              <w:spacing w:before="0" w:after="19"/>
              <w:rPr>
                <w:rFonts w:ascii="Arial" w:hAnsi="Arial" w:cs="Arial"/>
                <w:sz w:val="20"/>
                <w:szCs w:val="20"/>
                <w:lang w:val="ro-RO" w:bidi="ar-SA"/>
              </w:rPr>
            </w:pPr>
          </w:p>
        </w:tc>
      </w:tr>
    </w:tbl>
    <w:p>
      <w:pPr>
        <w:rPr>
          <w:rFonts w:ascii="Arial" w:hAnsi="Arial" w:cs="Arial"/>
          <w:sz w:val="20"/>
          <w:szCs w:val="20"/>
          <w:lang w:val="ro-RO" w:bidi="ar-SA"/>
        </w:rPr>
      </w:pPr>
    </w:p>
    <w:p>
      <w:pPr>
        <w:rPr>
          <w:rFonts w:ascii="Arial" w:hAnsi="Arial" w:cs="Arial"/>
          <w:sz w:val="20"/>
          <w:szCs w:val="20"/>
          <w:lang w:val="ro-RO" w:bidi="ar-SA"/>
        </w:rPr>
      </w:pPr>
    </w:p>
    <w:p>
      <w:pPr>
        <w:widowControl w:val="1"/>
        <w:rPr>
          <w:rFonts w:ascii="Arial" w:hAnsi="Arial"/>
          <w:lang w:val="ro-RO" w:bidi="ar-SA" w:eastAsia="de-DE"/>
        </w:rPr>
      </w:pPr>
    </w:p>
    <w:p>
      <w:pPr>
        <w:widowControl w:val="1"/>
        <w:rPr>
          <w:rFonts w:ascii="Arial" w:hAnsi="Arial"/>
          <w:lang w:val="ro-RO" w:bidi="he-IL" w:eastAsia="de-DE"/>
        </w:rPr>
      </w:pPr>
    </w:p>
    <w:p>
      <w:pPr>
        <w:pStyle w:val="P5"/>
        <w:widowControl w:val="1"/>
        <w:tabs>
          <w:tab w:val="clear" w:pos="4536" w:leader="none"/>
          <w:tab w:val="clear" w:pos="9072" w:leader="none"/>
        </w:tabs>
        <w:rPr>
          <w:rFonts w:ascii="Arial" w:hAnsi="Arial"/>
          <w:lang w:val="en-US" w:bidi="he-IL" w:eastAsia="de-DE"/>
        </w:rPr>
      </w:pPr>
    </w:p>
    <w:p>
      <w:pPr>
        <w:widowControl w:val="1"/>
        <w:rPr>
          <w:rFonts w:ascii="Arial" w:hAnsi="Arial"/>
          <w:b w:val="1"/>
          <w:bCs w:val="1"/>
          <w:lang w:val="en-GB" w:bidi="he-IL" w:eastAsia="de-DE"/>
        </w:rPr>
      </w:pPr>
      <w:bookmarkStart w:id="7" w:name="_Hlk184138692"/>
      <w:r>
        <w:rPr>
          <w:rFonts w:ascii="Arial" w:hAnsi="Arial"/>
          <w:b w:val="1"/>
          <w:bCs w:val="1"/>
          <w:lang w:val="en-GB" w:bidi="he-IL" w:eastAsia="de-DE"/>
        </w:rPr>
        <w:t>Data Sheet</w:t>
      </w:r>
    </w:p>
    <w:p>
      <w:pPr>
        <w:widowControl w:val="1"/>
        <w:rPr>
          <w:rFonts w:ascii="Arial" w:hAnsi="Arial"/>
          <w:bCs w:val="1"/>
          <w:lang w:val="en-GB" w:bidi="he-IL" w:eastAsia="de-DE"/>
        </w:rPr>
      </w:pPr>
    </w:p>
    <w:p>
      <w:pPr>
        <w:widowControl w:val="1"/>
        <w:jc w:val="both"/>
        <w:rPr>
          <w:rFonts w:ascii="Arial" w:hAnsi="Arial"/>
          <w:bCs w:val="1"/>
          <w:lang w:val="en-GB" w:bidi="he-IL" w:eastAsia="de-DE"/>
        </w:rPr>
      </w:pPr>
      <w:r>
        <w:rPr>
          <w:rFonts w:ascii="Arial" w:hAnsi="Arial"/>
          <w:bCs w:val="1"/>
          <w:lang w:val="en-GB" w:bidi="he-IL" w:eastAsia="de-DE"/>
        </w:rPr>
        <w:t>A Data Sheet (EXCEL template) is available for presenting the Basic Data, indicators and other data from the Centre. The Data Sheet is an appendix to the Catalouge of Requirement.</w:t>
      </w:r>
    </w:p>
    <w:p>
      <w:pPr>
        <w:widowControl w:val="1"/>
        <w:jc w:val="both"/>
        <w:rPr>
          <w:rFonts w:ascii="Arial" w:hAnsi="Arial"/>
          <w:bCs w:val="1"/>
          <w:lang w:val="en-GB" w:bidi="he-IL" w:eastAsia="de-DE"/>
        </w:rPr>
      </w:pPr>
    </w:p>
    <w:p>
      <w:pPr>
        <w:pStyle w:val="P16"/>
        <w:widowControl w:val="1"/>
        <w:rPr>
          <w:rFonts w:ascii="Arial" w:hAnsi="Arial"/>
          <w:bCs w:val="1"/>
          <w:strike w:val="1"/>
          <w:lang w:val="en-US" w:bidi="he-IL" w:eastAsia="de-DE"/>
        </w:rPr>
      </w:pPr>
      <w:r>
        <w:rPr>
          <w:rFonts w:ascii="Arial" w:hAnsi="Arial"/>
          <w:bCs w:val="1"/>
          <w:lang w:val="en-GB" w:bidi="he-IL" w:eastAsia="de-DE"/>
        </w:rPr>
        <w:t xml:space="preserve">The EXCEL template can be downloaded from </w:t>
      </w:r>
      <w:hyperlink xmlns:r="http://schemas.openxmlformats.org/officeDocument/2006/relationships" r:id="R6">
        <w:r>
          <w:rPr>
            <w:rStyle w:val="C2"/>
            <w:rFonts w:ascii="Arial" w:hAnsi="Arial"/>
            <w:bCs w:val="1"/>
            <w:lang w:val="en-GB" w:bidi="he-IL" w:eastAsia="de-DE"/>
          </w:rPr>
          <w:t>http://ecc-cert.org/</w:t>
        </w:r>
      </w:hyperlink>
      <w:r>
        <w:rPr>
          <w:rFonts w:ascii="Arial" w:hAnsi="Arial"/>
          <w:bCs w:val="1"/>
          <w:lang w:val="en-GB" w:bidi="he-IL" w:eastAsia="de-DE"/>
        </w:rPr>
        <w:t xml:space="preserve"> and </w:t>
      </w:r>
      <w:hyperlink xmlns:r="http://schemas.openxmlformats.org/officeDocument/2006/relationships" r:id="R7">
        <w:r>
          <w:rPr>
            <w:rFonts w:ascii="Arial" w:hAnsi="Arial"/>
            <w:bCs w:val="1"/>
            <w:color w:val="0000FF"/>
            <w:u w:val="single"/>
            <w:lang w:val="en-GB" w:bidi="he-IL" w:eastAsia="de-DE"/>
          </w:rPr>
          <w:t>www.onkozert.de</w:t>
        </w:r>
      </w:hyperlink>
    </w:p>
    <w:p>
      <w:pPr>
        <w:rPr>
          <w:rFonts w:ascii="Arial" w:hAnsi="Arial" w:cs="Arial"/>
          <w:sz w:val="20"/>
          <w:szCs w:val="20"/>
          <w:lang w:val="ro-RO" w:bidi="ar-SA"/>
        </w:rPr>
      </w:pPr>
      <w:bookmarkEnd w:id="7"/>
    </w:p>
    <w:sectPr>
      <w:headerReference xmlns:r="http://schemas.openxmlformats.org/officeDocument/2006/relationships" w:type="default" r:id="RelHdr1"/>
      <w:footerReference xmlns:r="http://schemas.openxmlformats.org/officeDocument/2006/relationships" w:type="default" r:id="RelFtr1"/>
      <w:footnotePr/>
      <w:endnotePr/>
      <w:type w:val="nextPage"/>
      <w:pgSz w:w="11906" w:h="16838" w:code="0"/>
      <w:pgMar w:left="851" w:right="567" w:top="567" w:bottom="567" w:header="283" w:footer="283" w:gutter="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8"/>
      <w:tabs>
        <w:tab w:val="left" w:pos="3261" w:leader="none"/>
        <w:tab w:val="clear" w:pos="4536" w:leader="none"/>
        <w:tab w:val="center" w:pos="5103" w:leader="none"/>
        <w:tab w:val="left" w:pos="8364" w:leader="none"/>
        <w:tab w:val="clear" w:pos="9072" w:leader="none"/>
        <w:tab w:val="right" w:pos="9923" w:leader="none"/>
      </w:tabs>
      <w:jc w:val="center"/>
      <w:rPr>
        <w:sz w:val="14"/>
        <w:szCs w:val="14"/>
      </w:rPr>
    </w:pPr>
    <w:r>
      <w:rPr>
        <w:rFonts w:ascii="Arial" w:hAnsi="Arial" w:cs="Arial"/>
        <w:sz w:val="14"/>
        <w:szCs w:val="14"/>
      </w:rPr>
      <w:fldChar w:fldCharType="begin"/>
    </w:r>
    <w:r>
      <w:rPr>
        <w:rFonts w:ascii="Arial" w:hAnsi="Arial" w:cs="Arial"/>
        <w:sz w:val="14"/>
        <w:szCs w:val="14"/>
      </w:rPr>
      <w:instrText xml:space="preserve"> TITLE   \* MERGEFORMAT </w:instrText>
    </w:r>
    <w:r>
      <w:rPr>
        <w:rFonts w:ascii="Arial" w:hAnsi="Arial" w:cs="Arial"/>
        <w:sz w:val="14"/>
        <w:szCs w:val="14"/>
      </w:rPr>
      <w:fldChar w:fldCharType="separate"/>
    </w:r>
    <w:r>
      <w:rPr>
        <w:rFonts w:ascii="Arial" w:hAnsi="Arial" w:cs="Arial"/>
        <w:sz w:val="14"/>
        <w:szCs w:val="14"/>
      </w:rPr>
      <w:t>cr</w:t>
    </w:r>
    <w:r>
      <w:rPr>
        <w:rFonts w:ascii="Arial" w:hAnsi="Arial" w:cs="Arial"/>
        <w:sz w:val="14"/>
        <w:szCs w:val="14"/>
      </w:rPr>
      <w:t>_</w:t>
    </w:r>
    <w:r>
      <w:rPr>
        <w:rFonts w:ascii="Arial" w:hAnsi="Arial" w:cs="Arial"/>
        <w:sz w:val="14"/>
        <w:szCs w:val="14"/>
      </w:rPr>
      <w:t>mnoc</w:t>
    </w:r>
    <w:r>
      <w:rPr>
        <w:rFonts w:ascii="Arial" w:hAnsi="Arial" w:cs="Arial"/>
        <w:sz w:val="14"/>
        <w:szCs w:val="14"/>
      </w:rPr>
      <w:t>-</w:t>
    </w:r>
    <w:r>
      <w:rPr>
        <w:rFonts w:ascii="Arial" w:hAnsi="Arial" w:cs="Arial"/>
        <w:sz w:val="14"/>
        <w:szCs w:val="14"/>
      </w:rPr>
      <w:t>H1</w:t>
    </w:r>
    <w:r>
      <w:rPr>
        <w:rFonts w:ascii="Arial" w:hAnsi="Arial" w:cs="Arial"/>
        <w:sz w:val="14"/>
        <w:szCs w:val="14"/>
      </w:rPr>
      <w:t>_</w:t>
    </w:r>
    <w:r>
      <w:rPr>
        <w:rFonts w:ascii="Arial" w:hAnsi="Arial" w:cs="Arial"/>
        <w:sz w:val="14"/>
        <w:szCs w:val="14"/>
      </w:rPr>
      <w:t>ENG</w:t>
    </w:r>
    <w:r>
      <w:rPr>
        <w:rFonts w:ascii="Arial" w:hAnsi="Arial" w:cs="Arial"/>
        <w:sz w:val="14"/>
        <w:szCs w:val="14"/>
      </w:rPr>
      <w:t>_</w:t>
    </w:r>
    <w:r>
      <w:rPr>
        <w:rFonts w:ascii="Arial" w:hAnsi="Arial" w:cs="Arial"/>
        <w:sz w:val="14"/>
        <w:szCs w:val="14"/>
      </w:rPr>
      <w:t>240816</w:t>
    </w:r>
    <w:r>
      <w:rPr>
        <w:rFonts w:ascii="Arial" w:hAnsi="Arial" w:cs="Arial"/>
        <w:sz w:val="14"/>
        <w:szCs w:val="14"/>
      </w:rPr>
      <w:t>.</w:t>
    </w:r>
    <w:r>
      <w:rPr>
        <w:rFonts w:ascii="Arial" w:hAnsi="Arial" w:cs="Arial"/>
        <w:sz w:val="14"/>
        <w:szCs w:val="14"/>
      </w:rPr>
      <w:t>docx</w:t>
    </w:r>
    <w:r>
      <w:rPr>
        <w:rFonts w:ascii="Arial" w:hAnsi="Arial" w:cs="Arial"/>
        <w:sz w:val="14"/>
        <w:szCs w:val="14"/>
      </w:rPr>
      <w:fldChar w:fldCharType="end"/>
    </w:r>
    <w:r>
      <w:rPr>
        <w:rFonts w:ascii="Arial" w:hAnsi="Arial" w:cs="Arial"/>
        <w:sz w:val="14"/>
        <w:szCs w:val="14"/>
      </w:rPr>
      <w:tab/>
      <w:t xml:space="preserve">© DKG  All rights reserved  </w:t>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DOCPROPERTY  Subject  \* MERGEFORMAT </w:instrText>
    </w:r>
    <w:r>
      <w:rPr>
        <w:rFonts w:ascii="Arial" w:hAnsi="Arial" w:cs="Arial"/>
        <w:sz w:val="14"/>
        <w:szCs w:val="14"/>
      </w:rPr>
      <w:fldChar w:fldCharType="separate"/>
    </w:r>
    <w:r>
      <w:rPr>
        <w:rFonts w:ascii="Arial" w:hAnsi="Arial" w:cs="Arial"/>
        <w:sz w:val="14"/>
        <w:szCs w:val="14"/>
      </w:rPr>
      <w:t>Vers</w:t>
    </w:r>
    <w:r>
      <w:rPr>
        <w:rFonts w:ascii="Arial" w:hAnsi="Arial" w:cs="Arial"/>
        <w:sz w:val="14"/>
        <w:szCs w:val="14"/>
      </w:rPr>
      <w:t xml:space="preserve"> H1</w:t>
    </w:r>
    <w:r>
      <w:rPr>
        <w:rFonts w:ascii="Arial" w:hAnsi="Arial" w:cs="Arial"/>
        <w:sz w:val="14"/>
        <w:szCs w:val="14"/>
      </w:rPr>
      <w:t>,</w:t>
    </w:r>
    <w:r>
      <w:rPr>
        <w:rFonts w:ascii="Arial" w:hAnsi="Arial" w:cs="Arial"/>
        <w:sz w:val="14"/>
        <w:szCs w:val="14"/>
      </w:rPr>
      <w:t xml:space="preserve"> 16 Aug</w:t>
    </w:r>
    <w:r>
      <w:rPr>
        <w:rFonts w:ascii="Arial" w:hAnsi="Arial" w:cs="Arial"/>
        <w:sz w:val="14"/>
        <w:szCs w:val="14"/>
      </w:rPr>
      <w:t>.</w:t>
    </w:r>
    <w:r>
      <w:rPr>
        <w:rFonts w:ascii="Arial" w:hAnsi="Arial" w:cs="Arial"/>
        <w:sz w:val="14"/>
        <w:szCs w:val="14"/>
      </w:rPr>
      <w:t xml:space="preserve"> 2024</w:t>
    </w:r>
    <w:r>
      <w:rPr>
        <w:rFonts w:ascii="Arial" w:hAnsi="Arial" w:cs="Arial"/>
        <w:sz w:val="14"/>
        <w:szCs w:val="14"/>
      </w:rPr>
      <w:fldChar w:fldCharType="end"/>
    </w:r>
    <w:r>
      <w:rPr>
        <w:rFonts w:ascii="Arial" w:hAnsi="Arial" w:cs="Arial"/>
        <w:sz w:val="14"/>
        <w:szCs w:val="14"/>
      </w:rPr>
      <w:t>)</w:t>
    </w:r>
    <w:r>
      <w:rPr>
        <w:rFonts w:ascii="Arial" w:hAnsi="Arial" w:cs="Arial"/>
        <w:sz w:val="14"/>
        <w:szCs w:val="14"/>
      </w:rPr>
      <w:tab/>
      <w:t xml:space="preserve">Page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r>
      <w:rPr>
        <w:rFonts w:ascii="Arial" w:hAnsi="Arial" w:cs="Arial"/>
        <w:sz w:val="14"/>
        <w:szCs w:val="14"/>
      </w:rPr>
      <w:t xml:space="preserve"> of </w:t>
    </w:r>
    <w:r>
      <w:rPr>
        <w:rFonts w:ascii="Arial" w:hAnsi="Arial" w:cs="Arial"/>
        <w:sz w:val="14"/>
        <w:szCs w:val="14"/>
      </w:rPr>
      <w:fldChar w:fldCharType="begin"/>
    </w:r>
    <w:r>
      <w:rPr>
        <w:rFonts w:ascii="Arial" w:hAnsi="Arial" w:cs="Arial"/>
        <w:sz w:val="14"/>
        <w:szCs w:val="14"/>
      </w:rPr>
      <w:instrText>NUMPAGES</w:instrText>
    </w:r>
    <w:r>
      <w:rPr>
        <w:rFonts w:ascii="Arial" w:hAnsi="Arial" w:cs="Arial"/>
        <w:sz w:val="14"/>
        <w:szCs w:val="14"/>
      </w:rPr>
      <w:fldChar w:fldCharType="separate"/>
    </w:r>
    <w:r>
      <w:rPr>
        <w:rFonts w:ascii="Arial" w:hAnsi="Arial" w:cs="Arial"/>
        <w:sz w:val="14"/>
        <w:szCs w:val="14"/>
      </w:rPr>
      <w:t>#</w:t>
    </w:r>
    <w:r>
      <w:rPr>
        <w:rFonts w:ascii="Arial" w:hAnsi="Arial" w:cs="Arial"/>
        <w:sz w:val="14"/>
        <w:szCs w:val="14"/>
      </w:rPr>
      <w:fldChar w:fldCharType="end"/>
    </w: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W w:w="10773" w:type="dxa"/>
      <w:tblInd w:w="-459"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4A0"/>
    </w:tblPr>
    <w:tblGrid/>
    <w:tr>
      <w:tc>
        <w:tcPr>
          <w:tcW w:w="3227" w:type="dxa"/>
          <w:tcBorders>
            <w:top w:val="nil"/>
            <w:left w:val="nil"/>
            <w:bottom w:val="nil"/>
            <w:right w:val="nil"/>
          </w:tcBorders>
          <w:shd w:val="clear" w:color="auto" w:fill="auto"/>
          <w:vAlign w:val="bottom"/>
        </w:tcPr>
        <w:p>
          <w:pPr>
            <w:pStyle w:val="P5"/>
            <w:tabs>
              <w:tab w:val="clear" w:pos="9072" w:leader="none"/>
              <w:tab w:val="right" w:pos="9531" w:leader="none"/>
            </w:tabs>
            <w:jc w:val="center"/>
            <w:rPr>
              <w:rFonts w:ascii="Arial" w:hAnsi="Arial"/>
            </w:rPr>
          </w:pPr>
          <w:r>
            <w:rPr>
              <w:noProof w:val="1"/>
              <w:lang w:val="hu-HU" w:bidi="ar-SA" w:eastAsia="hu-HU"/>
            </w:rPr>
            <w:drawing>
              <wp:inline xmlns:wp="http://schemas.openxmlformats.org/drawingml/2006/wordprocessingDrawing" distT="0" distB="0" distL="0" distR="0">
                <wp:extent cx="1639570" cy="707390"/>
                <wp:effectExtent l="0" t="0" r="0" b="0"/>
                <wp:docPr id="9" name="Grafik 9" descr="Z:\Arbeitsverzeichnisse\A wie Zertifizierung\05_Europa\05_ECC Marketing\01_Coorporate Design\01_Logos\01_ECC Logos\ECC-Logo ohne alles\ECC-Logo ohne a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beitsverzeichnisse\A wie Zertifizierung\05_Europa\05_ECC Marketing\01_Coorporate Design\01_Logos\01_ECC Logos\ECC-Logo ohne alles\ECC-Logo ohne alles.jpg"/>
                        <pic:cNvPicPr>
                          <a:picLocks noChangeAspect="1" noChangeArrowheads="1"/>
                        </pic:cNvPicPr>
                      </pic:nvPicPr>
                      <pic:blipFill dpi="0">
                        <a:blip xmlns:r="http://schemas.openxmlformats.org/officeDocument/2006/relationships" r:embed="Relimage1"/>
                        <a:srcRect/>
                        <a:stretch>
                          <a:fillRect/>
                        </a:stretch>
                      </pic:blipFill>
                      <pic:spPr bwMode="auto">
                        <a:xfrm>
                          <a:off x="0" y="0"/>
                          <a:ext cx="1652499" cy="713064"/>
                        </a:xfrm>
                        <a:prstGeom prst="rect"/>
                        <a:noFill/>
                        <a:ln>
                          <a:noFill/>
                        </a:ln>
                      </pic:spPr>
                    </pic:pic>
                  </a:graphicData>
                </a:graphic>
              </wp:inline>
            </w:drawing>
          </w:r>
        </w:p>
      </w:tc>
      <w:tc>
        <w:tcPr>
          <w:tcW w:w="7546" w:type="dxa"/>
          <w:tcBorders>
            <w:top w:val="nil"/>
            <w:left w:val="nil"/>
            <w:bottom w:val="nil"/>
            <w:right w:val="nil"/>
          </w:tcBorders>
          <w:shd w:val="clear" w:color="auto" w:fill="auto"/>
          <w:vAlign w:val="bottom"/>
        </w:tcPr>
        <w:p>
          <w:pPr>
            <w:pStyle w:val="P5"/>
            <w:jc w:val="right"/>
            <w:rPr>
              <w:rFonts w:ascii="Arial" w:hAnsi="Arial"/>
            </w:rPr>
          </w:pPr>
        </w:p>
      </w:tc>
    </w:tr>
  </w:tbl>
  <w:p>
    <w:pPr>
      <w:pStyle w:val="P5"/>
    </w:pPr>
  </w:p>
</w:hdr>
</file>

<file path=word/numbering.xml><?xml version="1.0" encoding="utf-8"?>
<w:numbering xmlns:w="http://schemas.openxmlformats.org/wordprocessingml/2006/main">
  <w:abstractNum w:abstractNumId="0">
    <w:nsid w:val="00CE07A2"/>
    <w:multiLevelType w:val="hybridMultilevel"/>
    <w:lvl w:ilvl="0" w:tplc="0407000F">
      <w:start w:val="1"/>
      <w:numFmt w:val="decimal"/>
      <w:suff w:val="tab"/>
      <w:lvlText w:val="%1."/>
      <w:lvlJc w:val="left"/>
      <w:pPr>
        <w:ind w:hanging="360" w:left="360"/>
      </w:pPr>
      <w:rPr/>
    </w:lvl>
    <w:lvl w:ilvl="1" w:tplc="04070019">
      <w:start w:val="1"/>
      <w:numFmt w:val="lowerLetter"/>
      <w:suff w:val="tab"/>
      <w:lvlText w:val="%2."/>
      <w:lvlJc w:val="left"/>
      <w:pPr>
        <w:ind w:hanging="360" w:left="1080"/>
      </w:pPr>
      <w:rPr/>
    </w:lvl>
    <w:lvl w:ilvl="2" w:tplc="0407001B">
      <w:start w:val="1"/>
      <w:numFmt w:val="lowerRoman"/>
      <w:suff w:val="tab"/>
      <w:lvlText w:val="%3."/>
      <w:lvlJc w:val="right"/>
      <w:pPr>
        <w:ind w:hanging="180" w:left="1800"/>
      </w:pPr>
      <w:rPr/>
    </w:lvl>
    <w:lvl w:ilvl="3" w:tplc="0407000F">
      <w:start w:val="1"/>
      <w:numFmt w:val="decimal"/>
      <w:suff w:val="tab"/>
      <w:lvlText w:val="%4."/>
      <w:lvlJc w:val="left"/>
      <w:pPr>
        <w:ind w:hanging="360" w:left="2520"/>
      </w:pPr>
      <w:rPr/>
    </w:lvl>
    <w:lvl w:ilvl="4" w:tplc="04070019">
      <w:start w:val="1"/>
      <w:numFmt w:val="lowerLetter"/>
      <w:suff w:val="tab"/>
      <w:lvlText w:val="%5."/>
      <w:lvlJc w:val="left"/>
      <w:pPr>
        <w:ind w:hanging="360" w:left="3240"/>
      </w:pPr>
      <w:rPr/>
    </w:lvl>
    <w:lvl w:ilvl="5" w:tplc="0407001B">
      <w:start w:val="1"/>
      <w:numFmt w:val="lowerRoman"/>
      <w:suff w:val="tab"/>
      <w:lvlText w:val="%6."/>
      <w:lvlJc w:val="right"/>
      <w:pPr>
        <w:ind w:hanging="180" w:left="3960"/>
      </w:pPr>
      <w:rPr/>
    </w:lvl>
    <w:lvl w:ilvl="6" w:tplc="0407000F">
      <w:start w:val="1"/>
      <w:numFmt w:val="decimal"/>
      <w:suff w:val="tab"/>
      <w:lvlText w:val="%7."/>
      <w:lvlJc w:val="left"/>
      <w:pPr>
        <w:ind w:hanging="360" w:left="4680"/>
      </w:pPr>
      <w:rPr/>
    </w:lvl>
    <w:lvl w:ilvl="7" w:tplc="04070019">
      <w:start w:val="1"/>
      <w:numFmt w:val="lowerLetter"/>
      <w:suff w:val="tab"/>
      <w:lvlText w:val="%8."/>
      <w:lvlJc w:val="left"/>
      <w:pPr>
        <w:ind w:hanging="360" w:left="5400"/>
      </w:pPr>
      <w:rPr/>
    </w:lvl>
    <w:lvl w:ilvl="8" w:tplc="0407001B">
      <w:start w:val="1"/>
      <w:numFmt w:val="lowerRoman"/>
      <w:suff w:val="tab"/>
      <w:lvlText w:val="%9."/>
      <w:lvlJc w:val="right"/>
      <w:pPr>
        <w:ind w:hanging="180" w:left="6120"/>
      </w:pPr>
      <w:rPr/>
    </w:lvl>
  </w:abstractNum>
  <w:abstractNum w:abstractNumId="1">
    <w:nsid w:val="044B612D"/>
    <w:multiLevelType w:val="hybridMultilevel"/>
    <w:lvl w:ilvl="0" w:tplc="04070001">
      <w:start w:val="1"/>
      <w:numFmt w:val="bullet"/>
      <w:suff w:val="tab"/>
      <w:lvlText w:val=""/>
      <w:lvlJc w:val="left"/>
      <w:pPr>
        <w:ind w:hanging="360" w:left="720"/>
      </w:pPr>
      <w:rPr>
        <w:rFonts w:ascii="Symbol" w:hAnsi="Symbol" w:hint="default"/>
      </w:rPr>
    </w:lvl>
    <w:lvl w:ilvl="1" w:tplc="04070001">
      <w:start w:val="1"/>
      <w:numFmt w:val="bullet"/>
      <w:suff w:val="tab"/>
      <w:lvlText w:val=""/>
      <w:lvlJc w:val="left"/>
      <w:pPr>
        <w:ind w:hanging="360" w:left="1440"/>
      </w:pPr>
      <w:rPr>
        <w:rFonts w:ascii="Symbol" w:hAnsi="Symbol" w:hint="default"/>
      </w:rPr>
    </w:lvl>
    <w:lvl w:ilvl="2" w:tplc="DC4E58D0">
      <w:start w:val="11"/>
      <w:numFmt w:val="bullet"/>
      <w:suff w:val="tab"/>
      <w:lvlText w:val="-"/>
      <w:lvlJc w:val="left"/>
      <w:pPr>
        <w:ind w:hanging="360" w:left="2160"/>
      </w:pPr>
      <w:rPr>
        <w:rFonts w:ascii="Arial" w:hAnsi="Arial" w:cs="Arial" w:eastAsia="Times New Roman"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
    <w:nsid w:val="098D1627"/>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
    <w:nsid w:val="0BEB6C26"/>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
    <w:nsid w:val="0C5E340F"/>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5">
    <w:nsid w:val="0F3E5F60"/>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6">
    <w:nsid w:val="145D771C"/>
    <w:multiLevelType w:val="hybridMultilevel"/>
    <w:lvl w:ilvl="0" w:tplc="B9AEF88E">
      <w:start w:val="0"/>
      <w:numFmt w:val="bullet"/>
      <w:suff w:val="tab"/>
      <w:lvlText w:val="-"/>
      <w:lvlJc w:val="left"/>
      <w:pPr>
        <w:ind w:hanging="360" w:left="360"/>
      </w:pPr>
      <w:rPr>
        <w:rFonts w:ascii="Arial" w:hAnsi="Arial" w:cs="Arial" w:eastAsia="Times New Roman"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7">
    <w:nsid w:val="1A821778"/>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8">
    <w:nsid w:val="1CF2196B"/>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9">
    <w:nsid w:val="1CFB0E1C"/>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0">
    <w:nsid w:val="21CD5B24"/>
    <w:multiLevelType w:val="multilevel"/>
    <w:lvl w:ilvl="0">
      <w:start w:val="5"/>
      <w:numFmt w:val="decimal"/>
      <w:suff w:val="tab"/>
      <w:lvlText w:val="%1"/>
      <w:lvlJc w:val="left"/>
      <w:pPr>
        <w:ind w:hanging="360" w:left="360"/>
      </w:pPr>
      <w:rPr>
        <w:rFonts w:hint="default"/>
      </w:rPr>
    </w:lvl>
    <w:lvl w:ilvl="1">
      <w:start w:val="2"/>
      <w:numFmt w:val="decimal"/>
      <w:suff w:val="tab"/>
      <w:lvlText w:val="%1.%2"/>
      <w:lvlJc w:val="left"/>
      <w:pPr>
        <w:ind w:hanging="360" w:left="1065"/>
      </w:pPr>
      <w:rPr>
        <w:rFonts w:hint="default"/>
      </w:rPr>
    </w:lvl>
    <w:lvl w:ilvl="2">
      <w:start w:val="1"/>
      <w:numFmt w:val="decimal"/>
      <w:suff w:val="tab"/>
      <w:lvlText w:val="%1.%2.%3"/>
      <w:lvlJc w:val="left"/>
      <w:pPr>
        <w:ind w:hanging="720" w:left="2130"/>
      </w:pPr>
      <w:rPr>
        <w:rFonts w:hint="default"/>
      </w:rPr>
    </w:lvl>
    <w:lvl w:ilvl="3">
      <w:start w:val="1"/>
      <w:numFmt w:val="decimal"/>
      <w:suff w:val="tab"/>
      <w:lvlText w:val="%1.%2.%3.%4"/>
      <w:lvlJc w:val="left"/>
      <w:pPr>
        <w:ind w:hanging="720" w:left="2835"/>
      </w:pPr>
      <w:rPr>
        <w:rFonts w:hint="default"/>
      </w:rPr>
    </w:lvl>
    <w:lvl w:ilvl="4">
      <w:start w:val="1"/>
      <w:numFmt w:val="decimal"/>
      <w:suff w:val="tab"/>
      <w:lvlText w:val="%1.%2.%3.%4.%5"/>
      <w:lvlJc w:val="left"/>
      <w:pPr>
        <w:ind w:hanging="1080" w:left="3900"/>
      </w:pPr>
      <w:rPr>
        <w:rFonts w:hint="default"/>
      </w:rPr>
    </w:lvl>
    <w:lvl w:ilvl="5">
      <w:start w:val="1"/>
      <w:numFmt w:val="decimal"/>
      <w:suff w:val="tab"/>
      <w:lvlText w:val="%1.%2.%3.%4.%5.%6"/>
      <w:lvlJc w:val="left"/>
      <w:pPr>
        <w:ind w:hanging="1080" w:left="4605"/>
      </w:pPr>
      <w:rPr>
        <w:rFonts w:hint="default"/>
      </w:rPr>
    </w:lvl>
    <w:lvl w:ilvl="6">
      <w:start w:val="1"/>
      <w:numFmt w:val="decimal"/>
      <w:suff w:val="tab"/>
      <w:lvlText w:val="%1.%2.%3.%4.%5.%6.%7"/>
      <w:lvlJc w:val="left"/>
      <w:pPr>
        <w:ind w:hanging="1440" w:left="5670"/>
      </w:pPr>
      <w:rPr>
        <w:rFonts w:hint="default"/>
      </w:rPr>
    </w:lvl>
    <w:lvl w:ilvl="7">
      <w:start w:val="1"/>
      <w:numFmt w:val="decimal"/>
      <w:suff w:val="tab"/>
      <w:lvlText w:val="%1.%2.%3.%4.%5.%6.%7.%8"/>
      <w:lvlJc w:val="left"/>
      <w:pPr>
        <w:ind w:hanging="1440" w:left="6375"/>
      </w:pPr>
      <w:rPr>
        <w:rFonts w:hint="default"/>
      </w:rPr>
    </w:lvl>
    <w:lvl w:ilvl="8">
      <w:start w:val="1"/>
      <w:numFmt w:val="decimal"/>
      <w:suff w:val="tab"/>
      <w:lvlText w:val="%1.%2.%3.%4.%5.%6.%7.%8.%9"/>
      <w:lvlJc w:val="left"/>
      <w:pPr>
        <w:ind w:hanging="1800" w:left="7440"/>
      </w:pPr>
      <w:rPr>
        <w:rFonts w:hint="default"/>
      </w:rPr>
    </w:lvl>
  </w:abstractNum>
  <w:abstractNum w:abstractNumId="11">
    <w:nsid w:val="26FA0007"/>
    <w:multiLevelType w:val="multilevel"/>
    <w:lvl w:ilvl="0">
      <w:start w:val="5"/>
      <w:numFmt w:val="decimal"/>
      <w:suff w:val="tab"/>
      <w:lvlText w:val="%1"/>
      <w:lvlJc w:val="left"/>
      <w:pPr>
        <w:ind w:hanging="360" w:left="720"/>
      </w:pPr>
      <w:rPr>
        <w:rFonts w:hint="default"/>
      </w:rPr>
    </w:lvl>
    <w:lvl w:ilvl="1">
      <w:start w:val="1"/>
      <w:numFmt w:val="decimal"/>
      <w:isLgl w:val="1"/>
      <w:suff w:val="tab"/>
      <w:lvlText w:val="%1.%2"/>
      <w:lvlJc w:val="left"/>
      <w:pPr>
        <w:ind w:hanging="705" w:left="1065"/>
      </w:pPr>
      <w:rPr>
        <w:rFonts w:hint="default"/>
      </w:rPr>
    </w:lvl>
    <w:lvl w:ilvl="2">
      <w:start w:val="1"/>
      <w:numFmt w:val="decimal"/>
      <w:isLgl w:val="1"/>
      <w:suff w:val="tab"/>
      <w:lvlText w:val="%1.%2.%3"/>
      <w:lvlJc w:val="left"/>
      <w:pPr>
        <w:ind w:hanging="720" w:left="1080"/>
      </w:pPr>
      <w:rPr>
        <w:rFonts w:hint="default"/>
      </w:rPr>
    </w:lvl>
    <w:lvl w:ilvl="3">
      <w:start w:val="1"/>
      <w:numFmt w:val="decimal"/>
      <w:isLgl w:val="1"/>
      <w:suff w:val="tab"/>
      <w:lvlText w:val="%1.%2.%3.%4"/>
      <w:lvlJc w:val="left"/>
      <w:pPr>
        <w:ind w:hanging="720" w:left="1080"/>
      </w:pPr>
      <w:rPr>
        <w:rFonts w:hint="default"/>
      </w:rPr>
    </w:lvl>
    <w:lvl w:ilvl="4">
      <w:start w:val="1"/>
      <w:numFmt w:val="decimal"/>
      <w:isLgl w:val="1"/>
      <w:suff w:val="tab"/>
      <w:lvlText w:val="%1.%2.%3.%4.%5"/>
      <w:lvlJc w:val="left"/>
      <w:pPr>
        <w:ind w:hanging="1080" w:left="1440"/>
      </w:pPr>
      <w:rPr>
        <w:rFonts w:hint="default"/>
      </w:rPr>
    </w:lvl>
    <w:lvl w:ilvl="5">
      <w:start w:val="1"/>
      <w:numFmt w:val="decimal"/>
      <w:isLgl w:val="1"/>
      <w:suff w:val="tab"/>
      <w:lvlText w:val="%1.%2.%3.%4.%5.%6"/>
      <w:lvlJc w:val="left"/>
      <w:pPr>
        <w:ind w:hanging="1080" w:left="1440"/>
      </w:pPr>
      <w:rPr>
        <w:rFonts w:hint="default"/>
      </w:rPr>
    </w:lvl>
    <w:lvl w:ilvl="6">
      <w:start w:val="1"/>
      <w:numFmt w:val="decimal"/>
      <w:isLgl w:val="1"/>
      <w:suff w:val="tab"/>
      <w:lvlText w:val="%1.%2.%3.%4.%5.%6.%7"/>
      <w:lvlJc w:val="left"/>
      <w:pPr>
        <w:ind w:hanging="1440" w:left="1800"/>
      </w:pPr>
      <w:rPr>
        <w:rFonts w:hint="default"/>
      </w:rPr>
    </w:lvl>
    <w:lvl w:ilvl="7">
      <w:start w:val="1"/>
      <w:numFmt w:val="decimal"/>
      <w:isLgl w:val="1"/>
      <w:suff w:val="tab"/>
      <w:lvlText w:val="%1.%2.%3.%4.%5.%6.%7.%8"/>
      <w:lvlJc w:val="left"/>
      <w:pPr>
        <w:ind w:hanging="1440" w:left="1800"/>
      </w:pPr>
      <w:rPr>
        <w:rFonts w:hint="default"/>
      </w:rPr>
    </w:lvl>
    <w:lvl w:ilvl="8">
      <w:start w:val="1"/>
      <w:numFmt w:val="decimal"/>
      <w:isLgl w:val="1"/>
      <w:suff w:val="tab"/>
      <w:lvlText w:val="%1.%2.%3.%4.%5.%6.%7.%8.%9"/>
      <w:lvlJc w:val="left"/>
      <w:pPr>
        <w:ind w:hanging="1800" w:left="2160"/>
      </w:pPr>
      <w:rPr>
        <w:rFonts w:hint="default"/>
      </w:rPr>
    </w:lvl>
  </w:abstractNum>
  <w:abstractNum w:abstractNumId="12">
    <w:nsid w:val="2B161CBD"/>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3">
    <w:nsid w:val="30210E09"/>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14">
    <w:nsid w:val="30945EDC"/>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5">
    <w:nsid w:val="311F3CC0"/>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16">
    <w:nsid w:val="33B7256F"/>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17">
    <w:nsid w:val="33BC6B67"/>
    <w:multiLevelType w:val="hybridMultilevel"/>
    <w:lvl w:ilvl="0" w:tplc="04070001">
      <w:start w:val="1"/>
      <w:numFmt w:val="bullet"/>
      <w:suff w:val="tab"/>
      <w:lvlText w:val=""/>
      <w:lvlJc w:val="left"/>
      <w:pPr>
        <w:ind w:hanging="360" w:left="1080"/>
      </w:pPr>
      <w:rPr>
        <w:rFonts w:ascii="Symbol" w:hAnsi="Symbol" w:hint="default"/>
      </w:rPr>
    </w:lvl>
    <w:lvl w:ilvl="1" w:tplc="04070003">
      <w:start w:val="1"/>
      <w:numFmt w:val="bullet"/>
      <w:suff w:val="tab"/>
      <w:lvlText w:val="o"/>
      <w:lvlJc w:val="left"/>
      <w:pPr>
        <w:ind w:hanging="360" w:left="1800"/>
      </w:pPr>
      <w:rPr>
        <w:rFonts w:ascii="Courier New" w:hAnsi="Courier New" w:cs="Courier New" w:hint="default"/>
      </w:rPr>
    </w:lvl>
    <w:lvl w:ilvl="2" w:tplc="04070005">
      <w:start w:val="1"/>
      <w:numFmt w:val="bullet"/>
      <w:suff w:val="tab"/>
      <w:lvlText w:val=""/>
      <w:lvlJc w:val="left"/>
      <w:pPr>
        <w:ind w:hanging="360" w:left="2520"/>
      </w:pPr>
      <w:rPr>
        <w:rFonts w:ascii="Wingdings" w:hAnsi="Wingdings" w:hint="default"/>
      </w:rPr>
    </w:lvl>
    <w:lvl w:ilvl="3" w:tplc="04070001">
      <w:start w:val="1"/>
      <w:numFmt w:val="bullet"/>
      <w:suff w:val="tab"/>
      <w:lvlText w:val=""/>
      <w:lvlJc w:val="left"/>
      <w:pPr>
        <w:ind w:hanging="360" w:left="3240"/>
      </w:pPr>
      <w:rPr>
        <w:rFonts w:ascii="Symbol" w:hAnsi="Symbol" w:hint="default"/>
      </w:rPr>
    </w:lvl>
    <w:lvl w:ilvl="4" w:tplc="04070003">
      <w:start w:val="1"/>
      <w:numFmt w:val="bullet"/>
      <w:suff w:val="tab"/>
      <w:lvlText w:val="o"/>
      <w:lvlJc w:val="left"/>
      <w:pPr>
        <w:ind w:hanging="360" w:left="3960"/>
      </w:pPr>
      <w:rPr>
        <w:rFonts w:ascii="Courier New" w:hAnsi="Courier New" w:cs="Courier New" w:hint="default"/>
      </w:rPr>
    </w:lvl>
    <w:lvl w:ilvl="5" w:tplc="04070005">
      <w:start w:val="1"/>
      <w:numFmt w:val="bullet"/>
      <w:suff w:val="tab"/>
      <w:lvlText w:val=""/>
      <w:lvlJc w:val="left"/>
      <w:pPr>
        <w:ind w:hanging="360" w:left="4680"/>
      </w:pPr>
      <w:rPr>
        <w:rFonts w:ascii="Wingdings" w:hAnsi="Wingdings" w:hint="default"/>
      </w:rPr>
    </w:lvl>
    <w:lvl w:ilvl="6" w:tplc="04070001">
      <w:start w:val="1"/>
      <w:numFmt w:val="bullet"/>
      <w:suff w:val="tab"/>
      <w:lvlText w:val=""/>
      <w:lvlJc w:val="left"/>
      <w:pPr>
        <w:ind w:hanging="360" w:left="5400"/>
      </w:pPr>
      <w:rPr>
        <w:rFonts w:ascii="Symbol" w:hAnsi="Symbol" w:hint="default"/>
      </w:rPr>
    </w:lvl>
    <w:lvl w:ilvl="7" w:tplc="04070003">
      <w:start w:val="1"/>
      <w:numFmt w:val="bullet"/>
      <w:suff w:val="tab"/>
      <w:lvlText w:val="o"/>
      <w:lvlJc w:val="left"/>
      <w:pPr>
        <w:ind w:hanging="360" w:left="6120"/>
      </w:pPr>
      <w:rPr>
        <w:rFonts w:ascii="Courier New" w:hAnsi="Courier New" w:cs="Courier New" w:hint="default"/>
      </w:rPr>
    </w:lvl>
    <w:lvl w:ilvl="8" w:tplc="04070005">
      <w:start w:val="1"/>
      <w:numFmt w:val="bullet"/>
      <w:suff w:val="tab"/>
      <w:lvlText w:val=""/>
      <w:lvlJc w:val="left"/>
      <w:pPr>
        <w:ind w:hanging="360" w:left="6840"/>
      </w:pPr>
      <w:rPr>
        <w:rFonts w:ascii="Wingdings" w:hAnsi="Wingdings" w:hint="default"/>
      </w:rPr>
    </w:lvl>
  </w:abstractNum>
  <w:abstractNum w:abstractNumId="18">
    <w:nsid w:val="398D19A7"/>
    <w:multiLevelType w:val="hybridMultilevel"/>
    <w:lvl w:ilvl="0" w:tplc="04070001">
      <w:start w:val="1"/>
      <w:numFmt w:val="bullet"/>
      <w:suff w:val="tab"/>
      <w:lvlText w:val=""/>
      <w:lvlJc w:val="left"/>
      <w:pPr>
        <w:ind w:hanging="360" w:left="383"/>
      </w:pPr>
      <w:rPr>
        <w:rFonts w:ascii="Symbol" w:hAnsi="Symbol" w:hint="default"/>
      </w:rPr>
    </w:lvl>
    <w:lvl w:ilvl="1" w:tplc="04070003">
      <w:start w:val="1"/>
      <w:numFmt w:val="bullet"/>
      <w:suff w:val="tab"/>
      <w:lvlText w:val="o"/>
      <w:lvlJc w:val="left"/>
      <w:pPr>
        <w:ind w:hanging="360" w:left="1103"/>
      </w:pPr>
      <w:rPr>
        <w:rFonts w:ascii="Courier New" w:hAnsi="Courier New" w:cs="Courier New" w:hint="default"/>
      </w:rPr>
    </w:lvl>
    <w:lvl w:ilvl="2" w:tplc="04070005">
      <w:start w:val="1"/>
      <w:numFmt w:val="bullet"/>
      <w:suff w:val="tab"/>
      <w:lvlText w:val=""/>
      <w:lvlJc w:val="left"/>
      <w:pPr>
        <w:ind w:hanging="360" w:left="1823"/>
      </w:pPr>
      <w:rPr>
        <w:rFonts w:ascii="Wingdings" w:hAnsi="Wingdings" w:hint="default"/>
      </w:rPr>
    </w:lvl>
    <w:lvl w:ilvl="3" w:tplc="04070001">
      <w:start w:val="1"/>
      <w:numFmt w:val="bullet"/>
      <w:suff w:val="tab"/>
      <w:lvlText w:val=""/>
      <w:lvlJc w:val="left"/>
      <w:pPr>
        <w:ind w:hanging="360" w:left="2543"/>
      </w:pPr>
      <w:rPr>
        <w:rFonts w:ascii="Symbol" w:hAnsi="Symbol" w:hint="default"/>
      </w:rPr>
    </w:lvl>
    <w:lvl w:ilvl="4" w:tplc="04070003">
      <w:start w:val="1"/>
      <w:numFmt w:val="bullet"/>
      <w:suff w:val="tab"/>
      <w:lvlText w:val="o"/>
      <w:lvlJc w:val="left"/>
      <w:pPr>
        <w:ind w:hanging="360" w:left="3263"/>
      </w:pPr>
      <w:rPr>
        <w:rFonts w:ascii="Courier New" w:hAnsi="Courier New" w:cs="Courier New" w:hint="default"/>
      </w:rPr>
    </w:lvl>
    <w:lvl w:ilvl="5" w:tplc="04070005">
      <w:start w:val="1"/>
      <w:numFmt w:val="bullet"/>
      <w:suff w:val="tab"/>
      <w:lvlText w:val=""/>
      <w:lvlJc w:val="left"/>
      <w:pPr>
        <w:ind w:hanging="360" w:left="3983"/>
      </w:pPr>
      <w:rPr>
        <w:rFonts w:ascii="Wingdings" w:hAnsi="Wingdings" w:hint="default"/>
      </w:rPr>
    </w:lvl>
    <w:lvl w:ilvl="6" w:tplc="04070001">
      <w:start w:val="1"/>
      <w:numFmt w:val="bullet"/>
      <w:suff w:val="tab"/>
      <w:lvlText w:val=""/>
      <w:lvlJc w:val="left"/>
      <w:pPr>
        <w:ind w:hanging="360" w:left="4703"/>
      </w:pPr>
      <w:rPr>
        <w:rFonts w:ascii="Symbol" w:hAnsi="Symbol" w:hint="default"/>
      </w:rPr>
    </w:lvl>
    <w:lvl w:ilvl="7" w:tplc="04070003">
      <w:start w:val="1"/>
      <w:numFmt w:val="bullet"/>
      <w:suff w:val="tab"/>
      <w:lvlText w:val="o"/>
      <w:lvlJc w:val="left"/>
      <w:pPr>
        <w:ind w:hanging="360" w:left="5423"/>
      </w:pPr>
      <w:rPr>
        <w:rFonts w:ascii="Courier New" w:hAnsi="Courier New" w:cs="Courier New" w:hint="default"/>
      </w:rPr>
    </w:lvl>
    <w:lvl w:ilvl="8" w:tplc="04070005">
      <w:start w:val="1"/>
      <w:numFmt w:val="bullet"/>
      <w:suff w:val="tab"/>
      <w:lvlText w:val=""/>
      <w:lvlJc w:val="left"/>
      <w:pPr>
        <w:ind w:hanging="360" w:left="6143"/>
      </w:pPr>
      <w:rPr>
        <w:rFonts w:ascii="Wingdings" w:hAnsi="Wingdings" w:hint="default"/>
      </w:rPr>
    </w:lvl>
  </w:abstractNum>
  <w:abstractNum w:abstractNumId="19">
    <w:nsid w:val="3A440673"/>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0">
    <w:nsid w:val="405A78E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1">
    <w:nsid w:val="41EC3C2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2">
    <w:nsid w:val="42865B60"/>
    <w:multiLevelType w:val="hybridMultilevel"/>
    <w:lvl w:ilvl="0" w:tplc="04070001">
      <w:start w:val="1"/>
      <w:numFmt w:val="bullet"/>
      <w:suff w:val="tab"/>
      <w:lvlText w:val=""/>
      <w:lvlJc w:val="left"/>
      <w:pPr>
        <w:ind w:hanging="360" w:left="360"/>
        <w:tabs>
          <w:tab w:val="num" w:pos="360" w:leader="none"/>
        </w:tabs>
      </w:pPr>
      <w:rPr>
        <w:rFonts w:ascii="Symbol" w:hAnsi="Symbol" w:hint="default"/>
      </w:rPr>
    </w:lvl>
    <w:lvl w:ilvl="1" w:tplc="04070003">
      <w:start w:val="1"/>
      <w:numFmt w:val="bullet"/>
      <w:suff w:val="tab"/>
      <w:lvlText w:val="o"/>
      <w:lvlJc w:val="left"/>
      <w:pPr>
        <w:ind w:hanging="360" w:left="1080"/>
        <w:tabs>
          <w:tab w:val="num" w:pos="1080" w:leader="none"/>
        </w:tabs>
      </w:pPr>
      <w:rPr>
        <w:rFonts w:ascii="Courier New" w:hAnsi="Courier New" w:hint="default"/>
      </w:rPr>
    </w:lvl>
    <w:lvl w:ilvl="2" w:tplc="04070005">
      <w:start w:val="1"/>
      <w:numFmt w:val="bullet"/>
      <w:suff w:val="tab"/>
      <w:lvlText w:val=""/>
      <w:lvlJc w:val="left"/>
      <w:pPr>
        <w:ind w:hanging="360" w:left="1800"/>
        <w:tabs>
          <w:tab w:val="num" w:pos="1800" w:leader="none"/>
        </w:tabs>
      </w:pPr>
      <w:rPr>
        <w:rFonts w:ascii="Wingdings" w:hAnsi="Wingdings" w:hint="default"/>
      </w:rPr>
    </w:lvl>
    <w:lvl w:ilvl="3" w:tplc="04070001">
      <w:start w:val="1"/>
      <w:numFmt w:val="bullet"/>
      <w:suff w:val="tab"/>
      <w:lvlText w:val=""/>
      <w:lvlJc w:val="left"/>
      <w:pPr>
        <w:ind w:hanging="360" w:left="2520"/>
        <w:tabs>
          <w:tab w:val="num" w:pos="2520" w:leader="none"/>
        </w:tabs>
      </w:pPr>
      <w:rPr>
        <w:rFonts w:ascii="Symbol" w:hAnsi="Symbol" w:hint="default"/>
      </w:rPr>
    </w:lvl>
    <w:lvl w:ilvl="4" w:tplc="04070003">
      <w:start w:val="1"/>
      <w:numFmt w:val="bullet"/>
      <w:suff w:val="tab"/>
      <w:lvlText w:val="o"/>
      <w:lvlJc w:val="left"/>
      <w:pPr>
        <w:ind w:hanging="360" w:left="3240"/>
        <w:tabs>
          <w:tab w:val="num" w:pos="3240" w:leader="none"/>
        </w:tabs>
      </w:pPr>
      <w:rPr>
        <w:rFonts w:ascii="Courier New" w:hAnsi="Courier New" w:hint="default"/>
      </w:rPr>
    </w:lvl>
    <w:lvl w:ilvl="5" w:tplc="04070005">
      <w:start w:val="1"/>
      <w:numFmt w:val="bullet"/>
      <w:suff w:val="tab"/>
      <w:lvlText w:val=""/>
      <w:lvlJc w:val="left"/>
      <w:pPr>
        <w:ind w:hanging="360" w:left="3960"/>
        <w:tabs>
          <w:tab w:val="num" w:pos="3960" w:leader="none"/>
        </w:tabs>
      </w:pPr>
      <w:rPr>
        <w:rFonts w:ascii="Wingdings" w:hAnsi="Wingdings" w:hint="default"/>
      </w:rPr>
    </w:lvl>
    <w:lvl w:ilvl="6" w:tplc="04070001">
      <w:start w:val="1"/>
      <w:numFmt w:val="bullet"/>
      <w:suff w:val="tab"/>
      <w:lvlText w:val=""/>
      <w:lvlJc w:val="left"/>
      <w:pPr>
        <w:ind w:hanging="360" w:left="4680"/>
        <w:tabs>
          <w:tab w:val="num" w:pos="4680" w:leader="none"/>
        </w:tabs>
      </w:pPr>
      <w:rPr>
        <w:rFonts w:ascii="Symbol" w:hAnsi="Symbol" w:hint="default"/>
      </w:rPr>
    </w:lvl>
    <w:lvl w:ilvl="7" w:tplc="04070003">
      <w:start w:val="1"/>
      <w:numFmt w:val="bullet"/>
      <w:suff w:val="tab"/>
      <w:lvlText w:val="o"/>
      <w:lvlJc w:val="left"/>
      <w:pPr>
        <w:ind w:hanging="360" w:left="5400"/>
        <w:tabs>
          <w:tab w:val="num" w:pos="5400" w:leader="none"/>
        </w:tabs>
      </w:pPr>
      <w:rPr>
        <w:rFonts w:ascii="Courier New" w:hAnsi="Courier New" w:hint="default"/>
      </w:rPr>
    </w:lvl>
    <w:lvl w:ilvl="8" w:tplc="04070005">
      <w:start w:val="1"/>
      <w:numFmt w:val="bullet"/>
      <w:suff w:val="tab"/>
      <w:lvlText w:val=""/>
      <w:lvlJc w:val="left"/>
      <w:pPr>
        <w:ind w:hanging="360" w:left="6120"/>
        <w:tabs>
          <w:tab w:val="num" w:pos="6120" w:leader="none"/>
        </w:tabs>
      </w:pPr>
      <w:rPr>
        <w:rFonts w:ascii="Wingdings" w:hAnsi="Wingdings" w:hint="default"/>
      </w:rPr>
    </w:lvl>
  </w:abstractNum>
  <w:abstractNum w:abstractNumId="23">
    <w:nsid w:val="45C25BC7"/>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4">
    <w:nsid w:val="4DE7627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25">
    <w:nsid w:val="540B5E8B"/>
    <w:multiLevelType w:val="hybridMultilevel"/>
    <w:lvl w:ilvl="0" w:tplc="04070001">
      <w:start w:val="1"/>
      <w:numFmt w:val="bullet"/>
      <w:suff w:val="tab"/>
      <w:lvlText w:val=""/>
      <w:lvlJc w:val="left"/>
      <w:pPr>
        <w:ind w:hanging="360" w:left="934"/>
      </w:pPr>
      <w:rPr>
        <w:rFonts w:ascii="Symbol" w:hAnsi="Symbol" w:hint="default"/>
      </w:rPr>
    </w:lvl>
    <w:lvl w:ilvl="1" w:tplc="04070003">
      <w:start w:val="1"/>
      <w:numFmt w:val="bullet"/>
      <w:suff w:val="tab"/>
      <w:lvlText w:val="o"/>
      <w:lvlJc w:val="left"/>
      <w:pPr>
        <w:ind w:hanging="360" w:left="1654"/>
      </w:pPr>
      <w:rPr>
        <w:rFonts w:ascii="Courier New" w:hAnsi="Courier New" w:cs="Courier New" w:hint="default"/>
      </w:rPr>
    </w:lvl>
    <w:lvl w:ilvl="2" w:tplc="04070005">
      <w:start w:val="1"/>
      <w:numFmt w:val="bullet"/>
      <w:suff w:val="tab"/>
      <w:lvlText w:val=""/>
      <w:lvlJc w:val="left"/>
      <w:pPr>
        <w:ind w:hanging="360" w:left="2374"/>
      </w:pPr>
      <w:rPr>
        <w:rFonts w:ascii="Wingdings" w:hAnsi="Wingdings" w:hint="default"/>
      </w:rPr>
    </w:lvl>
    <w:lvl w:ilvl="3" w:tplc="04070001">
      <w:start w:val="1"/>
      <w:numFmt w:val="bullet"/>
      <w:suff w:val="tab"/>
      <w:lvlText w:val=""/>
      <w:lvlJc w:val="left"/>
      <w:pPr>
        <w:ind w:hanging="360" w:left="3094"/>
      </w:pPr>
      <w:rPr>
        <w:rFonts w:ascii="Symbol" w:hAnsi="Symbol" w:hint="default"/>
      </w:rPr>
    </w:lvl>
    <w:lvl w:ilvl="4" w:tplc="04070003">
      <w:start w:val="1"/>
      <w:numFmt w:val="bullet"/>
      <w:suff w:val="tab"/>
      <w:lvlText w:val="o"/>
      <w:lvlJc w:val="left"/>
      <w:pPr>
        <w:ind w:hanging="360" w:left="3814"/>
      </w:pPr>
      <w:rPr>
        <w:rFonts w:ascii="Courier New" w:hAnsi="Courier New" w:cs="Courier New" w:hint="default"/>
      </w:rPr>
    </w:lvl>
    <w:lvl w:ilvl="5" w:tplc="04070005">
      <w:start w:val="1"/>
      <w:numFmt w:val="bullet"/>
      <w:suff w:val="tab"/>
      <w:lvlText w:val=""/>
      <w:lvlJc w:val="left"/>
      <w:pPr>
        <w:ind w:hanging="360" w:left="4534"/>
      </w:pPr>
      <w:rPr>
        <w:rFonts w:ascii="Wingdings" w:hAnsi="Wingdings" w:hint="default"/>
      </w:rPr>
    </w:lvl>
    <w:lvl w:ilvl="6" w:tplc="04070001">
      <w:start w:val="1"/>
      <w:numFmt w:val="bullet"/>
      <w:suff w:val="tab"/>
      <w:lvlText w:val=""/>
      <w:lvlJc w:val="left"/>
      <w:pPr>
        <w:ind w:hanging="360" w:left="5254"/>
      </w:pPr>
      <w:rPr>
        <w:rFonts w:ascii="Symbol" w:hAnsi="Symbol" w:hint="default"/>
      </w:rPr>
    </w:lvl>
    <w:lvl w:ilvl="7" w:tplc="04070003">
      <w:start w:val="1"/>
      <w:numFmt w:val="bullet"/>
      <w:suff w:val="tab"/>
      <w:lvlText w:val="o"/>
      <w:lvlJc w:val="left"/>
      <w:pPr>
        <w:ind w:hanging="360" w:left="5974"/>
      </w:pPr>
      <w:rPr>
        <w:rFonts w:ascii="Courier New" w:hAnsi="Courier New" w:cs="Courier New" w:hint="default"/>
      </w:rPr>
    </w:lvl>
    <w:lvl w:ilvl="8" w:tplc="04070005">
      <w:start w:val="1"/>
      <w:numFmt w:val="bullet"/>
      <w:suff w:val="tab"/>
      <w:lvlText w:val=""/>
      <w:lvlJc w:val="left"/>
      <w:pPr>
        <w:ind w:hanging="360" w:left="6694"/>
      </w:pPr>
      <w:rPr>
        <w:rFonts w:ascii="Wingdings" w:hAnsi="Wingdings" w:hint="default"/>
      </w:rPr>
    </w:lvl>
  </w:abstractNum>
  <w:abstractNum w:abstractNumId="26">
    <w:nsid w:val="5976563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27">
    <w:nsid w:val="5BC31F5E"/>
    <w:multiLevelType w:val="hybridMultilevel"/>
    <w:lvl w:ilvl="0" w:tplc="13A029B8">
      <w:start w:val="1"/>
      <w:numFmt w:val="bullet"/>
      <w:suff w:val="tab"/>
      <w:lvlText w:val=""/>
      <w:lvlJc w:val="left"/>
      <w:pPr>
        <w:ind w:hanging="357" w:left="357"/>
        <w:tabs>
          <w:tab w:val="num" w:pos="357" w:leader="none"/>
        </w:tabs>
      </w:pPr>
      <w:rPr>
        <w:rFonts w:ascii="Symbol" w:hAnsi="Symbol" w:hint="default"/>
      </w:rPr>
    </w:lvl>
    <w:lvl w:ilvl="1" w:tplc="04070003">
      <w:start w:val="1"/>
      <w:numFmt w:val="bullet"/>
      <w:suff w:val="tab"/>
      <w:lvlText w:val="o"/>
      <w:lvlJc w:val="left"/>
      <w:pPr>
        <w:ind w:hanging="360" w:left="1440"/>
        <w:tabs>
          <w:tab w:val="num" w:pos="1440" w:leader="none"/>
        </w:tabs>
      </w:pPr>
      <w:rPr>
        <w:rFonts w:ascii="Courier New" w:hAnsi="Courier New" w:cs="Courier New" w:hint="default"/>
      </w:rPr>
    </w:lvl>
    <w:lvl w:ilvl="2" w:tplc="04070005">
      <w:start w:val="1"/>
      <w:numFmt w:val="bullet"/>
      <w:suff w:val="tab"/>
      <w:lvlText w:val=""/>
      <w:lvlJc w:val="left"/>
      <w:pPr>
        <w:ind w:hanging="360" w:left="2160"/>
        <w:tabs>
          <w:tab w:val="num" w:pos="2160" w:leader="none"/>
        </w:tabs>
      </w:pPr>
      <w:rPr>
        <w:rFonts w:ascii="Wingdings" w:hAnsi="Wingdings" w:hint="default"/>
      </w:rPr>
    </w:lvl>
    <w:lvl w:ilvl="3" w:tplc="04070001">
      <w:start w:val="1"/>
      <w:numFmt w:val="bullet"/>
      <w:suff w:val="tab"/>
      <w:lvlText w:val=""/>
      <w:lvlJc w:val="left"/>
      <w:pPr>
        <w:ind w:hanging="360" w:left="2880"/>
        <w:tabs>
          <w:tab w:val="num" w:pos="2880" w:leader="none"/>
        </w:tabs>
      </w:pPr>
      <w:rPr>
        <w:rFonts w:ascii="Symbol" w:hAnsi="Symbol" w:hint="default"/>
      </w:rPr>
    </w:lvl>
    <w:lvl w:ilvl="4" w:tplc="04070003">
      <w:start w:val="1"/>
      <w:numFmt w:val="bullet"/>
      <w:suff w:val="tab"/>
      <w:lvlText w:val="o"/>
      <w:lvlJc w:val="left"/>
      <w:pPr>
        <w:ind w:hanging="360" w:left="3600"/>
        <w:tabs>
          <w:tab w:val="num" w:pos="3600" w:leader="none"/>
        </w:tabs>
      </w:pPr>
      <w:rPr>
        <w:rFonts w:ascii="Courier New" w:hAnsi="Courier New" w:cs="Courier New" w:hint="default"/>
      </w:rPr>
    </w:lvl>
    <w:lvl w:ilvl="5" w:tplc="04070005">
      <w:start w:val="1"/>
      <w:numFmt w:val="bullet"/>
      <w:suff w:val="tab"/>
      <w:lvlText w:val=""/>
      <w:lvlJc w:val="left"/>
      <w:pPr>
        <w:ind w:hanging="360" w:left="4320"/>
        <w:tabs>
          <w:tab w:val="num" w:pos="4320" w:leader="none"/>
        </w:tabs>
      </w:pPr>
      <w:rPr>
        <w:rFonts w:ascii="Wingdings" w:hAnsi="Wingdings" w:hint="default"/>
      </w:rPr>
    </w:lvl>
    <w:lvl w:ilvl="6" w:tplc="04070001">
      <w:start w:val="1"/>
      <w:numFmt w:val="bullet"/>
      <w:suff w:val="tab"/>
      <w:lvlText w:val=""/>
      <w:lvlJc w:val="left"/>
      <w:pPr>
        <w:ind w:hanging="360" w:left="5040"/>
        <w:tabs>
          <w:tab w:val="num" w:pos="5040" w:leader="none"/>
        </w:tabs>
      </w:pPr>
      <w:rPr>
        <w:rFonts w:ascii="Symbol" w:hAnsi="Symbol" w:hint="default"/>
      </w:rPr>
    </w:lvl>
    <w:lvl w:ilvl="7" w:tplc="04070003">
      <w:start w:val="1"/>
      <w:numFmt w:val="bullet"/>
      <w:suff w:val="tab"/>
      <w:lvlText w:val="o"/>
      <w:lvlJc w:val="left"/>
      <w:pPr>
        <w:ind w:hanging="360" w:left="5760"/>
        <w:tabs>
          <w:tab w:val="num" w:pos="5760" w:leader="none"/>
        </w:tabs>
      </w:pPr>
      <w:rPr>
        <w:rFonts w:ascii="Courier New" w:hAnsi="Courier New" w:cs="Courier New" w:hint="default"/>
      </w:rPr>
    </w:lvl>
    <w:lvl w:ilvl="8" w:tplc="04070005">
      <w:start w:val="1"/>
      <w:numFmt w:val="bullet"/>
      <w:suff w:val="tab"/>
      <w:lvlText w:val=""/>
      <w:lvlJc w:val="left"/>
      <w:pPr>
        <w:ind w:hanging="360" w:left="6480"/>
        <w:tabs>
          <w:tab w:val="num" w:pos="6480" w:leader="none"/>
        </w:tabs>
      </w:pPr>
      <w:rPr>
        <w:rFonts w:ascii="Wingdings" w:hAnsi="Wingdings" w:hint="default"/>
      </w:rPr>
    </w:lvl>
  </w:abstractNum>
  <w:abstractNum w:abstractNumId="28">
    <w:nsid w:val="5C3067A7"/>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29">
    <w:nsid w:val="5E855902"/>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0">
    <w:nsid w:val="63440338"/>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1">
    <w:nsid w:val="650C5C84"/>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2">
    <w:nsid w:val="67834A1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3">
    <w:nsid w:val="67DB0DB9"/>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34">
    <w:nsid w:val="682A5594"/>
    <w:multiLevelType w:val="hybridMultilevel"/>
    <w:lvl w:ilvl="0" w:tplc="08090001">
      <w:start w:val="1"/>
      <w:numFmt w:val="bullet"/>
      <w:suff w:val="tab"/>
      <w:lvlText w:val=""/>
      <w:lvlJc w:val="left"/>
      <w:pPr>
        <w:ind w:hanging="360" w:left="720"/>
      </w:pPr>
      <w:rPr>
        <w:rFonts w:ascii="Symbol" w:hAnsi="Symbol" w:hint="default"/>
      </w:rPr>
    </w:lvl>
    <w:lvl w:ilvl="1" w:tplc="08090003">
      <w:start w:val="1"/>
      <w:numFmt w:val="bullet"/>
      <w:suff w:val="tab"/>
      <w:lvlText w:val="o"/>
      <w:lvlJc w:val="left"/>
      <w:pPr>
        <w:ind w:hanging="360" w:left="1440"/>
      </w:pPr>
      <w:rPr>
        <w:rFonts w:ascii="Courier New" w:hAnsi="Courier New" w:cs="Courier New" w:hint="default"/>
      </w:rPr>
    </w:lvl>
    <w:lvl w:ilvl="2" w:tplc="08090005">
      <w:start w:val="1"/>
      <w:numFmt w:val="bullet"/>
      <w:suff w:val="tab"/>
      <w:lvlText w:val=""/>
      <w:lvlJc w:val="left"/>
      <w:pPr>
        <w:ind w:hanging="360" w:left="2160"/>
      </w:pPr>
      <w:rPr>
        <w:rFonts w:ascii="Wingdings" w:hAnsi="Wingdings" w:hint="default"/>
      </w:rPr>
    </w:lvl>
    <w:lvl w:ilvl="3" w:tplc="08090001">
      <w:start w:val="1"/>
      <w:numFmt w:val="bullet"/>
      <w:suff w:val="tab"/>
      <w:lvlText w:val=""/>
      <w:lvlJc w:val="left"/>
      <w:pPr>
        <w:ind w:hanging="360" w:left="2880"/>
      </w:pPr>
      <w:rPr>
        <w:rFonts w:ascii="Symbol" w:hAnsi="Symbol" w:hint="default"/>
      </w:rPr>
    </w:lvl>
    <w:lvl w:ilvl="4" w:tplc="08090003">
      <w:start w:val="1"/>
      <w:numFmt w:val="bullet"/>
      <w:suff w:val="tab"/>
      <w:lvlText w:val="o"/>
      <w:lvlJc w:val="left"/>
      <w:pPr>
        <w:ind w:hanging="360" w:left="3600"/>
      </w:pPr>
      <w:rPr>
        <w:rFonts w:ascii="Courier New" w:hAnsi="Courier New" w:cs="Courier New" w:hint="default"/>
      </w:rPr>
    </w:lvl>
    <w:lvl w:ilvl="5" w:tplc="08090005">
      <w:start w:val="1"/>
      <w:numFmt w:val="bullet"/>
      <w:suff w:val="tab"/>
      <w:lvlText w:val=""/>
      <w:lvlJc w:val="left"/>
      <w:pPr>
        <w:ind w:hanging="360" w:left="4320"/>
      </w:pPr>
      <w:rPr>
        <w:rFonts w:ascii="Wingdings" w:hAnsi="Wingdings" w:hint="default"/>
      </w:rPr>
    </w:lvl>
    <w:lvl w:ilvl="6" w:tplc="08090001">
      <w:start w:val="1"/>
      <w:numFmt w:val="bullet"/>
      <w:suff w:val="tab"/>
      <w:lvlText w:val=""/>
      <w:lvlJc w:val="left"/>
      <w:pPr>
        <w:ind w:hanging="360" w:left="5040"/>
      </w:pPr>
      <w:rPr>
        <w:rFonts w:ascii="Symbol" w:hAnsi="Symbol" w:hint="default"/>
      </w:rPr>
    </w:lvl>
    <w:lvl w:ilvl="7" w:tplc="08090003">
      <w:start w:val="1"/>
      <w:numFmt w:val="bullet"/>
      <w:suff w:val="tab"/>
      <w:lvlText w:val="o"/>
      <w:lvlJc w:val="left"/>
      <w:pPr>
        <w:ind w:hanging="360" w:left="5760"/>
      </w:pPr>
      <w:rPr>
        <w:rFonts w:ascii="Courier New" w:hAnsi="Courier New" w:cs="Courier New" w:hint="default"/>
      </w:rPr>
    </w:lvl>
    <w:lvl w:ilvl="8" w:tplc="08090005">
      <w:start w:val="1"/>
      <w:numFmt w:val="bullet"/>
      <w:suff w:val="tab"/>
      <w:lvlText w:val=""/>
      <w:lvlJc w:val="left"/>
      <w:pPr>
        <w:ind w:hanging="360" w:left="6480"/>
      </w:pPr>
      <w:rPr>
        <w:rFonts w:ascii="Wingdings" w:hAnsi="Wingdings" w:hint="default"/>
      </w:rPr>
    </w:lvl>
  </w:abstractNum>
  <w:abstractNum w:abstractNumId="35">
    <w:nsid w:val="68A4240D"/>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6">
    <w:nsid w:val="6A214964"/>
    <w:multiLevelType w:val="hybridMultilevel"/>
    <w:lvl w:ilvl="0" w:tplc="FC307194">
      <w:start w:val="1"/>
      <w:numFmt w:val="decimal"/>
      <w:suff w:val="tab"/>
      <w:lvlText w:val="%1"/>
      <w:lvlJc w:val="left"/>
      <w:pPr>
        <w:ind w:hanging="705" w:left="1065"/>
      </w:pPr>
      <w:rPr>
        <w:rFonts w:hint="default"/>
      </w:rPr>
    </w:lvl>
    <w:lvl w:ilvl="1" w:tplc="04070019">
      <w:start w:val="1"/>
      <w:numFmt w:val="lowerLetter"/>
      <w:suff w:val="tab"/>
      <w:lvlText w:val="%2."/>
      <w:lvlJc w:val="left"/>
      <w:pPr>
        <w:ind w:hanging="360" w:left="1440"/>
      </w:pPr>
      <w:rPr/>
    </w:lvl>
    <w:lvl w:ilvl="2" w:tplc="0407001B">
      <w:start w:val="1"/>
      <w:numFmt w:val="lowerRoman"/>
      <w:suff w:val="tab"/>
      <w:lvlText w:val="%3."/>
      <w:lvlJc w:val="right"/>
      <w:pPr>
        <w:ind w:hanging="180" w:left="2160"/>
      </w:pPr>
      <w:rPr/>
    </w:lvl>
    <w:lvl w:ilvl="3" w:tplc="0407000F">
      <w:start w:val="1"/>
      <w:numFmt w:val="decimal"/>
      <w:suff w:val="tab"/>
      <w:lvlText w:val="%4."/>
      <w:lvlJc w:val="left"/>
      <w:pPr>
        <w:ind w:hanging="360" w:left="2880"/>
      </w:pPr>
      <w:rPr/>
    </w:lvl>
    <w:lvl w:ilvl="4" w:tplc="04070019">
      <w:start w:val="1"/>
      <w:numFmt w:val="lowerLetter"/>
      <w:suff w:val="tab"/>
      <w:lvlText w:val="%5."/>
      <w:lvlJc w:val="left"/>
      <w:pPr>
        <w:ind w:hanging="360" w:left="3600"/>
      </w:pPr>
      <w:rPr/>
    </w:lvl>
    <w:lvl w:ilvl="5" w:tplc="0407001B">
      <w:start w:val="1"/>
      <w:numFmt w:val="lowerRoman"/>
      <w:suff w:val="tab"/>
      <w:lvlText w:val="%6."/>
      <w:lvlJc w:val="right"/>
      <w:pPr>
        <w:ind w:hanging="180" w:left="4320"/>
      </w:pPr>
      <w:rPr/>
    </w:lvl>
    <w:lvl w:ilvl="6" w:tplc="0407000F">
      <w:start w:val="1"/>
      <w:numFmt w:val="decimal"/>
      <w:suff w:val="tab"/>
      <w:lvlText w:val="%7."/>
      <w:lvlJc w:val="left"/>
      <w:pPr>
        <w:ind w:hanging="360" w:left="5040"/>
      </w:pPr>
      <w:rPr/>
    </w:lvl>
    <w:lvl w:ilvl="7" w:tplc="04070019">
      <w:start w:val="1"/>
      <w:numFmt w:val="lowerLetter"/>
      <w:suff w:val="tab"/>
      <w:lvlText w:val="%8."/>
      <w:lvlJc w:val="left"/>
      <w:pPr>
        <w:ind w:hanging="360" w:left="5760"/>
      </w:pPr>
      <w:rPr/>
    </w:lvl>
    <w:lvl w:ilvl="8" w:tplc="0407001B">
      <w:start w:val="1"/>
      <w:numFmt w:val="lowerRoman"/>
      <w:suff w:val="tab"/>
      <w:lvlText w:val="%9."/>
      <w:lvlJc w:val="right"/>
      <w:pPr>
        <w:ind w:hanging="180" w:left="6480"/>
      </w:pPr>
      <w:rPr/>
    </w:lvl>
  </w:abstractNum>
  <w:abstractNum w:abstractNumId="37">
    <w:nsid w:val="6A2423DB"/>
    <w:multiLevelType w:val="multilevel"/>
    <w:lvl w:ilvl="0">
      <w:start w:val="1"/>
      <w:numFmt w:val="decimal"/>
      <w:suff w:val="tab"/>
      <w:lvlText w:val="%1"/>
      <w:lvlJc w:val="left"/>
      <w:pPr>
        <w:ind w:hanging="435" w:left="435"/>
        <w:tabs>
          <w:tab w:val="num" w:pos="435" w:leader="none"/>
        </w:tabs>
      </w:pPr>
      <w:rPr>
        <w:rFonts w:hint="default"/>
      </w:rPr>
    </w:lvl>
    <w:lvl w:ilvl="1">
      <w:start w:val="5"/>
      <w:numFmt w:val="decimal"/>
      <w:suff w:val="tab"/>
      <w:lvlText w:val="%1.%2"/>
      <w:lvlJc w:val="left"/>
      <w:pPr>
        <w:ind w:hanging="435" w:left="1425"/>
        <w:tabs>
          <w:tab w:val="num" w:pos="1425" w:leader="none"/>
        </w:tabs>
      </w:pPr>
      <w:rPr>
        <w:rFonts w:hint="default"/>
      </w:rPr>
    </w:lvl>
    <w:lvl w:ilvl="2">
      <w:start w:val="1"/>
      <w:numFmt w:val="decimal"/>
      <w:suff w:val="tab"/>
      <w:lvlText w:val="%1.%2.%3"/>
      <w:lvlJc w:val="left"/>
      <w:pPr>
        <w:ind w:hanging="720" w:left="2700"/>
        <w:tabs>
          <w:tab w:val="num" w:pos="2700" w:leader="none"/>
        </w:tabs>
      </w:pPr>
      <w:rPr>
        <w:rFonts w:hint="default"/>
      </w:rPr>
    </w:lvl>
    <w:lvl w:ilvl="3">
      <w:start w:val="1"/>
      <w:numFmt w:val="decimal"/>
      <w:suff w:val="tab"/>
      <w:lvlText w:val="%1.%2.%3.%4"/>
      <w:lvlJc w:val="left"/>
      <w:pPr>
        <w:ind w:hanging="720" w:left="3690"/>
        <w:tabs>
          <w:tab w:val="num" w:pos="3690" w:leader="none"/>
        </w:tabs>
      </w:pPr>
      <w:rPr>
        <w:rFonts w:hint="default"/>
      </w:rPr>
    </w:lvl>
    <w:lvl w:ilvl="4">
      <w:start w:val="1"/>
      <w:numFmt w:val="decimal"/>
      <w:suff w:val="tab"/>
      <w:lvlText w:val="%1.%2.%3.%4.%5"/>
      <w:lvlJc w:val="left"/>
      <w:pPr>
        <w:ind w:hanging="1080" w:left="5040"/>
        <w:tabs>
          <w:tab w:val="num" w:pos="5040" w:leader="none"/>
        </w:tabs>
      </w:pPr>
      <w:rPr>
        <w:rFonts w:hint="default"/>
      </w:rPr>
    </w:lvl>
    <w:lvl w:ilvl="5">
      <w:start w:val="1"/>
      <w:numFmt w:val="decimal"/>
      <w:suff w:val="tab"/>
      <w:lvlText w:val="%1.%2.%3.%4.%5.%6"/>
      <w:lvlJc w:val="left"/>
      <w:pPr>
        <w:ind w:hanging="1080" w:left="6030"/>
        <w:tabs>
          <w:tab w:val="num" w:pos="6030" w:leader="none"/>
        </w:tabs>
      </w:pPr>
      <w:rPr>
        <w:rFonts w:hint="default"/>
      </w:rPr>
    </w:lvl>
    <w:lvl w:ilvl="6">
      <w:start w:val="1"/>
      <w:numFmt w:val="decimal"/>
      <w:suff w:val="tab"/>
      <w:lvlText w:val="%1.%2.%3.%4.%5.%6.%7"/>
      <w:lvlJc w:val="left"/>
      <w:pPr>
        <w:ind w:hanging="1440" w:left="7380"/>
        <w:tabs>
          <w:tab w:val="num" w:pos="7380" w:leader="none"/>
        </w:tabs>
      </w:pPr>
      <w:rPr>
        <w:rFonts w:hint="default"/>
      </w:rPr>
    </w:lvl>
    <w:lvl w:ilvl="7">
      <w:start w:val="1"/>
      <w:numFmt w:val="decimal"/>
      <w:suff w:val="tab"/>
      <w:lvlText w:val="%1.%2.%3.%4.%5.%6.%7.%8"/>
      <w:lvlJc w:val="left"/>
      <w:pPr>
        <w:ind w:hanging="1440" w:left="8370"/>
        <w:tabs>
          <w:tab w:val="num" w:pos="8370" w:leader="none"/>
        </w:tabs>
      </w:pPr>
      <w:rPr>
        <w:rFonts w:hint="default"/>
      </w:rPr>
    </w:lvl>
    <w:lvl w:ilvl="8">
      <w:start w:val="1"/>
      <w:numFmt w:val="decimal"/>
      <w:suff w:val="tab"/>
      <w:lvlText w:val="%1.%2.%3.%4.%5.%6.%7.%8.%9"/>
      <w:lvlJc w:val="left"/>
      <w:pPr>
        <w:ind w:hanging="1800" w:left="9720"/>
        <w:tabs>
          <w:tab w:val="num" w:pos="9720" w:leader="none"/>
        </w:tabs>
      </w:pPr>
      <w:rPr>
        <w:rFonts w:hint="default"/>
      </w:rPr>
    </w:lvl>
  </w:abstractNum>
  <w:abstractNum w:abstractNumId="38">
    <w:nsid w:val="6A6168F4"/>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39">
    <w:nsid w:val="6D2C6FCA"/>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40">
    <w:nsid w:val="6FAA12C7"/>
    <w:multiLevelType w:val="hybridMultilevel"/>
    <w:lvl w:ilvl="0" w:tplc="04070011">
      <w:start w:val="1"/>
      <w:numFmt w:val="decimal"/>
      <w:suff w:val="tab"/>
      <w:lvlText w:val="%1)"/>
      <w:lvlJc w:val="left"/>
      <w:pPr>
        <w:ind w:hanging="360" w:left="360"/>
      </w:pPr>
      <w:rPr>
        <w:rFonts w:hint="default"/>
      </w:rPr>
    </w:lvl>
    <w:lvl w:ilvl="1" w:tplc="04070019">
      <w:start w:val="1"/>
      <w:numFmt w:val="lowerLetter"/>
      <w:suff w:val="tab"/>
      <w:lvlText w:val="%2."/>
      <w:lvlJc w:val="left"/>
      <w:pPr>
        <w:ind w:hanging="360" w:left="1080"/>
      </w:pPr>
      <w:rPr/>
    </w:lvl>
    <w:lvl w:ilvl="2" w:tplc="0407001B">
      <w:start w:val="1"/>
      <w:numFmt w:val="lowerRoman"/>
      <w:suff w:val="tab"/>
      <w:lvlText w:val="%3."/>
      <w:lvlJc w:val="right"/>
      <w:pPr>
        <w:ind w:hanging="180" w:left="1800"/>
      </w:pPr>
      <w:rPr/>
    </w:lvl>
    <w:lvl w:ilvl="3" w:tplc="0407000F">
      <w:start w:val="1"/>
      <w:numFmt w:val="decimal"/>
      <w:suff w:val="tab"/>
      <w:lvlText w:val="%4."/>
      <w:lvlJc w:val="left"/>
      <w:pPr>
        <w:ind w:hanging="360" w:left="2520"/>
      </w:pPr>
      <w:rPr/>
    </w:lvl>
    <w:lvl w:ilvl="4" w:tplc="04070019">
      <w:start w:val="1"/>
      <w:numFmt w:val="lowerLetter"/>
      <w:suff w:val="tab"/>
      <w:lvlText w:val="%5."/>
      <w:lvlJc w:val="left"/>
      <w:pPr>
        <w:ind w:hanging="360" w:left="3240"/>
      </w:pPr>
      <w:rPr/>
    </w:lvl>
    <w:lvl w:ilvl="5" w:tplc="0407001B">
      <w:start w:val="1"/>
      <w:numFmt w:val="lowerRoman"/>
      <w:suff w:val="tab"/>
      <w:lvlText w:val="%6."/>
      <w:lvlJc w:val="right"/>
      <w:pPr>
        <w:ind w:hanging="180" w:left="3960"/>
      </w:pPr>
      <w:rPr/>
    </w:lvl>
    <w:lvl w:ilvl="6" w:tplc="0407000F">
      <w:start w:val="1"/>
      <w:numFmt w:val="decimal"/>
      <w:suff w:val="tab"/>
      <w:lvlText w:val="%7."/>
      <w:lvlJc w:val="left"/>
      <w:pPr>
        <w:ind w:hanging="360" w:left="4680"/>
      </w:pPr>
      <w:rPr/>
    </w:lvl>
    <w:lvl w:ilvl="7" w:tplc="04070019">
      <w:start w:val="1"/>
      <w:numFmt w:val="lowerLetter"/>
      <w:suff w:val="tab"/>
      <w:lvlText w:val="%8."/>
      <w:lvlJc w:val="left"/>
      <w:pPr>
        <w:ind w:hanging="360" w:left="5400"/>
      </w:pPr>
      <w:rPr/>
    </w:lvl>
    <w:lvl w:ilvl="8" w:tplc="0407001B">
      <w:start w:val="1"/>
      <w:numFmt w:val="lowerRoman"/>
      <w:suff w:val="tab"/>
      <w:lvlText w:val="%9."/>
      <w:lvlJc w:val="right"/>
      <w:pPr>
        <w:ind w:hanging="180" w:left="6120"/>
      </w:pPr>
      <w:rPr/>
    </w:lvl>
  </w:abstractNum>
  <w:abstractNum w:abstractNumId="41">
    <w:nsid w:val="70FD5939"/>
    <w:multiLevelType w:val="multilevel"/>
    <w:lvl w:ilvl="0">
      <w:start w:val="1"/>
      <w:numFmt w:val="decimal"/>
      <w:suff w:val="tab"/>
      <w:lvlText w:val="%1"/>
      <w:lvlJc w:val="left"/>
      <w:pPr>
        <w:ind w:hanging="360" w:left="360"/>
      </w:pPr>
      <w:rPr>
        <w:rFonts w:hint="default"/>
      </w:rPr>
    </w:lvl>
    <w:lvl w:ilvl="1">
      <w:start w:val="3"/>
      <w:numFmt w:val="decimal"/>
      <w:suff w:val="tab"/>
      <w:lvlText w:val="%1.%2"/>
      <w:lvlJc w:val="left"/>
      <w:pPr>
        <w:ind w:hanging="360" w:left="360"/>
      </w:pPr>
      <w:rPr>
        <w:rFonts w:hint="default"/>
      </w:rPr>
    </w:lvl>
    <w:lvl w:ilvl="2">
      <w:start w:val="1"/>
      <w:numFmt w:val="decimal"/>
      <w:suff w:val="tab"/>
      <w:lvlText w:val="%1.%2.%3"/>
      <w:lvlJc w:val="left"/>
      <w:pPr>
        <w:ind w:hanging="720" w:left="2700"/>
      </w:pPr>
      <w:rPr>
        <w:rFonts w:hint="default"/>
      </w:rPr>
    </w:lvl>
    <w:lvl w:ilvl="3">
      <w:start w:val="1"/>
      <w:numFmt w:val="decimal"/>
      <w:suff w:val="tab"/>
      <w:lvlText w:val="%1.%2.%3.%4"/>
      <w:lvlJc w:val="left"/>
      <w:pPr>
        <w:ind w:hanging="720" w:left="3690"/>
      </w:pPr>
      <w:rPr>
        <w:rFonts w:hint="default"/>
      </w:rPr>
    </w:lvl>
    <w:lvl w:ilvl="4">
      <w:start w:val="1"/>
      <w:numFmt w:val="decimal"/>
      <w:suff w:val="tab"/>
      <w:lvlText w:val="%1.%2.%3.%4.%5"/>
      <w:lvlJc w:val="left"/>
      <w:pPr>
        <w:ind w:hanging="1080" w:left="5040"/>
      </w:pPr>
      <w:rPr>
        <w:rFonts w:hint="default"/>
      </w:rPr>
    </w:lvl>
    <w:lvl w:ilvl="5">
      <w:start w:val="1"/>
      <w:numFmt w:val="decimal"/>
      <w:suff w:val="tab"/>
      <w:lvlText w:val="%1.%2.%3.%4.%5.%6"/>
      <w:lvlJc w:val="left"/>
      <w:pPr>
        <w:ind w:hanging="1080" w:left="6030"/>
      </w:pPr>
      <w:rPr>
        <w:rFonts w:hint="default"/>
      </w:rPr>
    </w:lvl>
    <w:lvl w:ilvl="6">
      <w:start w:val="1"/>
      <w:numFmt w:val="decimal"/>
      <w:suff w:val="tab"/>
      <w:lvlText w:val="%1.%2.%3.%4.%5.%6.%7"/>
      <w:lvlJc w:val="left"/>
      <w:pPr>
        <w:ind w:hanging="1440" w:left="7380"/>
      </w:pPr>
      <w:rPr>
        <w:rFonts w:hint="default"/>
      </w:rPr>
    </w:lvl>
    <w:lvl w:ilvl="7">
      <w:start w:val="1"/>
      <w:numFmt w:val="decimal"/>
      <w:suff w:val="tab"/>
      <w:lvlText w:val="%1.%2.%3.%4.%5.%6.%7.%8"/>
      <w:lvlJc w:val="left"/>
      <w:pPr>
        <w:ind w:hanging="1440" w:left="8370"/>
      </w:pPr>
      <w:rPr>
        <w:rFonts w:hint="default"/>
      </w:rPr>
    </w:lvl>
    <w:lvl w:ilvl="8">
      <w:start w:val="1"/>
      <w:numFmt w:val="decimal"/>
      <w:suff w:val="tab"/>
      <w:lvlText w:val="%1.%2.%3.%4.%5.%6.%7.%8.%9"/>
      <w:lvlJc w:val="left"/>
      <w:pPr>
        <w:ind w:hanging="1800" w:left="9720"/>
      </w:pPr>
      <w:rPr>
        <w:rFonts w:hint="default"/>
      </w:rPr>
    </w:lvl>
  </w:abstractNum>
  <w:abstractNum w:abstractNumId="42">
    <w:nsid w:val="717B5882"/>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3">
    <w:nsid w:val="72C421F1"/>
    <w:multiLevelType w:val="multilevel"/>
    <w:lvl w:ilvl="0">
      <w:start w:val="2"/>
      <w:numFmt w:val="decimal"/>
      <w:suff w:val="tab"/>
      <w:lvlText w:val="%1"/>
      <w:lvlJc w:val="left"/>
      <w:pPr>
        <w:ind w:hanging="990" w:left="990"/>
        <w:tabs>
          <w:tab w:val="num" w:pos="990" w:leader="none"/>
        </w:tabs>
      </w:pPr>
      <w:rPr>
        <w:rFonts w:hint="default"/>
      </w:rPr>
    </w:lvl>
    <w:lvl w:ilvl="1">
      <w:start w:val="1"/>
      <w:numFmt w:val="decimal"/>
      <w:suff w:val="tab"/>
      <w:lvlText w:val="%1.%2"/>
      <w:lvlJc w:val="left"/>
      <w:pPr>
        <w:ind w:hanging="990" w:left="990"/>
        <w:tabs>
          <w:tab w:val="num" w:pos="990" w:leader="none"/>
        </w:tabs>
      </w:pPr>
      <w:rPr>
        <w:rFonts w:hint="default"/>
      </w:rPr>
    </w:lvl>
    <w:lvl w:ilvl="2">
      <w:start w:val="1"/>
      <w:numFmt w:val="decimal"/>
      <w:suff w:val="tab"/>
      <w:lvlText w:val="%1.%2.%3"/>
      <w:lvlJc w:val="left"/>
      <w:pPr>
        <w:ind w:hanging="990" w:left="990"/>
        <w:tabs>
          <w:tab w:val="num" w:pos="990" w:leader="none"/>
        </w:tabs>
      </w:pPr>
      <w:rPr>
        <w:rFonts w:hint="default"/>
      </w:rPr>
    </w:lvl>
    <w:lvl w:ilvl="3">
      <w:start w:val="1"/>
      <w:numFmt w:val="decimal"/>
      <w:suff w:val="tab"/>
      <w:lvlText w:val="%1.%2.%3.%4"/>
      <w:lvlJc w:val="left"/>
      <w:pPr>
        <w:ind w:hanging="990" w:left="990"/>
        <w:tabs>
          <w:tab w:val="num" w:pos="990" w:leader="none"/>
        </w:tabs>
      </w:pPr>
      <w:rPr>
        <w:rFonts w:hint="default"/>
      </w:rPr>
    </w:lvl>
    <w:lvl w:ilvl="4">
      <w:start w:val="1"/>
      <w:numFmt w:val="decimal"/>
      <w:suff w:val="tab"/>
      <w:lvlText w:val="%1.%2.%3.%4.%5"/>
      <w:lvlJc w:val="left"/>
      <w:pPr>
        <w:ind w:hanging="1080" w:left="1080"/>
        <w:tabs>
          <w:tab w:val="num" w:pos="1080" w:leader="none"/>
        </w:tabs>
      </w:pPr>
      <w:rPr>
        <w:rFonts w:hint="default"/>
      </w:rPr>
    </w:lvl>
    <w:lvl w:ilvl="5">
      <w:start w:val="1"/>
      <w:numFmt w:val="decimal"/>
      <w:suff w:val="tab"/>
      <w:lvlText w:val="%1.%2.%3.%4.%5.%6"/>
      <w:lvlJc w:val="left"/>
      <w:pPr>
        <w:ind w:hanging="1080" w:left="1080"/>
        <w:tabs>
          <w:tab w:val="num" w:pos="1080" w:leader="none"/>
        </w:tabs>
      </w:pPr>
      <w:rPr>
        <w:rFonts w:hint="default"/>
      </w:rPr>
    </w:lvl>
    <w:lvl w:ilvl="6">
      <w:start w:val="1"/>
      <w:numFmt w:val="decimal"/>
      <w:suff w:val="tab"/>
      <w:lvlText w:val="%1.%2.%3.%4.%5.%6.%7"/>
      <w:lvlJc w:val="left"/>
      <w:pPr>
        <w:ind w:hanging="1440" w:left="1440"/>
        <w:tabs>
          <w:tab w:val="num" w:pos="1440" w:leader="none"/>
        </w:tabs>
      </w:pPr>
      <w:rPr>
        <w:rFonts w:hint="default"/>
      </w:rPr>
    </w:lvl>
    <w:lvl w:ilvl="7">
      <w:start w:val="1"/>
      <w:numFmt w:val="decimal"/>
      <w:suff w:val="tab"/>
      <w:lvlText w:val="%1.%2.%3.%4.%5.%6.%7.%8"/>
      <w:lvlJc w:val="left"/>
      <w:pPr>
        <w:ind w:hanging="1440" w:left="1440"/>
        <w:tabs>
          <w:tab w:val="num" w:pos="1440" w:leader="none"/>
        </w:tabs>
      </w:pPr>
      <w:rPr>
        <w:rFonts w:hint="default"/>
      </w:rPr>
    </w:lvl>
    <w:lvl w:ilvl="8">
      <w:start w:val="1"/>
      <w:numFmt w:val="decimal"/>
      <w:suff w:val="tab"/>
      <w:lvlText w:val="%1.%2.%3.%4.%5.%6.%7.%8.%9"/>
      <w:lvlJc w:val="left"/>
      <w:pPr>
        <w:ind w:hanging="1800" w:left="1800"/>
        <w:tabs>
          <w:tab w:val="num" w:pos="1800" w:leader="none"/>
        </w:tabs>
      </w:pPr>
      <w:rPr>
        <w:rFonts w:hint="default"/>
      </w:rPr>
    </w:lvl>
  </w:abstractNum>
  <w:abstractNum w:abstractNumId="44">
    <w:nsid w:val="78FC1B48"/>
    <w:multiLevelType w:val="hybridMultilevel"/>
    <w:lvl w:ilvl="0" w:tplc="04070001">
      <w:start w:val="1"/>
      <w:numFmt w:val="bullet"/>
      <w:suff w:val="tab"/>
      <w:lvlText w:val=""/>
      <w:lvlJc w:val="left"/>
      <w:pPr>
        <w:ind w:hanging="360" w:left="360"/>
      </w:pPr>
      <w:rPr>
        <w:rFonts w:ascii="Symbol" w:hAnsi="Symbol" w:hint="default"/>
      </w:rPr>
    </w:lvl>
    <w:lvl w:ilvl="1" w:tplc="04070003">
      <w:start w:val="1"/>
      <w:numFmt w:val="bullet"/>
      <w:suff w:val="tab"/>
      <w:lvlText w:val="o"/>
      <w:lvlJc w:val="left"/>
      <w:pPr>
        <w:ind w:hanging="360" w:left="1080"/>
      </w:pPr>
      <w:rPr>
        <w:rFonts w:ascii="Courier New" w:hAnsi="Courier New" w:cs="Courier New" w:hint="default"/>
      </w:rPr>
    </w:lvl>
    <w:lvl w:ilvl="2" w:tplc="04070005">
      <w:start w:val="1"/>
      <w:numFmt w:val="bullet"/>
      <w:suff w:val="tab"/>
      <w:lvlText w:val=""/>
      <w:lvlJc w:val="left"/>
      <w:pPr>
        <w:ind w:hanging="360" w:left="1800"/>
      </w:pPr>
      <w:rPr>
        <w:rFonts w:ascii="Wingdings" w:hAnsi="Wingdings" w:hint="default"/>
      </w:rPr>
    </w:lvl>
    <w:lvl w:ilvl="3" w:tplc="04070001">
      <w:start w:val="1"/>
      <w:numFmt w:val="bullet"/>
      <w:suff w:val="tab"/>
      <w:lvlText w:val=""/>
      <w:lvlJc w:val="left"/>
      <w:pPr>
        <w:ind w:hanging="360" w:left="2520"/>
      </w:pPr>
      <w:rPr>
        <w:rFonts w:ascii="Symbol" w:hAnsi="Symbol" w:hint="default"/>
      </w:rPr>
    </w:lvl>
    <w:lvl w:ilvl="4" w:tplc="04070003">
      <w:start w:val="1"/>
      <w:numFmt w:val="bullet"/>
      <w:suff w:val="tab"/>
      <w:lvlText w:val="o"/>
      <w:lvlJc w:val="left"/>
      <w:pPr>
        <w:ind w:hanging="360" w:left="3240"/>
      </w:pPr>
      <w:rPr>
        <w:rFonts w:ascii="Courier New" w:hAnsi="Courier New" w:cs="Courier New" w:hint="default"/>
      </w:rPr>
    </w:lvl>
    <w:lvl w:ilvl="5" w:tplc="04070005">
      <w:start w:val="1"/>
      <w:numFmt w:val="bullet"/>
      <w:suff w:val="tab"/>
      <w:lvlText w:val=""/>
      <w:lvlJc w:val="left"/>
      <w:pPr>
        <w:ind w:hanging="360" w:left="3960"/>
      </w:pPr>
      <w:rPr>
        <w:rFonts w:ascii="Wingdings" w:hAnsi="Wingdings" w:hint="default"/>
      </w:rPr>
    </w:lvl>
    <w:lvl w:ilvl="6" w:tplc="04070001">
      <w:start w:val="1"/>
      <w:numFmt w:val="bullet"/>
      <w:suff w:val="tab"/>
      <w:lvlText w:val=""/>
      <w:lvlJc w:val="left"/>
      <w:pPr>
        <w:ind w:hanging="360" w:left="4680"/>
      </w:pPr>
      <w:rPr>
        <w:rFonts w:ascii="Symbol" w:hAnsi="Symbol" w:hint="default"/>
      </w:rPr>
    </w:lvl>
    <w:lvl w:ilvl="7" w:tplc="04070003">
      <w:start w:val="1"/>
      <w:numFmt w:val="bullet"/>
      <w:suff w:val="tab"/>
      <w:lvlText w:val="o"/>
      <w:lvlJc w:val="left"/>
      <w:pPr>
        <w:ind w:hanging="360" w:left="5400"/>
      </w:pPr>
      <w:rPr>
        <w:rFonts w:ascii="Courier New" w:hAnsi="Courier New" w:cs="Courier New" w:hint="default"/>
      </w:rPr>
    </w:lvl>
    <w:lvl w:ilvl="8" w:tplc="04070005">
      <w:start w:val="1"/>
      <w:numFmt w:val="bullet"/>
      <w:suff w:val="tab"/>
      <w:lvlText w:val=""/>
      <w:lvlJc w:val="left"/>
      <w:pPr>
        <w:ind w:hanging="360" w:left="6120"/>
      </w:pPr>
      <w:rPr>
        <w:rFonts w:ascii="Wingdings" w:hAnsi="Wingdings" w:hint="default"/>
      </w:rPr>
    </w:lvl>
  </w:abstractNum>
  <w:abstractNum w:abstractNumId="45">
    <w:nsid w:val="7C603B93"/>
    <w:multiLevelType w:val="hybridMultilevel"/>
    <w:lvl w:ilvl="0" w:tplc="04070001">
      <w:start w:val="1"/>
      <w:numFmt w:val="bullet"/>
      <w:suff w:val="tab"/>
      <w:lvlText w:val=""/>
      <w:lvlJc w:val="left"/>
      <w:pPr>
        <w:ind w:hanging="360" w:left="720"/>
      </w:pPr>
      <w:rPr>
        <w:rFonts w:ascii="Symbol" w:hAnsi="Symbol" w:hint="default"/>
      </w:rPr>
    </w:lvl>
    <w:lvl w:ilvl="1" w:tplc="04070003">
      <w:start w:val="1"/>
      <w:numFmt w:val="bullet"/>
      <w:suff w:val="tab"/>
      <w:lvlText w:val="o"/>
      <w:lvlJc w:val="left"/>
      <w:pPr>
        <w:ind w:hanging="360" w:left="1440"/>
      </w:pPr>
      <w:rPr>
        <w:rFonts w:ascii="Courier New" w:hAnsi="Courier New" w:cs="Courier New" w:hint="default"/>
      </w:rPr>
    </w:lvl>
    <w:lvl w:ilvl="2" w:tplc="04070005">
      <w:start w:val="1"/>
      <w:numFmt w:val="bullet"/>
      <w:suff w:val="tab"/>
      <w:lvlText w:val=""/>
      <w:lvlJc w:val="left"/>
      <w:pPr>
        <w:ind w:hanging="360" w:left="2160"/>
      </w:pPr>
      <w:rPr>
        <w:rFonts w:ascii="Wingdings" w:hAnsi="Wingdings" w:hint="default"/>
      </w:rPr>
    </w:lvl>
    <w:lvl w:ilvl="3" w:tplc="04070001">
      <w:start w:val="1"/>
      <w:numFmt w:val="bullet"/>
      <w:suff w:val="tab"/>
      <w:lvlText w:val=""/>
      <w:lvlJc w:val="left"/>
      <w:pPr>
        <w:ind w:hanging="360" w:left="2880"/>
      </w:pPr>
      <w:rPr>
        <w:rFonts w:ascii="Symbol" w:hAnsi="Symbol" w:hint="default"/>
      </w:rPr>
    </w:lvl>
    <w:lvl w:ilvl="4" w:tplc="04070003">
      <w:start w:val="1"/>
      <w:numFmt w:val="bullet"/>
      <w:suff w:val="tab"/>
      <w:lvlText w:val="o"/>
      <w:lvlJc w:val="left"/>
      <w:pPr>
        <w:ind w:hanging="360" w:left="3600"/>
      </w:pPr>
      <w:rPr>
        <w:rFonts w:ascii="Courier New" w:hAnsi="Courier New" w:cs="Courier New" w:hint="default"/>
      </w:rPr>
    </w:lvl>
    <w:lvl w:ilvl="5" w:tplc="04070005">
      <w:start w:val="1"/>
      <w:numFmt w:val="bullet"/>
      <w:suff w:val="tab"/>
      <w:lvlText w:val=""/>
      <w:lvlJc w:val="left"/>
      <w:pPr>
        <w:ind w:hanging="360" w:left="4320"/>
      </w:pPr>
      <w:rPr>
        <w:rFonts w:ascii="Wingdings" w:hAnsi="Wingdings" w:hint="default"/>
      </w:rPr>
    </w:lvl>
    <w:lvl w:ilvl="6" w:tplc="04070001">
      <w:start w:val="1"/>
      <w:numFmt w:val="bullet"/>
      <w:suff w:val="tab"/>
      <w:lvlText w:val=""/>
      <w:lvlJc w:val="left"/>
      <w:pPr>
        <w:ind w:hanging="360" w:left="5040"/>
      </w:pPr>
      <w:rPr>
        <w:rFonts w:ascii="Symbol" w:hAnsi="Symbol" w:hint="default"/>
      </w:rPr>
    </w:lvl>
    <w:lvl w:ilvl="7" w:tplc="04070003">
      <w:start w:val="1"/>
      <w:numFmt w:val="bullet"/>
      <w:suff w:val="tab"/>
      <w:lvlText w:val="o"/>
      <w:lvlJc w:val="left"/>
      <w:pPr>
        <w:ind w:hanging="360" w:left="5760"/>
      </w:pPr>
      <w:rPr>
        <w:rFonts w:ascii="Courier New" w:hAnsi="Courier New" w:cs="Courier New" w:hint="default"/>
      </w:rPr>
    </w:lvl>
    <w:lvl w:ilvl="8" w:tplc="04070005">
      <w:start w:val="1"/>
      <w:numFmt w:val="bullet"/>
      <w:suff w:val="tab"/>
      <w:lvlText w:val=""/>
      <w:lvlJc w:val="left"/>
      <w:pPr>
        <w:ind w:hanging="360" w:left="6480"/>
      </w:pPr>
      <w:rPr>
        <w:rFonts w:ascii="Wingdings" w:hAnsi="Wingdings" w:hint="default"/>
      </w:rPr>
    </w:lvl>
  </w:abstractNum>
  <w:abstractNum w:abstractNumId="46">
    <w:nsid w:val="486CF1F1"/>
    <w:multiLevelType w:val="hybridMultilevel"/>
    <w:lvl w:ilvl="0" w:tplc="77D06192">
      <w:start w:val="1"/>
      <w:numFmt w:val="bullet"/>
      <w:suff w:val="tab"/>
      <w:lvlText w:val="·"/>
      <w:lvlJc w:val="left"/>
      <w:pPr>
        <w:ind w:hanging="360" w:left="720"/>
      </w:pPr>
      <w:rPr>
        <w:rFonts w:ascii="Symbol" w:hAnsi="Symbol" w:cs="Symbol" w:eastAsia="Symbol"/>
        <w:color w:val="auto"/>
      </w:rPr>
    </w:lvl>
    <w:lvl w:ilvl="1" w:tplc="5B6151F9">
      <w:start w:val="1"/>
      <w:numFmt w:val="bullet"/>
      <w:suff w:val="tab"/>
      <w:lvlText w:val="o"/>
      <w:lvlJc w:val="left"/>
      <w:pPr>
        <w:ind w:hanging="360" w:left="1440"/>
      </w:pPr>
      <w:rPr>
        <w:rFonts w:ascii="Symbol" w:hAnsi="Symbol"/>
      </w:rPr>
    </w:lvl>
    <w:lvl w:ilvl="2" w:tplc="19D3B1B7">
      <w:start w:val="1"/>
      <w:numFmt w:val="bullet"/>
      <w:suff w:val="tab"/>
      <w:lvlText w:val="·"/>
      <w:lvlJc w:val="left"/>
      <w:pPr>
        <w:ind w:hanging="360" w:left="2160"/>
      </w:pPr>
      <w:rPr>
        <w:rFonts w:ascii="Symbol" w:hAnsi="Symbol"/>
      </w:rPr>
    </w:lvl>
    <w:lvl w:ilvl="3" w:tplc="188B1F9E">
      <w:start w:val="1"/>
      <w:numFmt w:val="bullet"/>
      <w:suff w:val="tab"/>
      <w:lvlText w:val="o"/>
      <w:lvlJc w:val="left"/>
      <w:pPr>
        <w:ind w:hanging="360" w:left="2880"/>
      </w:pPr>
      <w:rPr>
        <w:rFonts w:ascii="Symbol" w:hAnsi="Symbol"/>
      </w:rPr>
    </w:lvl>
    <w:lvl w:ilvl="4" w:tplc="2BC9E815">
      <w:start w:val="1"/>
      <w:numFmt w:val="bullet"/>
      <w:suff w:val="tab"/>
      <w:lvlText w:val="·"/>
      <w:lvlJc w:val="left"/>
      <w:pPr>
        <w:ind w:hanging="360" w:left="3600"/>
      </w:pPr>
      <w:rPr>
        <w:rFonts w:ascii="Symbol" w:hAnsi="Symbol"/>
      </w:rPr>
    </w:lvl>
    <w:lvl w:ilvl="5" w:tplc="63B9DDE2">
      <w:start w:val="1"/>
      <w:numFmt w:val="bullet"/>
      <w:suff w:val="tab"/>
      <w:lvlText w:val="o"/>
      <w:lvlJc w:val="left"/>
      <w:pPr>
        <w:ind w:hanging="360" w:left="4320"/>
      </w:pPr>
      <w:rPr>
        <w:rFonts w:ascii="Symbol" w:hAnsi="Symbol"/>
      </w:rPr>
    </w:lvl>
    <w:lvl w:ilvl="6" w:tplc="093CFF08">
      <w:start w:val="1"/>
      <w:numFmt w:val="bullet"/>
      <w:suff w:val="tab"/>
      <w:lvlText w:val="·"/>
      <w:lvlJc w:val="left"/>
      <w:pPr>
        <w:ind w:hanging="360" w:left="5040"/>
      </w:pPr>
      <w:rPr>
        <w:rFonts w:ascii="Symbol" w:hAnsi="Symbol"/>
      </w:rPr>
    </w:lvl>
    <w:lvl w:ilvl="7" w:tplc="64E2455A">
      <w:start w:val="1"/>
      <w:numFmt w:val="bullet"/>
      <w:suff w:val="tab"/>
      <w:lvlText w:val="o"/>
      <w:lvlJc w:val="left"/>
      <w:pPr>
        <w:ind w:hanging="360" w:left="5760"/>
      </w:pPr>
      <w:rPr>
        <w:rFonts w:ascii="Symbol" w:hAnsi="Symbol"/>
      </w:rPr>
    </w:lvl>
    <w:lvl w:ilvl="8" w:tplc="14FDBBD4">
      <w:start w:val="1"/>
      <w:numFmt w:val="bullet"/>
      <w:suff w:val="tab"/>
      <w:lvlText w:val="·"/>
      <w:lvlJc w:val="left"/>
      <w:pPr>
        <w:ind w:hanging="360" w:left="6480"/>
      </w:pPr>
      <w:rPr>
        <w:rFonts w:ascii="Symbol" w:hAnsi="Symbol"/>
      </w:rPr>
    </w:lvl>
  </w:abstractNum>
  <w:abstractNum w:abstractNumId="47">
    <w:nsid w:val="261FC130"/>
    <w:multiLevelType w:val="hybridMultilevel"/>
    <w:lvl w:ilvl="0" w:tplc="75B9AA40">
      <w:start w:val="1"/>
      <w:numFmt w:val="decimal"/>
      <w:suff w:val="tab"/>
      <w:lvlText w:val="%1."/>
      <w:lvlJc w:val="left"/>
      <w:pPr>
        <w:ind w:hanging="360" w:left="720"/>
      </w:pPr>
      <w:rPr>
        <w:color w:val="auto"/>
      </w:rPr>
    </w:lvl>
    <w:lvl w:ilvl="1" w:tplc="7B1667B4">
      <w:start w:val="1"/>
      <w:numFmt w:val="decimal"/>
      <w:suff w:val="tab"/>
      <w:lvlText w:val="%2."/>
      <w:lvlJc w:val="left"/>
      <w:pPr>
        <w:ind w:hanging="360" w:left="1440"/>
      </w:pPr>
      <w:rPr/>
    </w:lvl>
    <w:lvl w:ilvl="2" w:tplc="69880029">
      <w:start w:val="1"/>
      <w:numFmt w:val="decimal"/>
      <w:suff w:val="tab"/>
      <w:lvlText w:val="%3."/>
      <w:lvlJc w:val="left"/>
      <w:pPr>
        <w:ind w:hanging="360" w:left="2160"/>
      </w:pPr>
      <w:rPr/>
    </w:lvl>
    <w:lvl w:ilvl="3" w:tplc="4484D67A">
      <w:start w:val="1"/>
      <w:numFmt w:val="decimal"/>
      <w:suff w:val="tab"/>
      <w:lvlText w:val="%4."/>
      <w:lvlJc w:val="left"/>
      <w:pPr>
        <w:ind w:hanging="360" w:left="2880"/>
      </w:pPr>
      <w:rPr/>
    </w:lvl>
    <w:lvl w:ilvl="4" w:tplc="6A8D3639">
      <w:start w:val="1"/>
      <w:numFmt w:val="decimal"/>
      <w:suff w:val="tab"/>
      <w:lvlText w:val="%5."/>
      <w:lvlJc w:val="left"/>
      <w:pPr>
        <w:ind w:hanging="360" w:left="3600"/>
      </w:pPr>
      <w:rPr/>
    </w:lvl>
    <w:lvl w:ilvl="5" w:tplc="760F911D">
      <w:start w:val="1"/>
      <w:numFmt w:val="decimal"/>
      <w:suff w:val="tab"/>
      <w:lvlText w:val="%6."/>
      <w:lvlJc w:val="left"/>
      <w:pPr>
        <w:ind w:hanging="360" w:left="4320"/>
      </w:pPr>
      <w:rPr/>
    </w:lvl>
    <w:lvl w:ilvl="6" w:tplc="22EA50CF">
      <w:start w:val="1"/>
      <w:numFmt w:val="decimal"/>
      <w:suff w:val="tab"/>
      <w:lvlText w:val="%7."/>
      <w:lvlJc w:val="left"/>
      <w:pPr>
        <w:ind w:hanging="360" w:left="5040"/>
      </w:pPr>
      <w:rPr/>
    </w:lvl>
    <w:lvl w:ilvl="7" w:tplc="077BF7EC">
      <w:start w:val="1"/>
      <w:numFmt w:val="decimal"/>
      <w:suff w:val="tab"/>
      <w:lvlText w:val="%8."/>
      <w:lvlJc w:val="left"/>
      <w:pPr>
        <w:ind w:hanging="360" w:left="5760"/>
      </w:pPr>
      <w:rPr/>
    </w:lvl>
    <w:lvl w:ilvl="8" w:tplc="1C2FDF3F">
      <w:start w:val="1"/>
      <w:numFmt w:val="decimal"/>
      <w:suff w:val="tab"/>
      <w:lvlText w:val="%9."/>
      <w:lvlJc w:val="left"/>
      <w:pPr>
        <w:ind w:hanging="360" w:left="6480"/>
      </w:pPr>
      <w:rPr/>
    </w:lvl>
  </w:abstractNum>
  <w:abstractNum w:abstractNumId="48">
    <w:nsid w:val="3765EFB6"/>
    <w:multiLevelType w:val="hybridMultilevel"/>
    <w:lvl w:ilvl="0" w:tplc="2C4D81E3">
      <w:start w:val="1"/>
      <w:numFmt w:val="bullet"/>
      <w:suff w:val="tab"/>
      <w:lvlText w:val="·"/>
      <w:lvlJc w:val="left"/>
      <w:pPr>
        <w:ind w:hanging="360" w:left="720"/>
      </w:pPr>
      <w:rPr>
        <w:rFonts w:ascii="Symbol" w:hAnsi="Symbol" w:cs="Symbol" w:eastAsia="Symbol"/>
        <w:color w:val="auto"/>
      </w:rPr>
    </w:lvl>
    <w:lvl w:ilvl="1" w:tplc="42C65064">
      <w:start w:val="1"/>
      <w:numFmt w:val="bullet"/>
      <w:suff w:val="tab"/>
      <w:lvlText w:val="o"/>
      <w:lvlJc w:val="left"/>
      <w:pPr>
        <w:ind w:hanging="360" w:left="1440"/>
      </w:pPr>
      <w:rPr>
        <w:rFonts w:ascii="Symbol" w:hAnsi="Symbol"/>
      </w:rPr>
    </w:lvl>
    <w:lvl w:ilvl="2" w:tplc="627C8EB2">
      <w:start w:val="1"/>
      <w:numFmt w:val="bullet"/>
      <w:suff w:val="tab"/>
      <w:lvlText w:val="·"/>
      <w:lvlJc w:val="left"/>
      <w:pPr>
        <w:ind w:hanging="360" w:left="2160"/>
      </w:pPr>
      <w:rPr>
        <w:rFonts w:ascii="Symbol" w:hAnsi="Symbol"/>
      </w:rPr>
    </w:lvl>
    <w:lvl w:ilvl="3" w:tplc="4498916E">
      <w:start w:val="1"/>
      <w:numFmt w:val="bullet"/>
      <w:suff w:val="tab"/>
      <w:lvlText w:val="o"/>
      <w:lvlJc w:val="left"/>
      <w:pPr>
        <w:ind w:hanging="360" w:left="2880"/>
      </w:pPr>
      <w:rPr>
        <w:rFonts w:ascii="Symbol" w:hAnsi="Symbol"/>
      </w:rPr>
    </w:lvl>
    <w:lvl w:ilvl="4" w:tplc="31CA887B">
      <w:start w:val="1"/>
      <w:numFmt w:val="bullet"/>
      <w:suff w:val="tab"/>
      <w:lvlText w:val="·"/>
      <w:lvlJc w:val="left"/>
      <w:pPr>
        <w:ind w:hanging="360" w:left="3600"/>
      </w:pPr>
      <w:rPr>
        <w:rFonts w:ascii="Symbol" w:hAnsi="Symbol"/>
      </w:rPr>
    </w:lvl>
    <w:lvl w:ilvl="5" w:tplc="66D251AF">
      <w:start w:val="1"/>
      <w:numFmt w:val="bullet"/>
      <w:suff w:val="tab"/>
      <w:lvlText w:val="o"/>
      <w:lvlJc w:val="left"/>
      <w:pPr>
        <w:ind w:hanging="360" w:left="4320"/>
      </w:pPr>
      <w:rPr>
        <w:rFonts w:ascii="Symbol" w:hAnsi="Symbol"/>
      </w:rPr>
    </w:lvl>
    <w:lvl w:ilvl="6" w:tplc="171A4337">
      <w:start w:val="1"/>
      <w:numFmt w:val="bullet"/>
      <w:suff w:val="tab"/>
      <w:lvlText w:val="·"/>
      <w:lvlJc w:val="left"/>
      <w:pPr>
        <w:ind w:hanging="360" w:left="5040"/>
      </w:pPr>
      <w:rPr>
        <w:rFonts w:ascii="Symbol" w:hAnsi="Symbol"/>
      </w:rPr>
    </w:lvl>
    <w:lvl w:ilvl="7" w:tplc="6CCE106E">
      <w:start w:val="1"/>
      <w:numFmt w:val="bullet"/>
      <w:suff w:val="tab"/>
      <w:lvlText w:val="o"/>
      <w:lvlJc w:val="left"/>
      <w:pPr>
        <w:ind w:hanging="360" w:left="5760"/>
      </w:pPr>
      <w:rPr>
        <w:rFonts w:ascii="Symbol" w:hAnsi="Symbol"/>
      </w:rPr>
    </w:lvl>
    <w:lvl w:ilvl="8" w:tplc="4B67D9B6">
      <w:start w:val="1"/>
      <w:numFmt w:val="bullet"/>
      <w:suff w:val="tab"/>
      <w:lvlText w:val="·"/>
      <w:lvlJc w:val="left"/>
      <w:pPr>
        <w:ind w:hanging="360" w:left="6480"/>
      </w:pPr>
      <w:rPr>
        <w:rFonts w:ascii="Symbol" w:hAnsi="Symbol"/>
      </w:rPr>
    </w:lvl>
  </w:abstractNum>
  <w:abstractNum w:abstractNumId="49">
    <w:nsid w:val="51BED31B"/>
    <w:multiLevelType w:val="hybridMultilevel"/>
    <w:lvl w:ilvl="0" w:tplc="08731EBB">
      <w:start w:val="1"/>
      <w:numFmt w:val="bullet"/>
      <w:suff w:val="tab"/>
      <w:lvlText w:val="·"/>
      <w:lvlJc w:val="left"/>
      <w:pPr>
        <w:ind w:hanging="360" w:left="720"/>
      </w:pPr>
      <w:rPr>
        <w:rFonts w:ascii="Symbol" w:hAnsi="Symbol" w:cs="Symbol" w:eastAsia="Symbol"/>
        <w:color w:val="auto"/>
      </w:rPr>
    </w:lvl>
    <w:lvl w:ilvl="1" w:tplc="22F3702D">
      <w:start w:val="1"/>
      <w:numFmt w:val="bullet"/>
      <w:suff w:val="tab"/>
      <w:lvlText w:val="o"/>
      <w:lvlJc w:val="left"/>
      <w:pPr>
        <w:ind w:hanging="360" w:left="1440"/>
      </w:pPr>
      <w:rPr>
        <w:rFonts w:ascii="Symbol" w:hAnsi="Symbol"/>
      </w:rPr>
    </w:lvl>
    <w:lvl w:ilvl="2" w:tplc="6B04B44E">
      <w:start w:val="1"/>
      <w:numFmt w:val="bullet"/>
      <w:suff w:val="tab"/>
      <w:lvlText w:val="·"/>
      <w:lvlJc w:val="left"/>
      <w:pPr>
        <w:ind w:hanging="360" w:left="2160"/>
      </w:pPr>
      <w:rPr>
        <w:rFonts w:ascii="Symbol" w:hAnsi="Symbol"/>
      </w:rPr>
    </w:lvl>
    <w:lvl w:ilvl="3" w:tplc="5A143DBB">
      <w:start w:val="1"/>
      <w:numFmt w:val="bullet"/>
      <w:suff w:val="tab"/>
      <w:lvlText w:val="o"/>
      <w:lvlJc w:val="left"/>
      <w:pPr>
        <w:ind w:hanging="360" w:left="2880"/>
      </w:pPr>
      <w:rPr>
        <w:rFonts w:ascii="Symbol" w:hAnsi="Symbol"/>
      </w:rPr>
    </w:lvl>
    <w:lvl w:ilvl="4" w:tplc="7DE13D1F">
      <w:start w:val="1"/>
      <w:numFmt w:val="bullet"/>
      <w:suff w:val="tab"/>
      <w:lvlText w:val="·"/>
      <w:lvlJc w:val="left"/>
      <w:pPr>
        <w:ind w:hanging="360" w:left="3600"/>
      </w:pPr>
      <w:rPr>
        <w:rFonts w:ascii="Symbol" w:hAnsi="Symbol"/>
      </w:rPr>
    </w:lvl>
    <w:lvl w:ilvl="5" w:tplc="5CEBEAA2">
      <w:start w:val="1"/>
      <w:numFmt w:val="bullet"/>
      <w:suff w:val="tab"/>
      <w:lvlText w:val="o"/>
      <w:lvlJc w:val="left"/>
      <w:pPr>
        <w:ind w:hanging="360" w:left="4320"/>
      </w:pPr>
      <w:rPr>
        <w:rFonts w:ascii="Symbol" w:hAnsi="Symbol"/>
      </w:rPr>
    </w:lvl>
    <w:lvl w:ilvl="6" w:tplc="1734F390">
      <w:start w:val="1"/>
      <w:numFmt w:val="bullet"/>
      <w:suff w:val="tab"/>
      <w:lvlText w:val="·"/>
      <w:lvlJc w:val="left"/>
      <w:pPr>
        <w:ind w:hanging="360" w:left="5040"/>
      </w:pPr>
      <w:rPr>
        <w:rFonts w:ascii="Symbol" w:hAnsi="Symbol"/>
      </w:rPr>
    </w:lvl>
    <w:lvl w:ilvl="7" w:tplc="50D0C268">
      <w:start w:val="1"/>
      <w:numFmt w:val="bullet"/>
      <w:suff w:val="tab"/>
      <w:lvlText w:val="o"/>
      <w:lvlJc w:val="left"/>
      <w:pPr>
        <w:ind w:hanging="360" w:left="5760"/>
      </w:pPr>
      <w:rPr>
        <w:rFonts w:ascii="Symbol" w:hAnsi="Symbol"/>
      </w:rPr>
    </w:lvl>
    <w:lvl w:ilvl="8" w:tplc="3BAD44FD">
      <w:start w:val="1"/>
      <w:numFmt w:val="bullet"/>
      <w:suff w:val="tab"/>
      <w:lvlText w:val="·"/>
      <w:lvlJc w:val="left"/>
      <w:pPr>
        <w:ind w:hanging="360" w:left="6480"/>
      </w:pPr>
      <w:rPr>
        <w:rFonts w:ascii="Symbol" w:hAnsi="Symbol"/>
      </w:rPr>
    </w:lvl>
  </w:abstractNum>
  <w:abstractNum w:abstractNumId="50">
    <w:nsid w:val="04487FD7"/>
    <w:multiLevelType w:val="hybridMultilevel"/>
    <w:lvl w:ilvl="0" w:tplc="68201EC7">
      <w:start w:val="1"/>
      <w:numFmt w:val="bullet"/>
      <w:suff w:val="tab"/>
      <w:lvlText w:val="·"/>
      <w:lvlJc w:val="left"/>
      <w:pPr>
        <w:ind w:hanging="360" w:left="720"/>
      </w:pPr>
      <w:rPr>
        <w:rFonts w:ascii="Symbol" w:hAnsi="Symbol" w:cs="Symbol" w:eastAsia="Symbol"/>
        <w:color w:val="auto"/>
      </w:rPr>
    </w:lvl>
    <w:lvl w:ilvl="1" w:tplc="4C33EC76">
      <w:start w:val="1"/>
      <w:numFmt w:val="bullet"/>
      <w:suff w:val="tab"/>
      <w:lvlText w:val="o"/>
      <w:lvlJc w:val="left"/>
      <w:pPr>
        <w:ind w:hanging="360" w:left="1440"/>
      </w:pPr>
      <w:rPr>
        <w:rFonts w:ascii="Symbol" w:hAnsi="Symbol"/>
      </w:rPr>
    </w:lvl>
    <w:lvl w:ilvl="2" w:tplc="2CD9BBB6">
      <w:start w:val="1"/>
      <w:numFmt w:val="bullet"/>
      <w:suff w:val="tab"/>
      <w:lvlText w:val="·"/>
      <w:lvlJc w:val="left"/>
      <w:pPr>
        <w:ind w:hanging="360" w:left="2160"/>
      </w:pPr>
      <w:rPr>
        <w:rFonts w:ascii="Symbol" w:hAnsi="Symbol"/>
      </w:rPr>
    </w:lvl>
    <w:lvl w:ilvl="3" w:tplc="471CAA73">
      <w:start w:val="1"/>
      <w:numFmt w:val="bullet"/>
      <w:suff w:val="tab"/>
      <w:lvlText w:val="o"/>
      <w:lvlJc w:val="left"/>
      <w:pPr>
        <w:ind w:hanging="360" w:left="2880"/>
      </w:pPr>
      <w:rPr>
        <w:rFonts w:ascii="Symbol" w:hAnsi="Symbol"/>
      </w:rPr>
    </w:lvl>
    <w:lvl w:ilvl="4" w:tplc="2532B61E">
      <w:start w:val="1"/>
      <w:numFmt w:val="bullet"/>
      <w:suff w:val="tab"/>
      <w:lvlText w:val="·"/>
      <w:lvlJc w:val="left"/>
      <w:pPr>
        <w:ind w:hanging="360" w:left="3600"/>
      </w:pPr>
      <w:rPr>
        <w:rFonts w:ascii="Symbol" w:hAnsi="Symbol"/>
      </w:rPr>
    </w:lvl>
    <w:lvl w:ilvl="5" w:tplc="494670E8">
      <w:start w:val="1"/>
      <w:numFmt w:val="bullet"/>
      <w:suff w:val="tab"/>
      <w:lvlText w:val="o"/>
      <w:lvlJc w:val="left"/>
      <w:pPr>
        <w:ind w:hanging="360" w:left="4320"/>
      </w:pPr>
      <w:rPr>
        <w:rFonts w:ascii="Symbol" w:hAnsi="Symbol"/>
      </w:rPr>
    </w:lvl>
    <w:lvl w:ilvl="6" w:tplc="13D0126A">
      <w:start w:val="1"/>
      <w:numFmt w:val="bullet"/>
      <w:suff w:val="tab"/>
      <w:lvlText w:val="·"/>
      <w:lvlJc w:val="left"/>
      <w:pPr>
        <w:ind w:hanging="360" w:left="5040"/>
      </w:pPr>
      <w:rPr>
        <w:rFonts w:ascii="Symbol" w:hAnsi="Symbol"/>
      </w:rPr>
    </w:lvl>
    <w:lvl w:ilvl="7" w:tplc="51F4F8F4">
      <w:start w:val="1"/>
      <w:numFmt w:val="bullet"/>
      <w:suff w:val="tab"/>
      <w:lvlText w:val="o"/>
      <w:lvlJc w:val="left"/>
      <w:pPr>
        <w:ind w:hanging="360" w:left="5760"/>
      </w:pPr>
      <w:rPr>
        <w:rFonts w:ascii="Symbol" w:hAnsi="Symbol"/>
      </w:rPr>
    </w:lvl>
    <w:lvl w:ilvl="8" w:tplc="78BDB63C">
      <w:start w:val="1"/>
      <w:numFmt w:val="bullet"/>
      <w:suff w:val="tab"/>
      <w:lvlText w:val="·"/>
      <w:lvlJc w:val="left"/>
      <w:pPr>
        <w:ind w:hanging="360" w:left="6480"/>
      </w:pPr>
      <w:rPr>
        <w:rFonts w:ascii="Symbol" w:hAnsi="Symbol"/>
      </w:rPr>
    </w:lvl>
  </w:abstractNum>
  <w:abstractNum w:abstractNumId="51">
    <w:nsid w:val="53FDE288"/>
    <w:multiLevelType w:val="hybridMultilevel"/>
    <w:lvl w:ilvl="0" w:tplc="2C4058B9">
      <w:start w:val="1"/>
      <w:numFmt w:val="bullet"/>
      <w:suff w:val="tab"/>
      <w:lvlText w:val="·"/>
      <w:lvlJc w:val="left"/>
      <w:pPr>
        <w:ind w:hanging="360" w:left="720"/>
      </w:pPr>
      <w:rPr>
        <w:rFonts w:ascii="Symbol" w:hAnsi="Symbol" w:cs="Symbol" w:eastAsia="Symbol"/>
        <w:color w:val="auto"/>
      </w:rPr>
    </w:lvl>
    <w:lvl w:ilvl="1" w:tplc="7FB67614">
      <w:start w:val="1"/>
      <w:numFmt w:val="bullet"/>
      <w:suff w:val="tab"/>
      <w:lvlText w:val="o"/>
      <w:lvlJc w:val="left"/>
      <w:pPr>
        <w:ind w:hanging="360" w:left="1440"/>
      </w:pPr>
      <w:rPr>
        <w:rFonts w:ascii="Symbol" w:hAnsi="Symbol"/>
      </w:rPr>
    </w:lvl>
    <w:lvl w:ilvl="2" w:tplc="0C744E5C">
      <w:start w:val="1"/>
      <w:numFmt w:val="bullet"/>
      <w:suff w:val="tab"/>
      <w:lvlText w:val="·"/>
      <w:lvlJc w:val="left"/>
      <w:pPr>
        <w:ind w:hanging="360" w:left="2160"/>
      </w:pPr>
      <w:rPr>
        <w:rFonts w:ascii="Symbol" w:hAnsi="Symbol"/>
      </w:rPr>
    </w:lvl>
    <w:lvl w:ilvl="3" w:tplc="6B35DE8E">
      <w:start w:val="1"/>
      <w:numFmt w:val="bullet"/>
      <w:suff w:val="tab"/>
      <w:lvlText w:val="o"/>
      <w:lvlJc w:val="left"/>
      <w:pPr>
        <w:ind w:hanging="360" w:left="2880"/>
      </w:pPr>
      <w:rPr>
        <w:rFonts w:ascii="Symbol" w:hAnsi="Symbol"/>
      </w:rPr>
    </w:lvl>
    <w:lvl w:ilvl="4" w:tplc="3C2DC69E">
      <w:start w:val="1"/>
      <w:numFmt w:val="bullet"/>
      <w:suff w:val="tab"/>
      <w:lvlText w:val="·"/>
      <w:lvlJc w:val="left"/>
      <w:pPr>
        <w:ind w:hanging="360" w:left="3600"/>
      </w:pPr>
      <w:rPr>
        <w:rFonts w:ascii="Symbol" w:hAnsi="Symbol"/>
      </w:rPr>
    </w:lvl>
    <w:lvl w:ilvl="5" w:tplc="5B05D7DB">
      <w:start w:val="1"/>
      <w:numFmt w:val="bullet"/>
      <w:suff w:val="tab"/>
      <w:lvlText w:val="o"/>
      <w:lvlJc w:val="left"/>
      <w:pPr>
        <w:ind w:hanging="360" w:left="4320"/>
      </w:pPr>
      <w:rPr>
        <w:rFonts w:ascii="Symbol" w:hAnsi="Symbol"/>
      </w:rPr>
    </w:lvl>
    <w:lvl w:ilvl="6" w:tplc="6BF904B5">
      <w:start w:val="1"/>
      <w:numFmt w:val="bullet"/>
      <w:suff w:val="tab"/>
      <w:lvlText w:val="·"/>
      <w:lvlJc w:val="left"/>
      <w:pPr>
        <w:ind w:hanging="360" w:left="5040"/>
      </w:pPr>
      <w:rPr>
        <w:rFonts w:ascii="Symbol" w:hAnsi="Symbol"/>
      </w:rPr>
    </w:lvl>
    <w:lvl w:ilvl="7" w:tplc="1AAB32F8">
      <w:start w:val="1"/>
      <w:numFmt w:val="bullet"/>
      <w:suff w:val="tab"/>
      <w:lvlText w:val="o"/>
      <w:lvlJc w:val="left"/>
      <w:pPr>
        <w:ind w:hanging="360" w:left="5760"/>
      </w:pPr>
      <w:rPr>
        <w:rFonts w:ascii="Symbol" w:hAnsi="Symbol"/>
      </w:rPr>
    </w:lvl>
    <w:lvl w:ilvl="8" w:tplc="6AA025D9">
      <w:start w:val="1"/>
      <w:numFmt w:val="bullet"/>
      <w:suff w:val="tab"/>
      <w:lvlText w:val="·"/>
      <w:lvlJc w:val="left"/>
      <w:pPr>
        <w:ind w:hanging="360" w:left="6480"/>
      </w:pPr>
      <w:rPr>
        <w:rFonts w:ascii="Symbol" w:hAnsi="Symbol"/>
      </w:rPr>
    </w:lvl>
  </w:abstractNum>
  <w:abstractNum w:abstractNumId="52">
    <w:nsid w:val="6387E31D"/>
    <w:multiLevelType w:val="hybridMultilevel"/>
    <w:lvl w:ilvl="0" w:tplc="638F9027">
      <w:start w:val="1"/>
      <w:numFmt w:val="bullet"/>
      <w:suff w:val="tab"/>
      <w:lvlText w:val="·"/>
      <w:lvlJc w:val="left"/>
      <w:pPr>
        <w:ind w:hanging="360" w:left="720"/>
      </w:pPr>
      <w:rPr>
        <w:rFonts w:ascii="Symbol" w:hAnsi="Symbol" w:cs="Symbol" w:eastAsia="Symbol"/>
        <w:color w:val="auto"/>
      </w:rPr>
    </w:lvl>
    <w:lvl w:ilvl="1" w:tplc="1E5722B0">
      <w:start w:val="1"/>
      <w:numFmt w:val="bullet"/>
      <w:suff w:val="tab"/>
      <w:lvlText w:val="o"/>
      <w:lvlJc w:val="left"/>
      <w:pPr>
        <w:ind w:hanging="360" w:left="1440"/>
      </w:pPr>
      <w:rPr>
        <w:rFonts w:ascii="Symbol" w:hAnsi="Symbol"/>
      </w:rPr>
    </w:lvl>
    <w:lvl w:ilvl="2" w:tplc="24DF9AD5">
      <w:start w:val="1"/>
      <w:numFmt w:val="bullet"/>
      <w:suff w:val="tab"/>
      <w:lvlText w:val="·"/>
      <w:lvlJc w:val="left"/>
      <w:pPr>
        <w:ind w:hanging="360" w:left="2160"/>
      </w:pPr>
      <w:rPr>
        <w:rFonts w:ascii="Symbol" w:hAnsi="Symbol"/>
      </w:rPr>
    </w:lvl>
    <w:lvl w:ilvl="3" w:tplc="70380589">
      <w:start w:val="1"/>
      <w:numFmt w:val="bullet"/>
      <w:suff w:val="tab"/>
      <w:lvlText w:val="o"/>
      <w:lvlJc w:val="left"/>
      <w:pPr>
        <w:ind w:hanging="360" w:left="2880"/>
      </w:pPr>
      <w:rPr>
        <w:rFonts w:ascii="Symbol" w:hAnsi="Symbol"/>
      </w:rPr>
    </w:lvl>
    <w:lvl w:ilvl="4" w:tplc="51633655">
      <w:start w:val="1"/>
      <w:numFmt w:val="bullet"/>
      <w:suff w:val="tab"/>
      <w:lvlText w:val="·"/>
      <w:lvlJc w:val="left"/>
      <w:pPr>
        <w:ind w:hanging="360" w:left="3600"/>
      </w:pPr>
      <w:rPr>
        <w:rFonts w:ascii="Symbol" w:hAnsi="Symbol"/>
      </w:rPr>
    </w:lvl>
    <w:lvl w:ilvl="5" w:tplc="28D0184A">
      <w:start w:val="1"/>
      <w:numFmt w:val="bullet"/>
      <w:suff w:val="tab"/>
      <w:lvlText w:val="o"/>
      <w:lvlJc w:val="left"/>
      <w:pPr>
        <w:ind w:hanging="360" w:left="4320"/>
      </w:pPr>
      <w:rPr>
        <w:rFonts w:ascii="Symbol" w:hAnsi="Symbol"/>
      </w:rPr>
    </w:lvl>
    <w:lvl w:ilvl="6" w:tplc="1F9D6883">
      <w:start w:val="1"/>
      <w:numFmt w:val="bullet"/>
      <w:suff w:val="tab"/>
      <w:lvlText w:val="·"/>
      <w:lvlJc w:val="left"/>
      <w:pPr>
        <w:ind w:hanging="360" w:left="5040"/>
      </w:pPr>
      <w:rPr>
        <w:rFonts w:ascii="Symbol" w:hAnsi="Symbol"/>
      </w:rPr>
    </w:lvl>
    <w:lvl w:ilvl="7" w:tplc="200BCFB5">
      <w:start w:val="1"/>
      <w:numFmt w:val="bullet"/>
      <w:suff w:val="tab"/>
      <w:lvlText w:val="o"/>
      <w:lvlJc w:val="left"/>
      <w:pPr>
        <w:ind w:hanging="360" w:left="5760"/>
      </w:pPr>
      <w:rPr>
        <w:rFonts w:ascii="Symbol" w:hAnsi="Symbol"/>
      </w:rPr>
    </w:lvl>
    <w:lvl w:ilvl="8" w:tplc="6180C071">
      <w:start w:val="1"/>
      <w:numFmt w:val="bullet"/>
      <w:suff w:val="tab"/>
      <w:lvlText w:val="·"/>
      <w:lvlJc w:val="left"/>
      <w:pPr>
        <w:ind w:hanging="360" w:left="6480"/>
      </w:pPr>
      <w:rPr>
        <w:rFonts w:ascii="Symbol" w:hAnsi="Symbol"/>
      </w:rPr>
    </w:lvl>
  </w:abstractNum>
  <w:abstractNum w:abstractNumId="53">
    <w:nsid w:val="52839F38"/>
    <w:multiLevelType w:val="hybridMultilevel"/>
    <w:lvl w:ilvl="0" w:tplc="0571298C">
      <w:start w:val="1"/>
      <w:numFmt w:val="bullet"/>
      <w:suff w:val="tab"/>
      <w:lvlText w:val="·"/>
      <w:lvlJc w:val="left"/>
      <w:pPr>
        <w:ind w:hanging="360" w:left="720"/>
      </w:pPr>
      <w:rPr>
        <w:rFonts w:ascii="Symbol" w:hAnsi="Symbol" w:cs="Symbol" w:eastAsia="Symbol"/>
        <w:color w:val="auto"/>
      </w:rPr>
    </w:lvl>
    <w:lvl w:ilvl="1" w:tplc="11505434">
      <w:start w:val="1"/>
      <w:numFmt w:val="bullet"/>
      <w:suff w:val="tab"/>
      <w:lvlText w:val="o"/>
      <w:lvlJc w:val="left"/>
      <w:pPr>
        <w:ind w:hanging="360" w:left="1440"/>
      </w:pPr>
      <w:rPr>
        <w:rFonts w:ascii="Symbol" w:hAnsi="Symbol"/>
      </w:rPr>
    </w:lvl>
    <w:lvl w:ilvl="2" w:tplc="3185FF3B">
      <w:start w:val="1"/>
      <w:numFmt w:val="bullet"/>
      <w:suff w:val="tab"/>
      <w:lvlText w:val="·"/>
      <w:lvlJc w:val="left"/>
      <w:pPr>
        <w:ind w:hanging="360" w:left="2160"/>
      </w:pPr>
      <w:rPr>
        <w:rFonts w:ascii="Symbol" w:hAnsi="Symbol"/>
      </w:rPr>
    </w:lvl>
    <w:lvl w:ilvl="3" w:tplc="49B31E67">
      <w:start w:val="1"/>
      <w:numFmt w:val="bullet"/>
      <w:suff w:val="tab"/>
      <w:lvlText w:val="o"/>
      <w:lvlJc w:val="left"/>
      <w:pPr>
        <w:ind w:hanging="360" w:left="2880"/>
      </w:pPr>
      <w:rPr>
        <w:rFonts w:ascii="Symbol" w:hAnsi="Symbol"/>
      </w:rPr>
    </w:lvl>
    <w:lvl w:ilvl="4" w:tplc="597E02F4">
      <w:start w:val="1"/>
      <w:numFmt w:val="bullet"/>
      <w:suff w:val="tab"/>
      <w:lvlText w:val="·"/>
      <w:lvlJc w:val="left"/>
      <w:pPr>
        <w:ind w:hanging="360" w:left="3600"/>
      </w:pPr>
      <w:rPr>
        <w:rFonts w:ascii="Symbol" w:hAnsi="Symbol"/>
      </w:rPr>
    </w:lvl>
    <w:lvl w:ilvl="5" w:tplc="266AB991">
      <w:start w:val="1"/>
      <w:numFmt w:val="bullet"/>
      <w:suff w:val="tab"/>
      <w:lvlText w:val="o"/>
      <w:lvlJc w:val="left"/>
      <w:pPr>
        <w:ind w:hanging="360" w:left="4320"/>
      </w:pPr>
      <w:rPr>
        <w:rFonts w:ascii="Symbol" w:hAnsi="Symbol"/>
      </w:rPr>
    </w:lvl>
    <w:lvl w:ilvl="6" w:tplc="2EB5CF2D">
      <w:start w:val="1"/>
      <w:numFmt w:val="bullet"/>
      <w:suff w:val="tab"/>
      <w:lvlText w:val="·"/>
      <w:lvlJc w:val="left"/>
      <w:pPr>
        <w:ind w:hanging="360" w:left="5040"/>
      </w:pPr>
      <w:rPr>
        <w:rFonts w:ascii="Symbol" w:hAnsi="Symbol"/>
      </w:rPr>
    </w:lvl>
    <w:lvl w:ilvl="7" w:tplc="7E6EFC65">
      <w:start w:val="1"/>
      <w:numFmt w:val="bullet"/>
      <w:suff w:val="tab"/>
      <w:lvlText w:val="o"/>
      <w:lvlJc w:val="left"/>
      <w:pPr>
        <w:ind w:hanging="360" w:left="5760"/>
      </w:pPr>
      <w:rPr>
        <w:rFonts w:ascii="Symbol" w:hAnsi="Symbol"/>
      </w:rPr>
    </w:lvl>
    <w:lvl w:ilvl="8" w:tplc="5AC47878">
      <w:start w:val="1"/>
      <w:numFmt w:val="bullet"/>
      <w:suff w:val="tab"/>
      <w:lvlText w:val="·"/>
      <w:lvlJc w:val="left"/>
      <w:pPr>
        <w:ind w:hanging="360" w:left="6480"/>
      </w:pPr>
      <w:rPr>
        <w:rFonts w:ascii="Symbol" w:hAnsi="Symbol"/>
      </w:rPr>
    </w:lvl>
  </w:abstractNum>
  <w:abstractNum w:abstractNumId="54">
    <w:nsid w:val="4CE89BAC"/>
    <w:multiLevelType w:val="hybridMultilevel"/>
    <w:lvl w:ilvl="0" w:tplc="13CD7B31">
      <w:start w:val="1"/>
      <w:numFmt w:val="bullet"/>
      <w:suff w:val="tab"/>
      <w:lvlText w:val="·"/>
      <w:lvlJc w:val="left"/>
      <w:pPr>
        <w:ind w:hanging="360" w:left="720"/>
      </w:pPr>
      <w:rPr>
        <w:rFonts w:ascii="Symbol" w:hAnsi="Symbol" w:cs="Symbol" w:eastAsia="Symbol"/>
        <w:color w:val="auto"/>
      </w:rPr>
    </w:lvl>
    <w:lvl w:ilvl="1" w:tplc="4B53F8D3">
      <w:start w:val="1"/>
      <w:numFmt w:val="bullet"/>
      <w:suff w:val="tab"/>
      <w:lvlText w:val="o"/>
      <w:lvlJc w:val="left"/>
      <w:pPr>
        <w:ind w:hanging="360" w:left="1440"/>
      </w:pPr>
      <w:rPr>
        <w:rFonts w:ascii="Symbol" w:hAnsi="Symbol"/>
      </w:rPr>
    </w:lvl>
    <w:lvl w:ilvl="2" w:tplc="2E74C416">
      <w:start w:val="1"/>
      <w:numFmt w:val="bullet"/>
      <w:suff w:val="tab"/>
      <w:lvlText w:val="·"/>
      <w:lvlJc w:val="left"/>
      <w:pPr>
        <w:ind w:hanging="360" w:left="2160"/>
      </w:pPr>
      <w:rPr>
        <w:rFonts w:ascii="Symbol" w:hAnsi="Symbol"/>
      </w:rPr>
    </w:lvl>
    <w:lvl w:ilvl="3" w:tplc="4E7ECA08">
      <w:start w:val="1"/>
      <w:numFmt w:val="bullet"/>
      <w:suff w:val="tab"/>
      <w:lvlText w:val="o"/>
      <w:lvlJc w:val="left"/>
      <w:pPr>
        <w:ind w:hanging="360" w:left="2880"/>
      </w:pPr>
      <w:rPr>
        <w:rFonts w:ascii="Symbol" w:hAnsi="Symbol"/>
      </w:rPr>
    </w:lvl>
    <w:lvl w:ilvl="4" w:tplc="48800B3E">
      <w:start w:val="1"/>
      <w:numFmt w:val="bullet"/>
      <w:suff w:val="tab"/>
      <w:lvlText w:val="·"/>
      <w:lvlJc w:val="left"/>
      <w:pPr>
        <w:ind w:hanging="360" w:left="3600"/>
      </w:pPr>
      <w:rPr>
        <w:rFonts w:ascii="Symbol" w:hAnsi="Symbol"/>
      </w:rPr>
    </w:lvl>
    <w:lvl w:ilvl="5" w:tplc="03465CE7">
      <w:start w:val="1"/>
      <w:numFmt w:val="bullet"/>
      <w:suff w:val="tab"/>
      <w:lvlText w:val="o"/>
      <w:lvlJc w:val="left"/>
      <w:pPr>
        <w:ind w:hanging="360" w:left="4320"/>
      </w:pPr>
      <w:rPr>
        <w:rFonts w:ascii="Symbol" w:hAnsi="Symbol"/>
      </w:rPr>
    </w:lvl>
    <w:lvl w:ilvl="6" w:tplc="2562E0B8">
      <w:start w:val="1"/>
      <w:numFmt w:val="bullet"/>
      <w:suff w:val="tab"/>
      <w:lvlText w:val="·"/>
      <w:lvlJc w:val="left"/>
      <w:pPr>
        <w:ind w:hanging="360" w:left="5040"/>
      </w:pPr>
      <w:rPr>
        <w:rFonts w:ascii="Symbol" w:hAnsi="Symbol"/>
      </w:rPr>
    </w:lvl>
    <w:lvl w:ilvl="7" w:tplc="37C51FC7">
      <w:start w:val="1"/>
      <w:numFmt w:val="bullet"/>
      <w:suff w:val="tab"/>
      <w:lvlText w:val="o"/>
      <w:lvlJc w:val="left"/>
      <w:pPr>
        <w:ind w:hanging="360" w:left="5760"/>
      </w:pPr>
      <w:rPr>
        <w:rFonts w:ascii="Symbol" w:hAnsi="Symbol"/>
      </w:rPr>
    </w:lvl>
    <w:lvl w:ilvl="8" w:tplc="4760FCEF">
      <w:start w:val="1"/>
      <w:numFmt w:val="bullet"/>
      <w:suff w:val="tab"/>
      <w:lvlText w:val="·"/>
      <w:lvlJc w:val="left"/>
      <w:pPr>
        <w:ind w:hanging="360" w:left="6480"/>
      </w:pPr>
      <w:rPr>
        <w:rFonts w:ascii="Symbol" w:hAnsi="Symbol"/>
      </w:rPr>
    </w:lvl>
  </w:abstractNum>
  <w:abstractNum w:abstractNumId="55">
    <w:nsid w:val="6AA78DBC"/>
    <w:multiLevelType w:val="hybridMultilevel"/>
    <w:lvl w:ilvl="0" w:tplc="45B708F7">
      <w:start w:val="1"/>
      <w:numFmt w:val="bullet"/>
      <w:suff w:val="tab"/>
      <w:lvlText w:val="·"/>
      <w:lvlJc w:val="left"/>
      <w:pPr>
        <w:ind w:hanging="360" w:left="720"/>
      </w:pPr>
      <w:rPr>
        <w:rFonts w:ascii="Symbol" w:hAnsi="Symbol" w:cs="Symbol" w:eastAsia="Symbol"/>
        <w:color w:val="auto"/>
      </w:rPr>
    </w:lvl>
    <w:lvl w:ilvl="1" w:tplc="3D1D0872">
      <w:start w:val="1"/>
      <w:numFmt w:val="bullet"/>
      <w:suff w:val="tab"/>
      <w:lvlText w:val="o"/>
      <w:lvlJc w:val="left"/>
      <w:pPr>
        <w:ind w:hanging="360" w:left="1440"/>
      </w:pPr>
      <w:rPr>
        <w:rFonts w:ascii="Symbol" w:hAnsi="Symbol"/>
      </w:rPr>
    </w:lvl>
    <w:lvl w:ilvl="2" w:tplc="2CB2B811">
      <w:start w:val="1"/>
      <w:numFmt w:val="bullet"/>
      <w:suff w:val="tab"/>
      <w:lvlText w:val="·"/>
      <w:lvlJc w:val="left"/>
      <w:pPr>
        <w:ind w:hanging="360" w:left="2160"/>
      </w:pPr>
      <w:rPr>
        <w:rFonts w:ascii="Symbol" w:hAnsi="Symbol"/>
      </w:rPr>
    </w:lvl>
    <w:lvl w:ilvl="3" w:tplc="45B2F5DA">
      <w:start w:val="1"/>
      <w:numFmt w:val="bullet"/>
      <w:suff w:val="tab"/>
      <w:lvlText w:val="o"/>
      <w:lvlJc w:val="left"/>
      <w:pPr>
        <w:ind w:hanging="360" w:left="2880"/>
      </w:pPr>
      <w:rPr>
        <w:rFonts w:ascii="Symbol" w:hAnsi="Symbol"/>
      </w:rPr>
    </w:lvl>
    <w:lvl w:ilvl="4" w:tplc="014FE9BA">
      <w:start w:val="1"/>
      <w:numFmt w:val="bullet"/>
      <w:suff w:val="tab"/>
      <w:lvlText w:val="·"/>
      <w:lvlJc w:val="left"/>
      <w:pPr>
        <w:ind w:hanging="360" w:left="3600"/>
      </w:pPr>
      <w:rPr>
        <w:rFonts w:ascii="Symbol" w:hAnsi="Symbol"/>
      </w:rPr>
    </w:lvl>
    <w:lvl w:ilvl="5" w:tplc="58DDC417">
      <w:start w:val="1"/>
      <w:numFmt w:val="bullet"/>
      <w:suff w:val="tab"/>
      <w:lvlText w:val="o"/>
      <w:lvlJc w:val="left"/>
      <w:pPr>
        <w:ind w:hanging="360" w:left="4320"/>
      </w:pPr>
      <w:rPr>
        <w:rFonts w:ascii="Symbol" w:hAnsi="Symbol"/>
      </w:rPr>
    </w:lvl>
    <w:lvl w:ilvl="6" w:tplc="3C66B9C0">
      <w:start w:val="1"/>
      <w:numFmt w:val="bullet"/>
      <w:suff w:val="tab"/>
      <w:lvlText w:val="·"/>
      <w:lvlJc w:val="left"/>
      <w:pPr>
        <w:ind w:hanging="360" w:left="5040"/>
      </w:pPr>
      <w:rPr>
        <w:rFonts w:ascii="Symbol" w:hAnsi="Symbol"/>
      </w:rPr>
    </w:lvl>
    <w:lvl w:ilvl="7" w:tplc="32CD6897">
      <w:start w:val="1"/>
      <w:numFmt w:val="bullet"/>
      <w:suff w:val="tab"/>
      <w:lvlText w:val="o"/>
      <w:lvlJc w:val="left"/>
      <w:pPr>
        <w:ind w:hanging="360" w:left="5760"/>
      </w:pPr>
      <w:rPr>
        <w:rFonts w:ascii="Symbol" w:hAnsi="Symbol"/>
      </w:rPr>
    </w:lvl>
    <w:lvl w:ilvl="8" w:tplc="3D4C2FDA">
      <w:start w:val="1"/>
      <w:numFmt w:val="bullet"/>
      <w:suff w:val="tab"/>
      <w:lvlText w:val="·"/>
      <w:lvlJc w:val="left"/>
      <w:pPr>
        <w:ind w:hanging="360" w:left="6480"/>
      </w:pPr>
      <w:rPr>
        <w:rFonts w:ascii="Symbol" w:hAnsi="Symbol"/>
      </w:rPr>
    </w:lvl>
  </w:abstractNum>
  <w:abstractNum w:abstractNumId="56">
    <w:nsid w:val="54CEF9E2"/>
    <w:multiLevelType w:val="hybridMultilevel"/>
    <w:lvl w:ilvl="0" w:tplc="3131D79B">
      <w:start w:val="1"/>
      <w:numFmt w:val="bullet"/>
      <w:suff w:val="tab"/>
      <w:lvlText w:val="·"/>
      <w:lvlJc w:val="left"/>
      <w:pPr>
        <w:ind w:hanging="360" w:left="720"/>
      </w:pPr>
      <w:rPr>
        <w:rFonts w:ascii="Symbol" w:hAnsi="Symbol" w:cs="Symbol" w:eastAsia="Symbol"/>
        <w:color w:val="auto"/>
      </w:rPr>
    </w:lvl>
    <w:lvl w:ilvl="1" w:tplc="18E5E4AE">
      <w:start w:val="1"/>
      <w:numFmt w:val="bullet"/>
      <w:suff w:val="tab"/>
      <w:lvlText w:val="o"/>
      <w:lvlJc w:val="left"/>
      <w:pPr>
        <w:ind w:hanging="360" w:left="1440"/>
      </w:pPr>
      <w:rPr>
        <w:rFonts w:ascii="Courier New" w:hAnsi="Courier New" w:cs="Courier New" w:eastAsia="Courier New"/>
        <w:color w:val="auto"/>
      </w:rPr>
    </w:lvl>
    <w:lvl w:ilvl="2" w:tplc="72EF67A1">
      <w:start w:val="1"/>
      <w:numFmt w:val="bullet"/>
      <w:suff w:val="tab"/>
      <w:lvlText w:val="·"/>
      <w:lvlJc w:val="left"/>
      <w:pPr>
        <w:ind w:hanging="360" w:left="2160"/>
      </w:pPr>
      <w:rPr>
        <w:rFonts w:ascii="Symbol" w:hAnsi="Symbol"/>
      </w:rPr>
    </w:lvl>
    <w:lvl w:ilvl="3" w:tplc="7A967264">
      <w:start w:val="1"/>
      <w:numFmt w:val="bullet"/>
      <w:suff w:val="tab"/>
      <w:lvlText w:val="o"/>
      <w:lvlJc w:val="left"/>
      <w:pPr>
        <w:ind w:hanging="360" w:left="2880"/>
      </w:pPr>
      <w:rPr>
        <w:rFonts w:ascii="Symbol" w:hAnsi="Symbol"/>
      </w:rPr>
    </w:lvl>
    <w:lvl w:ilvl="4" w:tplc="3C18F19F">
      <w:start w:val="1"/>
      <w:numFmt w:val="bullet"/>
      <w:suff w:val="tab"/>
      <w:lvlText w:val="·"/>
      <w:lvlJc w:val="left"/>
      <w:pPr>
        <w:ind w:hanging="360" w:left="3600"/>
      </w:pPr>
      <w:rPr>
        <w:rFonts w:ascii="Symbol" w:hAnsi="Symbol"/>
      </w:rPr>
    </w:lvl>
    <w:lvl w:ilvl="5" w:tplc="069D9AC8">
      <w:start w:val="1"/>
      <w:numFmt w:val="bullet"/>
      <w:suff w:val="tab"/>
      <w:lvlText w:val="o"/>
      <w:lvlJc w:val="left"/>
      <w:pPr>
        <w:ind w:hanging="360" w:left="4320"/>
      </w:pPr>
      <w:rPr>
        <w:rFonts w:ascii="Symbol" w:hAnsi="Symbol"/>
      </w:rPr>
    </w:lvl>
    <w:lvl w:ilvl="6" w:tplc="7CD9989D">
      <w:start w:val="1"/>
      <w:numFmt w:val="bullet"/>
      <w:suff w:val="tab"/>
      <w:lvlText w:val="·"/>
      <w:lvlJc w:val="left"/>
      <w:pPr>
        <w:ind w:hanging="360" w:left="5040"/>
      </w:pPr>
      <w:rPr>
        <w:rFonts w:ascii="Symbol" w:hAnsi="Symbol"/>
      </w:rPr>
    </w:lvl>
    <w:lvl w:ilvl="7" w:tplc="562DD2E6">
      <w:start w:val="1"/>
      <w:numFmt w:val="bullet"/>
      <w:suff w:val="tab"/>
      <w:lvlText w:val="o"/>
      <w:lvlJc w:val="left"/>
      <w:pPr>
        <w:ind w:hanging="360" w:left="5760"/>
      </w:pPr>
      <w:rPr>
        <w:rFonts w:ascii="Symbol" w:hAnsi="Symbol"/>
      </w:rPr>
    </w:lvl>
    <w:lvl w:ilvl="8" w:tplc="2555A7C5">
      <w:start w:val="1"/>
      <w:numFmt w:val="bullet"/>
      <w:suff w:val="tab"/>
      <w:lvlText w:val="·"/>
      <w:lvlJc w:val="left"/>
      <w:pPr>
        <w:ind w:hanging="360" w:left="6480"/>
      </w:pPr>
      <w:rPr>
        <w:rFonts w:ascii="Symbol" w:hAnsi="Symbol"/>
      </w:rPr>
    </w:lvl>
  </w:abstractNum>
  <w:abstractNum w:abstractNumId="57">
    <w:nsid w:val="07FEEFDE"/>
    <w:multiLevelType w:val="hybridMultilevel"/>
    <w:lvl w:ilvl="0" w:tplc="259D4B7E">
      <w:start w:val="1"/>
      <w:numFmt w:val="bullet"/>
      <w:suff w:val="tab"/>
      <w:lvlText w:val="·"/>
      <w:lvlJc w:val="left"/>
      <w:pPr>
        <w:ind w:hanging="360" w:left="720"/>
      </w:pPr>
      <w:rPr>
        <w:rFonts w:ascii="Symbol" w:hAnsi="Symbol" w:cs="Symbol" w:eastAsia="Symbol"/>
      </w:rPr>
    </w:lvl>
    <w:lvl w:ilvl="1" w:tplc="79D68A4A">
      <w:start w:val="1"/>
      <w:numFmt w:val="bullet"/>
      <w:suff w:val="tab"/>
      <w:lvlText w:val="o"/>
      <w:lvlJc w:val="left"/>
      <w:pPr>
        <w:ind w:hanging="360" w:left="1440"/>
      </w:pPr>
      <w:rPr>
        <w:rFonts w:ascii="Symbol" w:hAnsi="Symbol"/>
      </w:rPr>
    </w:lvl>
    <w:lvl w:ilvl="2" w:tplc="4820B967">
      <w:start w:val="1"/>
      <w:numFmt w:val="bullet"/>
      <w:suff w:val="tab"/>
      <w:lvlText w:val="·"/>
      <w:lvlJc w:val="left"/>
      <w:pPr>
        <w:ind w:hanging="360" w:left="2160"/>
      </w:pPr>
      <w:rPr>
        <w:rFonts w:ascii="Symbol" w:hAnsi="Symbol"/>
      </w:rPr>
    </w:lvl>
    <w:lvl w:ilvl="3" w:tplc="3DAAFCA3">
      <w:start w:val="1"/>
      <w:numFmt w:val="bullet"/>
      <w:suff w:val="tab"/>
      <w:lvlText w:val="o"/>
      <w:lvlJc w:val="left"/>
      <w:pPr>
        <w:ind w:hanging="360" w:left="2880"/>
      </w:pPr>
      <w:rPr>
        <w:rFonts w:ascii="Symbol" w:hAnsi="Symbol"/>
      </w:rPr>
    </w:lvl>
    <w:lvl w:ilvl="4" w:tplc="293FD5A9">
      <w:start w:val="1"/>
      <w:numFmt w:val="bullet"/>
      <w:suff w:val="tab"/>
      <w:lvlText w:val="·"/>
      <w:lvlJc w:val="left"/>
      <w:pPr>
        <w:ind w:hanging="360" w:left="3600"/>
      </w:pPr>
      <w:rPr>
        <w:rFonts w:ascii="Symbol" w:hAnsi="Symbol"/>
      </w:rPr>
    </w:lvl>
    <w:lvl w:ilvl="5" w:tplc="635DBEFA">
      <w:start w:val="1"/>
      <w:numFmt w:val="bullet"/>
      <w:suff w:val="tab"/>
      <w:lvlText w:val="o"/>
      <w:lvlJc w:val="left"/>
      <w:pPr>
        <w:ind w:hanging="360" w:left="4320"/>
      </w:pPr>
      <w:rPr>
        <w:rFonts w:ascii="Symbol" w:hAnsi="Symbol"/>
      </w:rPr>
    </w:lvl>
    <w:lvl w:ilvl="6" w:tplc="1B791154">
      <w:start w:val="1"/>
      <w:numFmt w:val="bullet"/>
      <w:suff w:val="tab"/>
      <w:lvlText w:val="·"/>
      <w:lvlJc w:val="left"/>
      <w:pPr>
        <w:ind w:hanging="360" w:left="5040"/>
      </w:pPr>
      <w:rPr>
        <w:rFonts w:ascii="Symbol" w:hAnsi="Symbol"/>
      </w:rPr>
    </w:lvl>
    <w:lvl w:ilvl="7" w:tplc="397ED5BA">
      <w:start w:val="1"/>
      <w:numFmt w:val="bullet"/>
      <w:suff w:val="tab"/>
      <w:lvlText w:val="o"/>
      <w:lvlJc w:val="left"/>
      <w:pPr>
        <w:ind w:hanging="360" w:left="5760"/>
      </w:pPr>
      <w:rPr>
        <w:rFonts w:ascii="Symbol" w:hAnsi="Symbol"/>
      </w:rPr>
    </w:lvl>
    <w:lvl w:ilvl="8" w:tplc="2FD3E939">
      <w:start w:val="1"/>
      <w:numFmt w:val="bullet"/>
      <w:suff w:val="tab"/>
      <w:lvlText w:val="·"/>
      <w:lvlJc w:val="left"/>
      <w:pPr>
        <w:ind w:hanging="360" w:left="6480"/>
      </w:pPr>
      <w:rPr>
        <w:rFonts w:ascii="Symbol" w:hAnsi="Symbol"/>
      </w:rPr>
    </w:lvl>
  </w:abstractNum>
  <w:abstractNum w:abstractNumId="58">
    <w:nsid w:val="4C6F6C37"/>
    <w:multiLevelType w:val="hybridMultilevel"/>
    <w:lvl w:ilvl="0" w:tplc="0ACFB145">
      <w:start w:val="1"/>
      <w:numFmt w:val="bullet"/>
      <w:suff w:val="tab"/>
      <w:lvlText w:val="·"/>
      <w:lvlJc w:val="left"/>
      <w:pPr>
        <w:ind w:hanging="360" w:left="720"/>
      </w:pPr>
      <w:rPr>
        <w:rFonts w:ascii="Symbol" w:hAnsi="Symbol" w:cs="Symbol" w:eastAsia="Symbol"/>
        <w:color w:val="auto"/>
      </w:rPr>
    </w:lvl>
    <w:lvl w:ilvl="1" w:tplc="1D7F7FF8">
      <w:start w:val="1"/>
      <w:numFmt w:val="bullet"/>
      <w:suff w:val="tab"/>
      <w:lvlText w:val="o"/>
      <w:lvlJc w:val="left"/>
      <w:pPr>
        <w:ind w:hanging="360" w:left="1440"/>
      </w:pPr>
      <w:rPr>
        <w:rFonts w:ascii="Symbol" w:hAnsi="Symbol"/>
      </w:rPr>
    </w:lvl>
    <w:lvl w:ilvl="2" w:tplc="2D33952E">
      <w:start w:val="1"/>
      <w:numFmt w:val="bullet"/>
      <w:suff w:val="tab"/>
      <w:lvlText w:val="·"/>
      <w:lvlJc w:val="left"/>
      <w:pPr>
        <w:ind w:hanging="360" w:left="2160"/>
      </w:pPr>
      <w:rPr>
        <w:rFonts w:ascii="Symbol" w:hAnsi="Symbol"/>
      </w:rPr>
    </w:lvl>
    <w:lvl w:ilvl="3" w:tplc="1EACD6B1">
      <w:start w:val="1"/>
      <w:numFmt w:val="bullet"/>
      <w:suff w:val="tab"/>
      <w:lvlText w:val="o"/>
      <w:lvlJc w:val="left"/>
      <w:pPr>
        <w:ind w:hanging="360" w:left="2880"/>
      </w:pPr>
      <w:rPr>
        <w:rFonts w:ascii="Symbol" w:hAnsi="Symbol"/>
      </w:rPr>
    </w:lvl>
    <w:lvl w:ilvl="4" w:tplc="5FD61BAA">
      <w:start w:val="1"/>
      <w:numFmt w:val="bullet"/>
      <w:suff w:val="tab"/>
      <w:lvlText w:val="·"/>
      <w:lvlJc w:val="left"/>
      <w:pPr>
        <w:ind w:hanging="360" w:left="3600"/>
      </w:pPr>
      <w:rPr>
        <w:rFonts w:ascii="Symbol" w:hAnsi="Symbol"/>
      </w:rPr>
    </w:lvl>
    <w:lvl w:ilvl="5" w:tplc="73A06CCD">
      <w:start w:val="1"/>
      <w:numFmt w:val="bullet"/>
      <w:suff w:val="tab"/>
      <w:lvlText w:val="o"/>
      <w:lvlJc w:val="left"/>
      <w:pPr>
        <w:ind w:hanging="360" w:left="4320"/>
      </w:pPr>
      <w:rPr>
        <w:rFonts w:ascii="Symbol" w:hAnsi="Symbol"/>
      </w:rPr>
    </w:lvl>
    <w:lvl w:ilvl="6" w:tplc="00FDCEC4">
      <w:start w:val="1"/>
      <w:numFmt w:val="bullet"/>
      <w:suff w:val="tab"/>
      <w:lvlText w:val="·"/>
      <w:lvlJc w:val="left"/>
      <w:pPr>
        <w:ind w:hanging="360" w:left="5040"/>
      </w:pPr>
      <w:rPr>
        <w:rFonts w:ascii="Symbol" w:hAnsi="Symbol"/>
      </w:rPr>
    </w:lvl>
    <w:lvl w:ilvl="7" w:tplc="74353F33">
      <w:start w:val="1"/>
      <w:numFmt w:val="bullet"/>
      <w:suff w:val="tab"/>
      <w:lvlText w:val="o"/>
      <w:lvlJc w:val="left"/>
      <w:pPr>
        <w:ind w:hanging="360" w:left="5760"/>
      </w:pPr>
      <w:rPr>
        <w:rFonts w:ascii="Symbol" w:hAnsi="Symbol"/>
      </w:rPr>
    </w:lvl>
    <w:lvl w:ilvl="8" w:tplc="594978D7">
      <w:start w:val="1"/>
      <w:numFmt w:val="bullet"/>
      <w:suff w:val="tab"/>
      <w:lvlText w:val="·"/>
      <w:lvlJc w:val="left"/>
      <w:pPr>
        <w:ind w:hanging="360" w:left="6480"/>
      </w:pPr>
      <w:rPr>
        <w:rFonts w:ascii="Symbol" w:hAnsi="Symbol"/>
      </w:rPr>
    </w:lvl>
  </w:abstractNum>
  <w:abstractNum w:abstractNumId="59">
    <w:nsid w:val="09E30AA3"/>
    <w:multiLevelType w:val="hybridMultilevel"/>
    <w:lvl w:ilvl="0" w:tplc="1FB08512">
      <w:start w:val="1"/>
      <w:numFmt w:val="bullet"/>
      <w:suff w:val="tab"/>
      <w:lvlText w:val="·"/>
      <w:lvlJc w:val="left"/>
      <w:pPr>
        <w:ind w:hanging="360" w:left="720"/>
      </w:pPr>
      <w:rPr>
        <w:rFonts w:ascii="Symbol" w:hAnsi="Symbol" w:cs="Symbol" w:eastAsia="Symbol"/>
        <w:color w:val="auto"/>
      </w:rPr>
    </w:lvl>
    <w:lvl w:ilvl="1" w:tplc="72C31419">
      <w:start w:val="1"/>
      <w:numFmt w:val="bullet"/>
      <w:suff w:val="tab"/>
      <w:lvlText w:val="o"/>
      <w:lvlJc w:val="left"/>
      <w:pPr>
        <w:ind w:hanging="360" w:left="1440"/>
      </w:pPr>
      <w:rPr>
        <w:rFonts w:ascii="Symbol" w:hAnsi="Symbol"/>
      </w:rPr>
    </w:lvl>
    <w:lvl w:ilvl="2" w:tplc="444A4570">
      <w:start w:val="1"/>
      <w:numFmt w:val="bullet"/>
      <w:suff w:val="tab"/>
      <w:lvlText w:val="·"/>
      <w:lvlJc w:val="left"/>
      <w:pPr>
        <w:ind w:hanging="360" w:left="2160"/>
      </w:pPr>
      <w:rPr>
        <w:rFonts w:ascii="Symbol" w:hAnsi="Symbol"/>
      </w:rPr>
    </w:lvl>
    <w:lvl w:ilvl="3" w:tplc="7AF61ACC">
      <w:start w:val="1"/>
      <w:numFmt w:val="bullet"/>
      <w:suff w:val="tab"/>
      <w:lvlText w:val="o"/>
      <w:lvlJc w:val="left"/>
      <w:pPr>
        <w:ind w:hanging="360" w:left="2880"/>
      </w:pPr>
      <w:rPr>
        <w:rFonts w:ascii="Symbol" w:hAnsi="Symbol"/>
      </w:rPr>
    </w:lvl>
    <w:lvl w:ilvl="4" w:tplc="37A0E74A">
      <w:start w:val="1"/>
      <w:numFmt w:val="bullet"/>
      <w:suff w:val="tab"/>
      <w:lvlText w:val="·"/>
      <w:lvlJc w:val="left"/>
      <w:pPr>
        <w:ind w:hanging="360" w:left="3600"/>
      </w:pPr>
      <w:rPr>
        <w:rFonts w:ascii="Symbol" w:hAnsi="Symbol"/>
      </w:rPr>
    </w:lvl>
    <w:lvl w:ilvl="5" w:tplc="38C0D697">
      <w:start w:val="1"/>
      <w:numFmt w:val="bullet"/>
      <w:suff w:val="tab"/>
      <w:lvlText w:val="o"/>
      <w:lvlJc w:val="left"/>
      <w:pPr>
        <w:ind w:hanging="360" w:left="4320"/>
      </w:pPr>
      <w:rPr>
        <w:rFonts w:ascii="Symbol" w:hAnsi="Symbol"/>
      </w:rPr>
    </w:lvl>
    <w:lvl w:ilvl="6" w:tplc="414B4CC4">
      <w:start w:val="1"/>
      <w:numFmt w:val="bullet"/>
      <w:suff w:val="tab"/>
      <w:lvlText w:val="·"/>
      <w:lvlJc w:val="left"/>
      <w:pPr>
        <w:ind w:hanging="360" w:left="5040"/>
      </w:pPr>
      <w:rPr>
        <w:rFonts w:ascii="Symbol" w:hAnsi="Symbol"/>
      </w:rPr>
    </w:lvl>
    <w:lvl w:ilvl="7" w:tplc="2A746514">
      <w:start w:val="1"/>
      <w:numFmt w:val="bullet"/>
      <w:suff w:val="tab"/>
      <w:lvlText w:val="o"/>
      <w:lvlJc w:val="left"/>
      <w:pPr>
        <w:ind w:hanging="360" w:left="5760"/>
      </w:pPr>
      <w:rPr>
        <w:rFonts w:ascii="Symbol" w:hAnsi="Symbol"/>
      </w:rPr>
    </w:lvl>
    <w:lvl w:ilvl="8" w:tplc="7B5052DE">
      <w:start w:val="1"/>
      <w:numFmt w:val="bullet"/>
      <w:suff w:val="tab"/>
      <w:lvlText w:val="·"/>
      <w:lvlJc w:val="left"/>
      <w:pPr>
        <w:ind w:hanging="360" w:left="6480"/>
      </w:pPr>
      <w:rPr>
        <w:rFonts w:ascii="Symbol" w:hAnsi="Symbol"/>
      </w:rPr>
    </w:lvl>
  </w:abstractNum>
  <w:abstractNum w:abstractNumId="60">
    <w:nsid w:val="1AA2C970"/>
    <w:multiLevelType w:val="hybridMultilevel"/>
    <w:lvl w:ilvl="0" w:tplc="40E3789A">
      <w:start w:val="1"/>
      <w:numFmt w:val="bullet"/>
      <w:suff w:val="tab"/>
      <w:lvlText w:val="·"/>
      <w:lvlJc w:val="left"/>
      <w:pPr>
        <w:ind w:hanging="360" w:left="720"/>
      </w:pPr>
      <w:rPr>
        <w:rFonts w:ascii="Symbol" w:hAnsi="Symbol" w:cs="Symbol" w:eastAsia="Symbol"/>
        <w:color w:val="auto"/>
      </w:rPr>
    </w:lvl>
    <w:lvl w:ilvl="1" w:tplc="216C889C">
      <w:start w:val="1"/>
      <w:numFmt w:val="bullet"/>
      <w:suff w:val="tab"/>
      <w:lvlText w:val="o"/>
      <w:lvlJc w:val="left"/>
      <w:pPr>
        <w:ind w:hanging="360" w:left="1440"/>
      </w:pPr>
      <w:rPr>
        <w:rFonts w:ascii="Symbol" w:hAnsi="Symbol"/>
      </w:rPr>
    </w:lvl>
    <w:lvl w:ilvl="2" w:tplc="6D088841">
      <w:start w:val="1"/>
      <w:numFmt w:val="bullet"/>
      <w:suff w:val="tab"/>
      <w:lvlText w:val="·"/>
      <w:lvlJc w:val="left"/>
      <w:pPr>
        <w:ind w:hanging="360" w:left="2160"/>
      </w:pPr>
      <w:rPr>
        <w:rFonts w:ascii="Symbol" w:hAnsi="Symbol"/>
      </w:rPr>
    </w:lvl>
    <w:lvl w:ilvl="3" w:tplc="3524BE2F">
      <w:start w:val="1"/>
      <w:numFmt w:val="bullet"/>
      <w:suff w:val="tab"/>
      <w:lvlText w:val="o"/>
      <w:lvlJc w:val="left"/>
      <w:pPr>
        <w:ind w:hanging="360" w:left="2880"/>
      </w:pPr>
      <w:rPr>
        <w:rFonts w:ascii="Symbol" w:hAnsi="Symbol"/>
      </w:rPr>
    </w:lvl>
    <w:lvl w:ilvl="4" w:tplc="57A24A10">
      <w:start w:val="1"/>
      <w:numFmt w:val="bullet"/>
      <w:suff w:val="tab"/>
      <w:lvlText w:val="·"/>
      <w:lvlJc w:val="left"/>
      <w:pPr>
        <w:ind w:hanging="360" w:left="3600"/>
      </w:pPr>
      <w:rPr>
        <w:rFonts w:ascii="Symbol" w:hAnsi="Symbol"/>
      </w:rPr>
    </w:lvl>
    <w:lvl w:ilvl="5" w:tplc="791719DC">
      <w:start w:val="1"/>
      <w:numFmt w:val="bullet"/>
      <w:suff w:val="tab"/>
      <w:lvlText w:val="o"/>
      <w:lvlJc w:val="left"/>
      <w:pPr>
        <w:ind w:hanging="360" w:left="4320"/>
      </w:pPr>
      <w:rPr>
        <w:rFonts w:ascii="Symbol" w:hAnsi="Symbol"/>
      </w:rPr>
    </w:lvl>
    <w:lvl w:ilvl="6" w:tplc="1CA7969B">
      <w:start w:val="1"/>
      <w:numFmt w:val="bullet"/>
      <w:suff w:val="tab"/>
      <w:lvlText w:val="·"/>
      <w:lvlJc w:val="left"/>
      <w:pPr>
        <w:ind w:hanging="360" w:left="5040"/>
      </w:pPr>
      <w:rPr>
        <w:rFonts w:ascii="Symbol" w:hAnsi="Symbol"/>
      </w:rPr>
    </w:lvl>
    <w:lvl w:ilvl="7" w:tplc="6A84E2A5">
      <w:start w:val="1"/>
      <w:numFmt w:val="bullet"/>
      <w:suff w:val="tab"/>
      <w:lvlText w:val="o"/>
      <w:lvlJc w:val="left"/>
      <w:pPr>
        <w:ind w:hanging="360" w:left="5760"/>
      </w:pPr>
      <w:rPr>
        <w:rFonts w:ascii="Symbol" w:hAnsi="Symbol"/>
      </w:rPr>
    </w:lvl>
    <w:lvl w:ilvl="8" w:tplc="49094050">
      <w:start w:val="1"/>
      <w:numFmt w:val="bullet"/>
      <w:suff w:val="tab"/>
      <w:lvlText w:val="·"/>
      <w:lvlJc w:val="left"/>
      <w:pPr>
        <w:ind w:hanging="360" w:left="6480"/>
      </w:pPr>
      <w:rPr>
        <w:rFonts w:ascii="Symbol" w:hAnsi="Symbol"/>
      </w:rPr>
    </w:lvl>
  </w:abstractNum>
  <w:abstractNum w:abstractNumId="61">
    <w:nsid w:val="07B17375"/>
    <w:multiLevelType w:val="hybridMultilevel"/>
    <w:lvl w:ilvl="0" w:tplc="589D59AA">
      <w:start w:val="1"/>
      <w:numFmt w:val="bullet"/>
      <w:suff w:val="tab"/>
      <w:lvlText w:val="·"/>
      <w:lvlJc w:val="left"/>
      <w:pPr>
        <w:ind w:hanging="360" w:left="720"/>
      </w:pPr>
      <w:rPr>
        <w:rFonts w:ascii="Symbol" w:hAnsi="Symbol" w:cs="Symbol" w:eastAsia="Symbol"/>
        <w:color w:val="auto"/>
      </w:rPr>
    </w:lvl>
    <w:lvl w:ilvl="1" w:tplc="272EDB30">
      <w:start w:val="1"/>
      <w:numFmt w:val="bullet"/>
      <w:suff w:val="tab"/>
      <w:lvlText w:val="o"/>
      <w:lvlJc w:val="left"/>
      <w:pPr>
        <w:ind w:hanging="360" w:left="1440"/>
      </w:pPr>
      <w:rPr>
        <w:rFonts w:ascii="Symbol" w:hAnsi="Symbol"/>
      </w:rPr>
    </w:lvl>
    <w:lvl w:ilvl="2" w:tplc="0B253934">
      <w:start w:val="1"/>
      <w:numFmt w:val="bullet"/>
      <w:suff w:val="tab"/>
      <w:lvlText w:val="·"/>
      <w:lvlJc w:val="left"/>
      <w:pPr>
        <w:ind w:hanging="360" w:left="2160"/>
      </w:pPr>
      <w:rPr>
        <w:rFonts w:ascii="Symbol" w:hAnsi="Symbol"/>
      </w:rPr>
    </w:lvl>
    <w:lvl w:ilvl="3" w:tplc="1F5FF321">
      <w:start w:val="1"/>
      <w:numFmt w:val="bullet"/>
      <w:suff w:val="tab"/>
      <w:lvlText w:val="o"/>
      <w:lvlJc w:val="left"/>
      <w:pPr>
        <w:ind w:hanging="360" w:left="2880"/>
      </w:pPr>
      <w:rPr>
        <w:rFonts w:ascii="Symbol" w:hAnsi="Symbol"/>
      </w:rPr>
    </w:lvl>
    <w:lvl w:ilvl="4" w:tplc="7A75A615">
      <w:start w:val="1"/>
      <w:numFmt w:val="bullet"/>
      <w:suff w:val="tab"/>
      <w:lvlText w:val="·"/>
      <w:lvlJc w:val="left"/>
      <w:pPr>
        <w:ind w:hanging="360" w:left="3600"/>
      </w:pPr>
      <w:rPr>
        <w:rFonts w:ascii="Symbol" w:hAnsi="Symbol"/>
      </w:rPr>
    </w:lvl>
    <w:lvl w:ilvl="5" w:tplc="3719987D">
      <w:start w:val="1"/>
      <w:numFmt w:val="bullet"/>
      <w:suff w:val="tab"/>
      <w:lvlText w:val="o"/>
      <w:lvlJc w:val="left"/>
      <w:pPr>
        <w:ind w:hanging="360" w:left="4320"/>
      </w:pPr>
      <w:rPr>
        <w:rFonts w:ascii="Symbol" w:hAnsi="Symbol"/>
      </w:rPr>
    </w:lvl>
    <w:lvl w:ilvl="6" w:tplc="3F42750D">
      <w:start w:val="1"/>
      <w:numFmt w:val="bullet"/>
      <w:suff w:val="tab"/>
      <w:lvlText w:val="·"/>
      <w:lvlJc w:val="left"/>
      <w:pPr>
        <w:ind w:hanging="360" w:left="5040"/>
      </w:pPr>
      <w:rPr>
        <w:rFonts w:ascii="Symbol" w:hAnsi="Symbol"/>
      </w:rPr>
    </w:lvl>
    <w:lvl w:ilvl="7" w:tplc="2A19B370">
      <w:start w:val="1"/>
      <w:numFmt w:val="bullet"/>
      <w:suff w:val="tab"/>
      <w:lvlText w:val="o"/>
      <w:lvlJc w:val="left"/>
      <w:pPr>
        <w:ind w:hanging="360" w:left="5760"/>
      </w:pPr>
      <w:rPr>
        <w:rFonts w:ascii="Symbol" w:hAnsi="Symbol"/>
      </w:rPr>
    </w:lvl>
    <w:lvl w:ilvl="8" w:tplc="6ADE7B68">
      <w:start w:val="1"/>
      <w:numFmt w:val="bullet"/>
      <w:suff w:val="tab"/>
      <w:lvlText w:val="·"/>
      <w:lvlJc w:val="left"/>
      <w:pPr>
        <w:ind w:hanging="360" w:left="6480"/>
      </w:pPr>
      <w:rPr>
        <w:rFonts w:ascii="Symbol" w:hAnsi="Symbol"/>
      </w:rPr>
    </w:lvl>
  </w:abstractNum>
  <w:abstractNum w:abstractNumId="62">
    <w:nsid w:val="421D396F"/>
    <w:multiLevelType w:val="hybridMultilevel"/>
    <w:lvl w:ilvl="0" w:tplc="5311D93C">
      <w:start w:val="1"/>
      <w:numFmt w:val="bullet"/>
      <w:suff w:val="tab"/>
      <w:lvlText w:val="·"/>
      <w:lvlJc w:val="left"/>
      <w:pPr>
        <w:ind w:hanging="360" w:left="720"/>
      </w:pPr>
      <w:rPr>
        <w:rFonts w:ascii="Symbol" w:hAnsi="Symbol" w:cs="Symbol" w:eastAsia="Symbol"/>
        <w:color w:val="auto"/>
      </w:rPr>
    </w:lvl>
    <w:lvl w:ilvl="1" w:tplc="27316C9C">
      <w:start w:val="1"/>
      <w:numFmt w:val="bullet"/>
      <w:suff w:val="tab"/>
      <w:lvlText w:val="o"/>
      <w:lvlJc w:val="left"/>
      <w:pPr>
        <w:ind w:hanging="360" w:left="1440"/>
      </w:pPr>
      <w:rPr>
        <w:rFonts w:ascii="Symbol" w:hAnsi="Symbol"/>
      </w:rPr>
    </w:lvl>
    <w:lvl w:ilvl="2" w:tplc="7F02EB79">
      <w:start w:val="1"/>
      <w:numFmt w:val="bullet"/>
      <w:suff w:val="tab"/>
      <w:lvlText w:val="·"/>
      <w:lvlJc w:val="left"/>
      <w:pPr>
        <w:ind w:hanging="360" w:left="2160"/>
      </w:pPr>
      <w:rPr>
        <w:rFonts w:ascii="Symbol" w:hAnsi="Symbol"/>
      </w:rPr>
    </w:lvl>
    <w:lvl w:ilvl="3" w:tplc="26057E2E">
      <w:start w:val="1"/>
      <w:numFmt w:val="bullet"/>
      <w:suff w:val="tab"/>
      <w:lvlText w:val="o"/>
      <w:lvlJc w:val="left"/>
      <w:pPr>
        <w:ind w:hanging="360" w:left="2880"/>
      </w:pPr>
      <w:rPr>
        <w:rFonts w:ascii="Symbol" w:hAnsi="Symbol"/>
      </w:rPr>
    </w:lvl>
    <w:lvl w:ilvl="4" w:tplc="7929F65C">
      <w:start w:val="1"/>
      <w:numFmt w:val="bullet"/>
      <w:suff w:val="tab"/>
      <w:lvlText w:val="·"/>
      <w:lvlJc w:val="left"/>
      <w:pPr>
        <w:ind w:hanging="360" w:left="3600"/>
      </w:pPr>
      <w:rPr>
        <w:rFonts w:ascii="Symbol" w:hAnsi="Symbol"/>
      </w:rPr>
    </w:lvl>
    <w:lvl w:ilvl="5" w:tplc="058D4B5D">
      <w:start w:val="1"/>
      <w:numFmt w:val="bullet"/>
      <w:suff w:val="tab"/>
      <w:lvlText w:val="o"/>
      <w:lvlJc w:val="left"/>
      <w:pPr>
        <w:ind w:hanging="360" w:left="4320"/>
      </w:pPr>
      <w:rPr>
        <w:rFonts w:ascii="Symbol" w:hAnsi="Symbol"/>
      </w:rPr>
    </w:lvl>
    <w:lvl w:ilvl="6" w:tplc="3123A683">
      <w:start w:val="1"/>
      <w:numFmt w:val="bullet"/>
      <w:suff w:val="tab"/>
      <w:lvlText w:val="·"/>
      <w:lvlJc w:val="left"/>
      <w:pPr>
        <w:ind w:hanging="360" w:left="5040"/>
      </w:pPr>
      <w:rPr>
        <w:rFonts w:ascii="Symbol" w:hAnsi="Symbol"/>
      </w:rPr>
    </w:lvl>
    <w:lvl w:ilvl="7" w:tplc="69313A6E">
      <w:start w:val="1"/>
      <w:numFmt w:val="bullet"/>
      <w:suff w:val="tab"/>
      <w:lvlText w:val="o"/>
      <w:lvlJc w:val="left"/>
      <w:pPr>
        <w:ind w:hanging="360" w:left="5760"/>
      </w:pPr>
      <w:rPr>
        <w:rFonts w:ascii="Symbol" w:hAnsi="Symbol"/>
      </w:rPr>
    </w:lvl>
    <w:lvl w:ilvl="8" w:tplc="2195C7F5">
      <w:start w:val="1"/>
      <w:numFmt w:val="bullet"/>
      <w:suff w:val="tab"/>
      <w:lvlText w:val="·"/>
      <w:lvlJc w:val="left"/>
      <w:pPr>
        <w:ind w:hanging="360" w:left="6480"/>
      </w:pPr>
      <w:rPr>
        <w:rFonts w:ascii="Symbol" w:hAnsi="Symbol"/>
      </w:rPr>
    </w:lvl>
  </w:abstractNum>
  <w:abstractNum w:abstractNumId="63">
    <w:nsid w:val="262C3EA6"/>
    <w:multiLevelType w:val="hybridMultilevel"/>
    <w:lvl w:ilvl="0" w:tplc="18ADCB17">
      <w:start w:val="1"/>
      <w:numFmt w:val="bullet"/>
      <w:suff w:val="tab"/>
      <w:lvlText w:val="·"/>
      <w:lvlJc w:val="left"/>
      <w:pPr>
        <w:ind w:hanging="360" w:left="720"/>
      </w:pPr>
      <w:rPr>
        <w:rFonts w:ascii="Symbol" w:hAnsi="Symbol" w:cs="Symbol" w:eastAsia="Symbol"/>
        <w:color w:val="auto"/>
      </w:rPr>
    </w:lvl>
    <w:lvl w:ilvl="1" w:tplc="789D6459">
      <w:start w:val="1"/>
      <w:numFmt w:val="bullet"/>
      <w:suff w:val="tab"/>
      <w:lvlText w:val="o"/>
      <w:lvlJc w:val="left"/>
      <w:pPr>
        <w:ind w:hanging="360" w:left="1440"/>
      </w:pPr>
      <w:rPr>
        <w:rFonts w:ascii="Symbol" w:hAnsi="Symbol"/>
      </w:rPr>
    </w:lvl>
    <w:lvl w:ilvl="2" w:tplc="13DE7FBF">
      <w:start w:val="1"/>
      <w:numFmt w:val="bullet"/>
      <w:suff w:val="tab"/>
      <w:lvlText w:val="·"/>
      <w:lvlJc w:val="left"/>
      <w:pPr>
        <w:ind w:hanging="360" w:left="2160"/>
      </w:pPr>
      <w:rPr>
        <w:rFonts w:ascii="Symbol" w:hAnsi="Symbol"/>
      </w:rPr>
    </w:lvl>
    <w:lvl w:ilvl="3" w:tplc="798D7475">
      <w:start w:val="1"/>
      <w:numFmt w:val="bullet"/>
      <w:suff w:val="tab"/>
      <w:lvlText w:val="o"/>
      <w:lvlJc w:val="left"/>
      <w:pPr>
        <w:ind w:hanging="360" w:left="2880"/>
      </w:pPr>
      <w:rPr>
        <w:rFonts w:ascii="Symbol" w:hAnsi="Symbol"/>
      </w:rPr>
    </w:lvl>
    <w:lvl w:ilvl="4" w:tplc="36230768">
      <w:start w:val="1"/>
      <w:numFmt w:val="bullet"/>
      <w:suff w:val="tab"/>
      <w:lvlText w:val="·"/>
      <w:lvlJc w:val="left"/>
      <w:pPr>
        <w:ind w:hanging="360" w:left="3600"/>
      </w:pPr>
      <w:rPr>
        <w:rFonts w:ascii="Symbol" w:hAnsi="Symbol"/>
      </w:rPr>
    </w:lvl>
    <w:lvl w:ilvl="5" w:tplc="3594B681">
      <w:start w:val="1"/>
      <w:numFmt w:val="bullet"/>
      <w:suff w:val="tab"/>
      <w:lvlText w:val="o"/>
      <w:lvlJc w:val="left"/>
      <w:pPr>
        <w:ind w:hanging="360" w:left="4320"/>
      </w:pPr>
      <w:rPr>
        <w:rFonts w:ascii="Symbol" w:hAnsi="Symbol"/>
      </w:rPr>
    </w:lvl>
    <w:lvl w:ilvl="6" w:tplc="7A3AD9D7">
      <w:start w:val="1"/>
      <w:numFmt w:val="bullet"/>
      <w:suff w:val="tab"/>
      <w:lvlText w:val="·"/>
      <w:lvlJc w:val="left"/>
      <w:pPr>
        <w:ind w:hanging="360" w:left="5040"/>
      </w:pPr>
      <w:rPr>
        <w:rFonts w:ascii="Symbol" w:hAnsi="Symbol"/>
      </w:rPr>
    </w:lvl>
    <w:lvl w:ilvl="7" w:tplc="7EFCDFDD">
      <w:start w:val="1"/>
      <w:numFmt w:val="bullet"/>
      <w:suff w:val="tab"/>
      <w:lvlText w:val="o"/>
      <w:lvlJc w:val="left"/>
      <w:pPr>
        <w:ind w:hanging="360" w:left="5760"/>
      </w:pPr>
      <w:rPr>
        <w:rFonts w:ascii="Symbol" w:hAnsi="Symbol"/>
      </w:rPr>
    </w:lvl>
    <w:lvl w:ilvl="8" w:tplc="0BA0A6B5">
      <w:start w:val="1"/>
      <w:numFmt w:val="bullet"/>
      <w:suff w:val="tab"/>
      <w:lvlText w:val="·"/>
      <w:lvlJc w:val="left"/>
      <w:pPr>
        <w:ind w:hanging="360" w:left="6480"/>
      </w:pPr>
      <w:rPr>
        <w:rFonts w:ascii="Symbol" w:hAnsi="Symbol"/>
      </w:rPr>
    </w:lvl>
  </w:abstractNum>
  <w:abstractNum w:abstractNumId="64">
    <w:nsid w:val="2114DE07"/>
    <w:multiLevelType w:val="hybridMultilevel"/>
    <w:lvl w:ilvl="0" w:tplc="151D45A0">
      <w:start w:val="1"/>
      <w:numFmt w:val="bullet"/>
      <w:suff w:val="tab"/>
      <w:lvlText w:val="·"/>
      <w:lvlJc w:val="left"/>
      <w:pPr>
        <w:ind w:hanging="360" w:left="720"/>
      </w:pPr>
      <w:rPr>
        <w:rFonts w:ascii="Symbol" w:hAnsi="Symbol" w:cs="Symbol" w:eastAsia="Symbol"/>
        <w:color w:val="auto"/>
      </w:rPr>
    </w:lvl>
    <w:lvl w:ilvl="1" w:tplc="154B34B3">
      <w:start w:val="1"/>
      <w:numFmt w:val="bullet"/>
      <w:suff w:val="tab"/>
      <w:lvlText w:val="o"/>
      <w:lvlJc w:val="left"/>
      <w:pPr>
        <w:ind w:hanging="360" w:left="1440"/>
      </w:pPr>
      <w:rPr>
        <w:rFonts w:ascii="Symbol" w:hAnsi="Symbol"/>
      </w:rPr>
    </w:lvl>
    <w:lvl w:ilvl="2" w:tplc="5499579E">
      <w:start w:val="1"/>
      <w:numFmt w:val="bullet"/>
      <w:suff w:val="tab"/>
      <w:lvlText w:val="·"/>
      <w:lvlJc w:val="left"/>
      <w:pPr>
        <w:ind w:hanging="360" w:left="2160"/>
      </w:pPr>
      <w:rPr>
        <w:rFonts w:ascii="Symbol" w:hAnsi="Symbol"/>
      </w:rPr>
    </w:lvl>
    <w:lvl w:ilvl="3" w:tplc="66D7B4DA">
      <w:start w:val="1"/>
      <w:numFmt w:val="bullet"/>
      <w:suff w:val="tab"/>
      <w:lvlText w:val="o"/>
      <w:lvlJc w:val="left"/>
      <w:pPr>
        <w:ind w:hanging="360" w:left="2880"/>
      </w:pPr>
      <w:rPr>
        <w:rFonts w:ascii="Symbol" w:hAnsi="Symbol"/>
      </w:rPr>
    </w:lvl>
    <w:lvl w:ilvl="4" w:tplc="2CDD1EE0">
      <w:start w:val="1"/>
      <w:numFmt w:val="bullet"/>
      <w:suff w:val="tab"/>
      <w:lvlText w:val="·"/>
      <w:lvlJc w:val="left"/>
      <w:pPr>
        <w:ind w:hanging="360" w:left="3600"/>
      </w:pPr>
      <w:rPr>
        <w:rFonts w:ascii="Symbol" w:hAnsi="Symbol"/>
      </w:rPr>
    </w:lvl>
    <w:lvl w:ilvl="5" w:tplc="52164475">
      <w:start w:val="1"/>
      <w:numFmt w:val="bullet"/>
      <w:suff w:val="tab"/>
      <w:lvlText w:val="o"/>
      <w:lvlJc w:val="left"/>
      <w:pPr>
        <w:ind w:hanging="360" w:left="4320"/>
      </w:pPr>
      <w:rPr>
        <w:rFonts w:ascii="Symbol" w:hAnsi="Symbol"/>
      </w:rPr>
    </w:lvl>
    <w:lvl w:ilvl="6" w:tplc="47975923">
      <w:start w:val="1"/>
      <w:numFmt w:val="bullet"/>
      <w:suff w:val="tab"/>
      <w:lvlText w:val="·"/>
      <w:lvlJc w:val="left"/>
      <w:pPr>
        <w:ind w:hanging="360" w:left="5040"/>
      </w:pPr>
      <w:rPr>
        <w:rFonts w:ascii="Symbol" w:hAnsi="Symbol"/>
      </w:rPr>
    </w:lvl>
    <w:lvl w:ilvl="7" w:tplc="2F5D5283">
      <w:start w:val="1"/>
      <w:numFmt w:val="bullet"/>
      <w:suff w:val="tab"/>
      <w:lvlText w:val="o"/>
      <w:lvlJc w:val="left"/>
      <w:pPr>
        <w:ind w:hanging="360" w:left="5760"/>
      </w:pPr>
      <w:rPr>
        <w:rFonts w:ascii="Symbol" w:hAnsi="Symbol"/>
      </w:rPr>
    </w:lvl>
    <w:lvl w:ilvl="8" w:tplc="70931E59">
      <w:start w:val="1"/>
      <w:numFmt w:val="bullet"/>
      <w:suff w:val="tab"/>
      <w:lvlText w:val="·"/>
      <w:lvlJc w:val="left"/>
      <w:pPr>
        <w:ind w:hanging="360" w:left="6480"/>
      </w:pPr>
      <w:rPr>
        <w:rFonts w:ascii="Symbol" w:hAnsi="Symbol"/>
      </w:rPr>
    </w:lvl>
  </w:abstractNum>
  <w:abstractNum w:abstractNumId="65">
    <w:nsid w:val="40AF3741"/>
    <w:multiLevelType w:val="hybridMultilevel"/>
    <w:lvl w:ilvl="0" w:tplc="3555B03E">
      <w:start w:val="1"/>
      <w:numFmt w:val="bullet"/>
      <w:suff w:val="tab"/>
      <w:lvlText w:val="·"/>
      <w:lvlJc w:val="left"/>
      <w:pPr>
        <w:ind w:hanging="360" w:left="720"/>
      </w:pPr>
      <w:rPr>
        <w:rFonts w:ascii="Symbol" w:hAnsi="Symbol" w:cs="Symbol" w:eastAsia="Symbol"/>
        <w:color w:val="auto"/>
      </w:rPr>
    </w:lvl>
    <w:lvl w:ilvl="1" w:tplc="6B91A8D3">
      <w:start w:val="1"/>
      <w:numFmt w:val="bullet"/>
      <w:suff w:val="tab"/>
      <w:lvlText w:val="o"/>
      <w:lvlJc w:val="left"/>
      <w:pPr>
        <w:ind w:hanging="360" w:left="1440"/>
      </w:pPr>
      <w:rPr>
        <w:rFonts w:ascii="Symbol" w:hAnsi="Symbol"/>
      </w:rPr>
    </w:lvl>
    <w:lvl w:ilvl="2" w:tplc="726276DF">
      <w:start w:val="1"/>
      <w:numFmt w:val="bullet"/>
      <w:suff w:val="tab"/>
      <w:lvlText w:val="·"/>
      <w:lvlJc w:val="left"/>
      <w:pPr>
        <w:ind w:hanging="360" w:left="2160"/>
      </w:pPr>
      <w:rPr>
        <w:rFonts w:ascii="Symbol" w:hAnsi="Symbol"/>
      </w:rPr>
    </w:lvl>
    <w:lvl w:ilvl="3" w:tplc="511E69C6">
      <w:start w:val="1"/>
      <w:numFmt w:val="bullet"/>
      <w:suff w:val="tab"/>
      <w:lvlText w:val="o"/>
      <w:lvlJc w:val="left"/>
      <w:pPr>
        <w:ind w:hanging="360" w:left="2880"/>
      </w:pPr>
      <w:rPr>
        <w:rFonts w:ascii="Symbol" w:hAnsi="Symbol"/>
      </w:rPr>
    </w:lvl>
    <w:lvl w:ilvl="4" w:tplc="68EED9E3">
      <w:start w:val="1"/>
      <w:numFmt w:val="bullet"/>
      <w:suff w:val="tab"/>
      <w:lvlText w:val="·"/>
      <w:lvlJc w:val="left"/>
      <w:pPr>
        <w:ind w:hanging="360" w:left="3600"/>
      </w:pPr>
      <w:rPr>
        <w:rFonts w:ascii="Symbol" w:hAnsi="Symbol"/>
      </w:rPr>
    </w:lvl>
    <w:lvl w:ilvl="5" w:tplc="2EB95A2D">
      <w:start w:val="1"/>
      <w:numFmt w:val="bullet"/>
      <w:suff w:val="tab"/>
      <w:lvlText w:val="o"/>
      <w:lvlJc w:val="left"/>
      <w:pPr>
        <w:ind w:hanging="360" w:left="4320"/>
      </w:pPr>
      <w:rPr>
        <w:rFonts w:ascii="Symbol" w:hAnsi="Symbol"/>
      </w:rPr>
    </w:lvl>
    <w:lvl w:ilvl="6" w:tplc="784A2A67">
      <w:start w:val="1"/>
      <w:numFmt w:val="bullet"/>
      <w:suff w:val="tab"/>
      <w:lvlText w:val="·"/>
      <w:lvlJc w:val="left"/>
      <w:pPr>
        <w:ind w:hanging="360" w:left="5040"/>
      </w:pPr>
      <w:rPr>
        <w:rFonts w:ascii="Symbol" w:hAnsi="Symbol"/>
      </w:rPr>
    </w:lvl>
    <w:lvl w:ilvl="7" w:tplc="0919BCD3">
      <w:start w:val="1"/>
      <w:numFmt w:val="bullet"/>
      <w:suff w:val="tab"/>
      <w:lvlText w:val="o"/>
      <w:lvlJc w:val="left"/>
      <w:pPr>
        <w:ind w:hanging="360" w:left="5760"/>
      </w:pPr>
      <w:rPr>
        <w:rFonts w:ascii="Symbol" w:hAnsi="Symbol"/>
      </w:rPr>
    </w:lvl>
    <w:lvl w:ilvl="8" w:tplc="1DCE45E6">
      <w:start w:val="1"/>
      <w:numFmt w:val="bullet"/>
      <w:suff w:val="tab"/>
      <w:lvlText w:val="·"/>
      <w:lvlJc w:val="left"/>
      <w:pPr>
        <w:ind w:hanging="360" w:left="6480"/>
      </w:pPr>
      <w:rPr>
        <w:rFonts w:ascii="Symbol" w:hAnsi="Symbol"/>
      </w:rPr>
    </w:lvl>
  </w:abstractNum>
  <w:abstractNum w:abstractNumId="66">
    <w:nsid w:val="552C739B"/>
    <w:multiLevelType w:val="hybridMultilevel"/>
    <w:lvl w:ilvl="0" w:tplc="4EF84CBF">
      <w:start w:val="1"/>
      <w:numFmt w:val="bullet"/>
      <w:suff w:val="tab"/>
      <w:lvlText w:val="·"/>
      <w:lvlJc w:val="left"/>
      <w:pPr>
        <w:ind w:hanging="360" w:left="720"/>
      </w:pPr>
      <w:rPr>
        <w:rFonts w:ascii="Symbol" w:hAnsi="Symbol" w:cs="Symbol" w:eastAsia="Symbol"/>
        <w:color w:val="auto"/>
      </w:rPr>
    </w:lvl>
    <w:lvl w:ilvl="1" w:tplc="79F487B3">
      <w:start w:val="1"/>
      <w:numFmt w:val="bullet"/>
      <w:suff w:val="tab"/>
      <w:lvlText w:val="o"/>
      <w:lvlJc w:val="left"/>
      <w:pPr>
        <w:ind w:hanging="360" w:left="1440"/>
      </w:pPr>
      <w:rPr>
        <w:rFonts w:ascii="Symbol" w:hAnsi="Symbol"/>
      </w:rPr>
    </w:lvl>
    <w:lvl w:ilvl="2" w:tplc="2C921F4A">
      <w:start w:val="1"/>
      <w:numFmt w:val="bullet"/>
      <w:suff w:val="tab"/>
      <w:lvlText w:val="·"/>
      <w:lvlJc w:val="left"/>
      <w:pPr>
        <w:ind w:hanging="360" w:left="2160"/>
      </w:pPr>
      <w:rPr>
        <w:rFonts w:ascii="Symbol" w:hAnsi="Symbol"/>
      </w:rPr>
    </w:lvl>
    <w:lvl w:ilvl="3" w:tplc="4155932E">
      <w:start w:val="1"/>
      <w:numFmt w:val="bullet"/>
      <w:suff w:val="tab"/>
      <w:lvlText w:val="o"/>
      <w:lvlJc w:val="left"/>
      <w:pPr>
        <w:ind w:hanging="360" w:left="2880"/>
      </w:pPr>
      <w:rPr>
        <w:rFonts w:ascii="Symbol" w:hAnsi="Symbol"/>
      </w:rPr>
    </w:lvl>
    <w:lvl w:ilvl="4" w:tplc="301FCFD7">
      <w:start w:val="1"/>
      <w:numFmt w:val="bullet"/>
      <w:suff w:val="tab"/>
      <w:lvlText w:val="·"/>
      <w:lvlJc w:val="left"/>
      <w:pPr>
        <w:ind w:hanging="360" w:left="3600"/>
      </w:pPr>
      <w:rPr>
        <w:rFonts w:ascii="Symbol" w:hAnsi="Symbol"/>
      </w:rPr>
    </w:lvl>
    <w:lvl w:ilvl="5" w:tplc="0F2683FE">
      <w:start w:val="1"/>
      <w:numFmt w:val="bullet"/>
      <w:suff w:val="tab"/>
      <w:lvlText w:val="o"/>
      <w:lvlJc w:val="left"/>
      <w:pPr>
        <w:ind w:hanging="360" w:left="4320"/>
      </w:pPr>
      <w:rPr>
        <w:rFonts w:ascii="Symbol" w:hAnsi="Symbol"/>
      </w:rPr>
    </w:lvl>
    <w:lvl w:ilvl="6" w:tplc="15131AA1">
      <w:start w:val="1"/>
      <w:numFmt w:val="bullet"/>
      <w:suff w:val="tab"/>
      <w:lvlText w:val="·"/>
      <w:lvlJc w:val="left"/>
      <w:pPr>
        <w:ind w:hanging="360" w:left="5040"/>
      </w:pPr>
      <w:rPr>
        <w:rFonts w:ascii="Symbol" w:hAnsi="Symbol"/>
      </w:rPr>
    </w:lvl>
    <w:lvl w:ilvl="7" w:tplc="3799A7FF">
      <w:start w:val="1"/>
      <w:numFmt w:val="bullet"/>
      <w:suff w:val="tab"/>
      <w:lvlText w:val="o"/>
      <w:lvlJc w:val="left"/>
      <w:pPr>
        <w:ind w:hanging="360" w:left="5760"/>
      </w:pPr>
      <w:rPr>
        <w:rFonts w:ascii="Symbol" w:hAnsi="Symbol"/>
      </w:rPr>
    </w:lvl>
    <w:lvl w:ilvl="8" w:tplc="0D5D0AFC">
      <w:start w:val="1"/>
      <w:numFmt w:val="bullet"/>
      <w:suff w:val="tab"/>
      <w:lvlText w:val="·"/>
      <w:lvlJc w:val="left"/>
      <w:pPr>
        <w:ind w:hanging="360" w:left="6480"/>
      </w:pPr>
      <w:rPr>
        <w:rFonts w:ascii="Symbol" w:hAnsi="Symbol"/>
      </w:rPr>
    </w:lvl>
  </w:abstractNum>
  <w:abstractNum w:abstractNumId="67">
    <w:nsid w:val="50B98475"/>
    <w:multiLevelType w:val="hybridMultilevel"/>
    <w:lvl w:ilvl="0" w:tplc="4E8A4246">
      <w:start w:val="1"/>
      <w:numFmt w:val="bullet"/>
      <w:suff w:val="tab"/>
      <w:lvlText w:val="·"/>
      <w:lvlJc w:val="left"/>
      <w:pPr>
        <w:ind w:hanging="360" w:left="720"/>
      </w:pPr>
      <w:rPr>
        <w:rFonts w:ascii="Symbol" w:hAnsi="Symbol" w:cs="Symbol" w:eastAsia="Symbol"/>
        <w:color w:val="auto"/>
      </w:rPr>
    </w:lvl>
    <w:lvl w:ilvl="1" w:tplc="474275ED">
      <w:start w:val="1"/>
      <w:numFmt w:val="bullet"/>
      <w:suff w:val="tab"/>
      <w:lvlText w:val="o"/>
      <w:lvlJc w:val="left"/>
      <w:pPr>
        <w:ind w:hanging="360" w:left="1440"/>
      </w:pPr>
      <w:rPr>
        <w:rFonts w:ascii="Symbol" w:hAnsi="Symbol"/>
      </w:rPr>
    </w:lvl>
    <w:lvl w:ilvl="2" w:tplc="5EDD4576">
      <w:start w:val="1"/>
      <w:numFmt w:val="bullet"/>
      <w:suff w:val="tab"/>
      <w:lvlText w:val="·"/>
      <w:lvlJc w:val="left"/>
      <w:pPr>
        <w:ind w:hanging="360" w:left="2160"/>
      </w:pPr>
      <w:rPr>
        <w:rFonts w:ascii="Symbol" w:hAnsi="Symbol"/>
      </w:rPr>
    </w:lvl>
    <w:lvl w:ilvl="3" w:tplc="1C1860FB">
      <w:start w:val="1"/>
      <w:numFmt w:val="bullet"/>
      <w:suff w:val="tab"/>
      <w:lvlText w:val="o"/>
      <w:lvlJc w:val="left"/>
      <w:pPr>
        <w:ind w:hanging="360" w:left="2880"/>
      </w:pPr>
      <w:rPr>
        <w:rFonts w:ascii="Symbol" w:hAnsi="Symbol"/>
      </w:rPr>
    </w:lvl>
    <w:lvl w:ilvl="4" w:tplc="44006823">
      <w:start w:val="1"/>
      <w:numFmt w:val="bullet"/>
      <w:suff w:val="tab"/>
      <w:lvlText w:val="·"/>
      <w:lvlJc w:val="left"/>
      <w:pPr>
        <w:ind w:hanging="360" w:left="3600"/>
      </w:pPr>
      <w:rPr>
        <w:rFonts w:ascii="Symbol" w:hAnsi="Symbol"/>
      </w:rPr>
    </w:lvl>
    <w:lvl w:ilvl="5" w:tplc="6DB7F88F">
      <w:start w:val="1"/>
      <w:numFmt w:val="bullet"/>
      <w:suff w:val="tab"/>
      <w:lvlText w:val="o"/>
      <w:lvlJc w:val="left"/>
      <w:pPr>
        <w:ind w:hanging="360" w:left="4320"/>
      </w:pPr>
      <w:rPr>
        <w:rFonts w:ascii="Symbol" w:hAnsi="Symbol"/>
      </w:rPr>
    </w:lvl>
    <w:lvl w:ilvl="6" w:tplc="2436AEDD">
      <w:start w:val="1"/>
      <w:numFmt w:val="bullet"/>
      <w:suff w:val="tab"/>
      <w:lvlText w:val="·"/>
      <w:lvlJc w:val="left"/>
      <w:pPr>
        <w:ind w:hanging="360" w:left="5040"/>
      </w:pPr>
      <w:rPr>
        <w:rFonts w:ascii="Symbol" w:hAnsi="Symbol"/>
      </w:rPr>
    </w:lvl>
    <w:lvl w:ilvl="7" w:tplc="7FAED447">
      <w:start w:val="1"/>
      <w:numFmt w:val="bullet"/>
      <w:suff w:val="tab"/>
      <w:lvlText w:val="o"/>
      <w:lvlJc w:val="left"/>
      <w:pPr>
        <w:ind w:hanging="360" w:left="5760"/>
      </w:pPr>
      <w:rPr>
        <w:rFonts w:ascii="Symbol" w:hAnsi="Symbol"/>
      </w:rPr>
    </w:lvl>
    <w:lvl w:ilvl="8" w:tplc="74D99E81">
      <w:start w:val="1"/>
      <w:numFmt w:val="bullet"/>
      <w:suff w:val="tab"/>
      <w:lvlText w:val="·"/>
      <w:lvlJc w:val="left"/>
      <w:pPr>
        <w:ind w:hanging="360" w:left="6480"/>
      </w:pPr>
      <w:rPr>
        <w:rFonts w:ascii="Symbol" w:hAnsi="Symbol"/>
      </w:rPr>
    </w:lvl>
  </w:abstractNum>
  <w:abstractNum w:abstractNumId="68">
    <w:nsid w:val="06806A70"/>
    <w:multiLevelType w:val="hybridMultilevel"/>
    <w:lvl w:ilvl="0" w:tplc="652F0C7F">
      <w:start w:val="1"/>
      <w:numFmt w:val="bullet"/>
      <w:suff w:val="tab"/>
      <w:lvlText w:val="·"/>
      <w:lvlJc w:val="left"/>
      <w:pPr>
        <w:ind w:hanging="360" w:left="720"/>
      </w:pPr>
      <w:rPr>
        <w:rFonts w:ascii="Symbol" w:hAnsi="Symbol" w:cs="Symbol" w:eastAsia="Symbol"/>
        <w:color w:val="auto"/>
      </w:rPr>
    </w:lvl>
    <w:lvl w:ilvl="1" w:tplc="5295EC83">
      <w:start w:val="1"/>
      <w:numFmt w:val="bullet"/>
      <w:suff w:val="tab"/>
      <w:lvlText w:val="o"/>
      <w:lvlJc w:val="left"/>
      <w:pPr>
        <w:ind w:hanging="360" w:left="1440"/>
      </w:pPr>
      <w:rPr>
        <w:rFonts w:ascii="Symbol" w:hAnsi="Symbol"/>
      </w:rPr>
    </w:lvl>
    <w:lvl w:ilvl="2" w:tplc="6ECEBA66">
      <w:start w:val="1"/>
      <w:numFmt w:val="bullet"/>
      <w:suff w:val="tab"/>
      <w:lvlText w:val="·"/>
      <w:lvlJc w:val="left"/>
      <w:pPr>
        <w:ind w:hanging="360" w:left="2160"/>
      </w:pPr>
      <w:rPr>
        <w:rFonts w:ascii="Symbol" w:hAnsi="Symbol"/>
      </w:rPr>
    </w:lvl>
    <w:lvl w:ilvl="3" w:tplc="11311567">
      <w:start w:val="1"/>
      <w:numFmt w:val="bullet"/>
      <w:suff w:val="tab"/>
      <w:lvlText w:val="o"/>
      <w:lvlJc w:val="left"/>
      <w:pPr>
        <w:ind w:hanging="360" w:left="2880"/>
      </w:pPr>
      <w:rPr>
        <w:rFonts w:ascii="Symbol" w:hAnsi="Symbol"/>
      </w:rPr>
    </w:lvl>
    <w:lvl w:ilvl="4" w:tplc="2CC129D7">
      <w:start w:val="1"/>
      <w:numFmt w:val="bullet"/>
      <w:suff w:val="tab"/>
      <w:lvlText w:val="·"/>
      <w:lvlJc w:val="left"/>
      <w:pPr>
        <w:ind w:hanging="360" w:left="3600"/>
      </w:pPr>
      <w:rPr>
        <w:rFonts w:ascii="Symbol" w:hAnsi="Symbol"/>
      </w:rPr>
    </w:lvl>
    <w:lvl w:ilvl="5" w:tplc="10FF09EB">
      <w:start w:val="1"/>
      <w:numFmt w:val="bullet"/>
      <w:suff w:val="tab"/>
      <w:lvlText w:val="o"/>
      <w:lvlJc w:val="left"/>
      <w:pPr>
        <w:ind w:hanging="360" w:left="4320"/>
      </w:pPr>
      <w:rPr>
        <w:rFonts w:ascii="Symbol" w:hAnsi="Symbol"/>
      </w:rPr>
    </w:lvl>
    <w:lvl w:ilvl="6" w:tplc="33521471">
      <w:start w:val="1"/>
      <w:numFmt w:val="bullet"/>
      <w:suff w:val="tab"/>
      <w:lvlText w:val="·"/>
      <w:lvlJc w:val="left"/>
      <w:pPr>
        <w:ind w:hanging="360" w:left="5040"/>
      </w:pPr>
      <w:rPr>
        <w:rFonts w:ascii="Symbol" w:hAnsi="Symbol"/>
      </w:rPr>
    </w:lvl>
    <w:lvl w:ilvl="7" w:tplc="56B2BC85">
      <w:start w:val="1"/>
      <w:numFmt w:val="bullet"/>
      <w:suff w:val="tab"/>
      <w:lvlText w:val="o"/>
      <w:lvlJc w:val="left"/>
      <w:pPr>
        <w:ind w:hanging="360" w:left="5760"/>
      </w:pPr>
      <w:rPr>
        <w:rFonts w:ascii="Symbol" w:hAnsi="Symbol"/>
      </w:rPr>
    </w:lvl>
    <w:lvl w:ilvl="8" w:tplc="36A10F05">
      <w:start w:val="1"/>
      <w:numFmt w:val="bullet"/>
      <w:suff w:val="tab"/>
      <w:lvlText w:val="·"/>
      <w:lvlJc w:val="left"/>
      <w:pPr>
        <w:ind w:hanging="360" w:left="6480"/>
      </w:pPr>
      <w:rPr>
        <w:rFonts w:ascii="Symbol" w:hAnsi="Symbol"/>
      </w:rPr>
    </w:lvl>
  </w:abstractNum>
  <w:abstractNum w:abstractNumId="69">
    <w:nsid w:val="62BB8714"/>
    <w:multiLevelType w:val="hybridMultilevel"/>
    <w:lvl w:ilvl="0" w:tplc="398DAAB8">
      <w:start w:val="1"/>
      <w:numFmt w:val="bullet"/>
      <w:suff w:val="tab"/>
      <w:lvlText w:val="·"/>
      <w:lvlJc w:val="left"/>
      <w:pPr>
        <w:ind w:hanging="360" w:left="720"/>
      </w:pPr>
      <w:rPr>
        <w:rFonts w:ascii="Symbol" w:hAnsi="Symbol" w:cs="Symbol" w:eastAsia="Symbol"/>
        <w:color w:val="auto"/>
      </w:rPr>
    </w:lvl>
    <w:lvl w:ilvl="1" w:tplc="57B83EDD">
      <w:start w:val="1"/>
      <w:numFmt w:val="bullet"/>
      <w:suff w:val="tab"/>
      <w:lvlText w:val="o"/>
      <w:lvlJc w:val="left"/>
      <w:pPr>
        <w:ind w:hanging="360" w:left="1440"/>
      </w:pPr>
      <w:rPr>
        <w:rFonts w:ascii="Symbol" w:hAnsi="Symbol"/>
      </w:rPr>
    </w:lvl>
    <w:lvl w:ilvl="2" w:tplc="3F813090">
      <w:start w:val="1"/>
      <w:numFmt w:val="bullet"/>
      <w:suff w:val="tab"/>
      <w:lvlText w:val="·"/>
      <w:lvlJc w:val="left"/>
      <w:pPr>
        <w:ind w:hanging="360" w:left="2160"/>
      </w:pPr>
      <w:rPr>
        <w:rFonts w:ascii="Symbol" w:hAnsi="Symbol"/>
      </w:rPr>
    </w:lvl>
    <w:lvl w:ilvl="3" w:tplc="0400900E">
      <w:start w:val="1"/>
      <w:numFmt w:val="bullet"/>
      <w:suff w:val="tab"/>
      <w:lvlText w:val="o"/>
      <w:lvlJc w:val="left"/>
      <w:pPr>
        <w:ind w:hanging="360" w:left="2880"/>
      </w:pPr>
      <w:rPr>
        <w:rFonts w:ascii="Symbol" w:hAnsi="Symbol"/>
      </w:rPr>
    </w:lvl>
    <w:lvl w:ilvl="4" w:tplc="2AC0CB82">
      <w:start w:val="1"/>
      <w:numFmt w:val="bullet"/>
      <w:suff w:val="tab"/>
      <w:lvlText w:val="·"/>
      <w:lvlJc w:val="left"/>
      <w:pPr>
        <w:ind w:hanging="360" w:left="3600"/>
      </w:pPr>
      <w:rPr>
        <w:rFonts w:ascii="Symbol" w:hAnsi="Symbol"/>
      </w:rPr>
    </w:lvl>
    <w:lvl w:ilvl="5" w:tplc="0B0AFAA6">
      <w:start w:val="1"/>
      <w:numFmt w:val="bullet"/>
      <w:suff w:val="tab"/>
      <w:lvlText w:val="o"/>
      <w:lvlJc w:val="left"/>
      <w:pPr>
        <w:ind w:hanging="360" w:left="4320"/>
      </w:pPr>
      <w:rPr>
        <w:rFonts w:ascii="Symbol" w:hAnsi="Symbol"/>
      </w:rPr>
    </w:lvl>
    <w:lvl w:ilvl="6" w:tplc="72634A19">
      <w:start w:val="1"/>
      <w:numFmt w:val="bullet"/>
      <w:suff w:val="tab"/>
      <w:lvlText w:val="·"/>
      <w:lvlJc w:val="left"/>
      <w:pPr>
        <w:ind w:hanging="360" w:left="5040"/>
      </w:pPr>
      <w:rPr>
        <w:rFonts w:ascii="Symbol" w:hAnsi="Symbol"/>
      </w:rPr>
    </w:lvl>
    <w:lvl w:ilvl="7" w:tplc="093AF6E7">
      <w:start w:val="1"/>
      <w:numFmt w:val="bullet"/>
      <w:suff w:val="tab"/>
      <w:lvlText w:val="o"/>
      <w:lvlJc w:val="left"/>
      <w:pPr>
        <w:ind w:hanging="360" w:left="5760"/>
      </w:pPr>
      <w:rPr>
        <w:rFonts w:ascii="Symbol" w:hAnsi="Symbol"/>
      </w:rPr>
    </w:lvl>
    <w:lvl w:ilvl="8" w:tplc="2042C62D">
      <w:start w:val="1"/>
      <w:numFmt w:val="bullet"/>
      <w:suff w:val="tab"/>
      <w:lvlText w:val="·"/>
      <w:lvlJc w:val="left"/>
      <w:pPr>
        <w:ind w:hanging="360" w:left="6480"/>
      </w:pPr>
      <w:rPr>
        <w:rFonts w:ascii="Symbol" w:hAnsi="Symbol"/>
      </w:rPr>
    </w:lvl>
  </w:abstractNum>
  <w:abstractNum w:abstractNumId="70">
    <w:nsid w:val="4B8FF4B4"/>
    <w:multiLevelType w:val="hybridMultilevel"/>
    <w:lvl w:ilvl="0" w:tplc="7820B822">
      <w:start w:val="1"/>
      <w:numFmt w:val="bullet"/>
      <w:suff w:val="tab"/>
      <w:lvlText w:val="·"/>
      <w:lvlJc w:val="left"/>
      <w:pPr>
        <w:ind w:hanging="360" w:left="720"/>
      </w:pPr>
      <w:rPr>
        <w:rFonts w:ascii="Symbol" w:hAnsi="Symbol" w:cs="Symbol" w:eastAsia="Symbol"/>
        <w:color w:val="auto"/>
      </w:rPr>
    </w:lvl>
    <w:lvl w:ilvl="1" w:tplc="03F019FE">
      <w:start w:val="1"/>
      <w:numFmt w:val="bullet"/>
      <w:suff w:val="tab"/>
      <w:lvlText w:val="o"/>
      <w:lvlJc w:val="left"/>
      <w:pPr>
        <w:ind w:hanging="360" w:left="1440"/>
      </w:pPr>
      <w:rPr>
        <w:rFonts w:ascii="Symbol" w:hAnsi="Symbol"/>
      </w:rPr>
    </w:lvl>
    <w:lvl w:ilvl="2" w:tplc="1D957C7A">
      <w:start w:val="1"/>
      <w:numFmt w:val="bullet"/>
      <w:suff w:val="tab"/>
      <w:lvlText w:val="·"/>
      <w:lvlJc w:val="left"/>
      <w:pPr>
        <w:ind w:hanging="360" w:left="2160"/>
      </w:pPr>
      <w:rPr>
        <w:rFonts w:ascii="Symbol" w:hAnsi="Symbol"/>
      </w:rPr>
    </w:lvl>
    <w:lvl w:ilvl="3" w:tplc="362FCC69">
      <w:start w:val="1"/>
      <w:numFmt w:val="bullet"/>
      <w:suff w:val="tab"/>
      <w:lvlText w:val="o"/>
      <w:lvlJc w:val="left"/>
      <w:pPr>
        <w:ind w:hanging="360" w:left="2880"/>
      </w:pPr>
      <w:rPr>
        <w:rFonts w:ascii="Symbol" w:hAnsi="Symbol"/>
      </w:rPr>
    </w:lvl>
    <w:lvl w:ilvl="4" w:tplc="17FCFB59">
      <w:start w:val="1"/>
      <w:numFmt w:val="bullet"/>
      <w:suff w:val="tab"/>
      <w:lvlText w:val="·"/>
      <w:lvlJc w:val="left"/>
      <w:pPr>
        <w:ind w:hanging="360" w:left="3600"/>
      </w:pPr>
      <w:rPr>
        <w:rFonts w:ascii="Symbol" w:hAnsi="Symbol"/>
      </w:rPr>
    </w:lvl>
    <w:lvl w:ilvl="5" w:tplc="64F2203F">
      <w:start w:val="1"/>
      <w:numFmt w:val="bullet"/>
      <w:suff w:val="tab"/>
      <w:lvlText w:val="o"/>
      <w:lvlJc w:val="left"/>
      <w:pPr>
        <w:ind w:hanging="360" w:left="4320"/>
      </w:pPr>
      <w:rPr>
        <w:rFonts w:ascii="Symbol" w:hAnsi="Symbol"/>
      </w:rPr>
    </w:lvl>
    <w:lvl w:ilvl="6" w:tplc="78D50470">
      <w:start w:val="1"/>
      <w:numFmt w:val="bullet"/>
      <w:suff w:val="tab"/>
      <w:lvlText w:val="·"/>
      <w:lvlJc w:val="left"/>
      <w:pPr>
        <w:ind w:hanging="360" w:left="5040"/>
      </w:pPr>
      <w:rPr>
        <w:rFonts w:ascii="Symbol" w:hAnsi="Symbol"/>
      </w:rPr>
    </w:lvl>
    <w:lvl w:ilvl="7" w:tplc="0A591774">
      <w:start w:val="1"/>
      <w:numFmt w:val="bullet"/>
      <w:suff w:val="tab"/>
      <w:lvlText w:val="o"/>
      <w:lvlJc w:val="left"/>
      <w:pPr>
        <w:ind w:hanging="360" w:left="5760"/>
      </w:pPr>
      <w:rPr>
        <w:rFonts w:ascii="Symbol" w:hAnsi="Symbol"/>
      </w:rPr>
    </w:lvl>
    <w:lvl w:ilvl="8" w:tplc="2AB42D30">
      <w:start w:val="1"/>
      <w:numFmt w:val="bullet"/>
      <w:suff w:val="tab"/>
      <w:lvlText w:val="·"/>
      <w:lvlJc w:val="left"/>
      <w:pPr>
        <w:ind w:hanging="360" w:left="6480"/>
      </w:pPr>
      <w:rPr>
        <w:rFonts w:ascii="Symbol" w:hAnsi="Symbol"/>
      </w:rPr>
    </w:lvl>
  </w:abstractNum>
  <w:abstractNum w:abstractNumId="71">
    <w:nsid w:val="5FD14397"/>
    <w:multiLevelType w:val="hybridMultilevel"/>
    <w:lvl w:ilvl="0" w:tplc="28397AD2">
      <w:start w:val="1"/>
      <w:numFmt w:val="bullet"/>
      <w:suff w:val="tab"/>
      <w:lvlText w:val="·"/>
      <w:lvlJc w:val="left"/>
      <w:pPr>
        <w:ind w:hanging="360" w:left="720"/>
      </w:pPr>
      <w:rPr>
        <w:rFonts w:ascii="Symbol" w:hAnsi="Symbol" w:cs="Symbol" w:eastAsia="Symbol"/>
      </w:rPr>
    </w:lvl>
    <w:lvl w:ilvl="1" w:tplc="233DEA97">
      <w:start w:val="1"/>
      <w:numFmt w:val="bullet"/>
      <w:suff w:val="tab"/>
      <w:lvlText w:val="o"/>
      <w:lvlJc w:val="left"/>
      <w:pPr>
        <w:ind w:hanging="360" w:left="1440"/>
      </w:pPr>
      <w:rPr>
        <w:rFonts w:ascii="Symbol" w:hAnsi="Symbol"/>
      </w:rPr>
    </w:lvl>
    <w:lvl w:ilvl="2" w:tplc="548AAD45">
      <w:start w:val="1"/>
      <w:numFmt w:val="bullet"/>
      <w:suff w:val="tab"/>
      <w:lvlText w:val="·"/>
      <w:lvlJc w:val="left"/>
      <w:pPr>
        <w:ind w:hanging="360" w:left="2160"/>
      </w:pPr>
      <w:rPr>
        <w:rFonts w:ascii="Symbol" w:hAnsi="Symbol"/>
      </w:rPr>
    </w:lvl>
    <w:lvl w:ilvl="3" w:tplc="4E19F732">
      <w:start w:val="1"/>
      <w:numFmt w:val="bullet"/>
      <w:suff w:val="tab"/>
      <w:lvlText w:val="o"/>
      <w:lvlJc w:val="left"/>
      <w:pPr>
        <w:ind w:hanging="360" w:left="2880"/>
      </w:pPr>
      <w:rPr>
        <w:rFonts w:ascii="Symbol" w:hAnsi="Symbol"/>
      </w:rPr>
    </w:lvl>
    <w:lvl w:ilvl="4" w:tplc="7EBDD6F4">
      <w:start w:val="1"/>
      <w:numFmt w:val="bullet"/>
      <w:suff w:val="tab"/>
      <w:lvlText w:val="·"/>
      <w:lvlJc w:val="left"/>
      <w:pPr>
        <w:ind w:hanging="360" w:left="3600"/>
      </w:pPr>
      <w:rPr>
        <w:rFonts w:ascii="Symbol" w:hAnsi="Symbol"/>
      </w:rPr>
    </w:lvl>
    <w:lvl w:ilvl="5" w:tplc="7A3EEC04">
      <w:start w:val="1"/>
      <w:numFmt w:val="bullet"/>
      <w:suff w:val="tab"/>
      <w:lvlText w:val="o"/>
      <w:lvlJc w:val="left"/>
      <w:pPr>
        <w:ind w:hanging="360" w:left="4320"/>
      </w:pPr>
      <w:rPr>
        <w:rFonts w:ascii="Symbol" w:hAnsi="Symbol"/>
      </w:rPr>
    </w:lvl>
    <w:lvl w:ilvl="6" w:tplc="39C480D6">
      <w:start w:val="1"/>
      <w:numFmt w:val="bullet"/>
      <w:suff w:val="tab"/>
      <w:lvlText w:val="·"/>
      <w:lvlJc w:val="left"/>
      <w:pPr>
        <w:ind w:hanging="360" w:left="5040"/>
      </w:pPr>
      <w:rPr>
        <w:rFonts w:ascii="Symbol" w:hAnsi="Symbol"/>
      </w:rPr>
    </w:lvl>
    <w:lvl w:ilvl="7" w:tplc="3754E9EA">
      <w:start w:val="1"/>
      <w:numFmt w:val="bullet"/>
      <w:suff w:val="tab"/>
      <w:lvlText w:val="o"/>
      <w:lvlJc w:val="left"/>
      <w:pPr>
        <w:ind w:hanging="360" w:left="5760"/>
      </w:pPr>
      <w:rPr>
        <w:rFonts w:ascii="Symbol" w:hAnsi="Symbol"/>
      </w:rPr>
    </w:lvl>
    <w:lvl w:ilvl="8" w:tplc="63A32C0D">
      <w:start w:val="1"/>
      <w:numFmt w:val="bullet"/>
      <w:suff w:val="tab"/>
      <w:lvlText w:val="·"/>
      <w:lvlJc w:val="left"/>
      <w:pPr>
        <w:ind w:hanging="360" w:left="6480"/>
      </w:pPr>
      <w:rPr>
        <w:rFonts w:ascii="Symbol" w:hAnsi="Symbol"/>
      </w:rPr>
    </w:lvl>
  </w:abstractNum>
  <w:abstractNum w:abstractNumId="72">
    <w:nsid w:val="2D60F34D"/>
    <w:multiLevelType w:val="hybridMultilevel"/>
    <w:lvl w:ilvl="0" w:tplc="38F3619A">
      <w:start w:val="1"/>
      <w:numFmt w:val="bullet"/>
      <w:suff w:val="tab"/>
      <w:lvlText w:val="·"/>
      <w:lvlJc w:val="left"/>
      <w:pPr>
        <w:ind w:hanging="360" w:left="720"/>
      </w:pPr>
      <w:rPr>
        <w:rFonts w:ascii="Symbol" w:hAnsi="Symbol" w:cs="Symbol" w:eastAsia="Symbol"/>
        <w:color w:val="auto"/>
      </w:rPr>
    </w:lvl>
    <w:lvl w:ilvl="1" w:tplc="161FEF4F">
      <w:start w:val="1"/>
      <w:numFmt w:val="bullet"/>
      <w:suff w:val="tab"/>
      <w:lvlText w:val="o"/>
      <w:lvlJc w:val="left"/>
      <w:pPr>
        <w:ind w:hanging="360" w:left="1440"/>
      </w:pPr>
      <w:rPr>
        <w:rFonts w:ascii="Symbol" w:hAnsi="Symbol"/>
      </w:rPr>
    </w:lvl>
    <w:lvl w:ilvl="2" w:tplc="770D3689">
      <w:start w:val="1"/>
      <w:numFmt w:val="bullet"/>
      <w:suff w:val="tab"/>
      <w:lvlText w:val="·"/>
      <w:lvlJc w:val="left"/>
      <w:pPr>
        <w:ind w:hanging="360" w:left="2160"/>
      </w:pPr>
      <w:rPr>
        <w:rFonts w:ascii="Symbol" w:hAnsi="Symbol"/>
      </w:rPr>
    </w:lvl>
    <w:lvl w:ilvl="3" w:tplc="300960E6">
      <w:start w:val="1"/>
      <w:numFmt w:val="bullet"/>
      <w:suff w:val="tab"/>
      <w:lvlText w:val="o"/>
      <w:lvlJc w:val="left"/>
      <w:pPr>
        <w:ind w:hanging="360" w:left="2880"/>
      </w:pPr>
      <w:rPr>
        <w:rFonts w:ascii="Symbol" w:hAnsi="Symbol"/>
      </w:rPr>
    </w:lvl>
    <w:lvl w:ilvl="4" w:tplc="56EB9C5B">
      <w:start w:val="1"/>
      <w:numFmt w:val="bullet"/>
      <w:suff w:val="tab"/>
      <w:lvlText w:val="·"/>
      <w:lvlJc w:val="left"/>
      <w:pPr>
        <w:ind w:hanging="360" w:left="3600"/>
      </w:pPr>
      <w:rPr>
        <w:rFonts w:ascii="Symbol" w:hAnsi="Symbol"/>
      </w:rPr>
    </w:lvl>
    <w:lvl w:ilvl="5" w:tplc="5B53C452">
      <w:start w:val="1"/>
      <w:numFmt w:val="bullet"/>
      <w:suff w:val="tab"/>
      <w:lvlText w:val="o"/>
      <w:lvlJc w:val="left"/>
      <w:pPr>
        <w:ind w:hanging="360" w:left="4320"/>
      </w:pPr>
      <w:rPr>
        <w:rFonts w:ascii="Symbol" w:hAnsi="Symbol"/>
      </w:rPr>
    </w:lvl>
    <w:lvl w:ilvl="6" w:tplc="0B0F7DE0">
      <w:start w:val="1"/>
      <w:numFmt w:val="bullet"/>
      <w:suff w:val="tab"/>
      <w:lvlText w:val="·"/>
      <w:lvlJc w:val="left"/>
      <w:pPr>
        <w:ind w:hanging="360" w:left="5040"/>
      </w:pPr>
      <w:rPr>
        <w:rFonts w:ascii="Symbol" w:hAnsi="Symbol"/>
      </w:rPr>
    </w:lvl>
    <w:lvl w:ilvl="7" w:tplc="3D82DAD9">
      <w:start w:val="1"/>
      <w:numFmt w:val="bullet"/>
      <w:suff w:val="tab"/>
      <w:lvlText w:val="o"/>
      <w:lvlJc w:val="left"/>
      <w:pPr>
        <w:ind w:hanging="360" w:left="5760"/>
      </w:pPr>
      <w:rPr>
        <w:rFonts w:ascii="Symbol" w:hAnsi="Symbol"/>
      </w:rPr>
    </w:lvl>
    <w:lvl w:ilvl="8" w:tplc="72B111BF">
      <w:start w:val="1"/>
      <w:numFmt w:val="bullet"/>
      <w:suff w:val="tab"/>
      <w:lvlText w:val="·"/>
      <w:lvlJc w:val="left"/>
      <w:pPr>
        <w:ind w:hanging="360" w:left="6480"/>
      </w:pPr>
      <w:rPr>
        <w:rFonts w:ascii="Symbol" w:hAnsi="Symbol"/>
      </w:rPr>
    </w:lvl>
  </w:abstractNum>
  <w:abstractNum w:abstractNumId="73">
    <w:nsid w:val="56B00337"/>
    <w:multiLevelType w:val="hybridMultilevel"/>
    <w:lvl w:ilvl="0" w:tplc="5C444B87">
      <w:start w:val="1"/>
      <w:numFmt w:val="bullet"/>
      <w:suff w:val="tab"/>
      <w:lvlText w:val="·"/>
      <w:lvlJc w:val="left"/>
      <w:pPr>
        <w:ind w:hanging="360" w:left="720"/>
      </w:pPr>
      <w:rPr>
        <w:rFonts w:ascii="Symbol" w:hAnsi="Symbol" w:cs="Symbol" w:eastAsia="Symbol"/>
        <w:color w:val="auto"/>
      </w:rPr>
    </w:lvl>
    <w:lvl w:ilvl="1" w:tplc="76F80A7F">
      <w:start w:val="1"/>
      <w:numFmt w:val="bullet"/>
      <w:suff w:val="tab"/>
      <w:lvlText w:val="o"/>
      <w:lvlJc w:val="left"/>
      <w:pPr>
        <w:ind w:hanging="360" w:left="1440"/>
      </w:pPr>
      <w:rPr>
        <w:rFonts w:ascii="Symbol" w:hAnsi="Symbol"/>
      </w:rPr>
    </w:lvl>
    <w:lvl w:ilvl="2" w:tplc="4893DB79">
      <w:start w:val="1"/>
      <w:numFmt w:val="bullet"/>
      <w:suff w:val="tab"/>
      <w:lvlText w:val="·"/>
      <w:lvlJc w:val="left"/>
      <w:pPr>
        <w:ind w:hanging="360" w:left="2160"/>
      </w:pPr>
      <w:rPr>
        <w:rFonts w:ascii="Symbol" w:hAnsi="Symbol"/>
      </w:rPr>
    </w:lvl>
    <w:lvl w:ilvl="3" w:tplc="44D66799">
      <w:start w:val="1"/>
      <w:numFmt w:val="bullet"/>
      <w:suff w:val="tab"/>
      <w:lvlText w:val="o"/>
      <w:lvlJc w:val="left"/>
      <w:pPr>
        <w:ind w:hanging="360" w:left="2880"/>
      </w:pPr>
      <w:rPr>
        <w:rFonts w:ascii="Symbol" w:hAnsi="Symbol"/>
      </w:rPr>
    </w:lvl>
    <w:lvl w:ilvl="4" w:tplc="48F3A7A3">
      <w:start w:val="1"/>
      <w:numFmt w:val="bullet"/>
      <w:suff w:val="tab"/>
      <w:lvlText w:val="·"/>
      <w:lvlJc w:val="left"/>
      <w:pPr>
        <w:ind w:hanging="360" w:left="3600"/>
      </w:pPr>
      <w:rPr>
        <w:rFonts w:ascii="Symbol" w:hAnsi="Symbol"/>
      </w:rPr>
    </w:lvl>
    <w:lvl w:ilvl="5" w:tplc="391A2F43">
      <w:start w:val="1"/>
      <w:numFmt w:val="bullet"/>
      <w:suff w:val="tab"/>
      <w:lvlText w:val="o"/>
      <w:lvlJc w:val="left"/>
      <w:pPr>
        <w:ind w:hanging="360" w:left="4320"/>
      </w:pPr>
      <w:rPr>
        <w:rFonts w:ascii="Symbol" w:hAnsi="Symbol"/>
      </w:rPr>
    </w:lvl>
    <w:lvl w:ilvl="6" w:tplc="2B63C5F5">
      <w:start w:val="1"/>
      <w:numFmt w:val="bullet"/>
      <w:suff w:val="tab"/>
      <w:lvlText w:val="·"/>
      <w:lvlJc w:val="left"/>
      <w:pPr>
        <w:ind w:hanging="360" w:left="5040"/>
      </w:pPr>
      <w:rPr>
        <w:rFonts w:ascii="Symbol" w:hAnsi="Symbol"/>
      </w:rPr>
    </w:lvl>
    <w:lvl w:ilvl="7" w:tplc="70CCE92B">
      <w:start w:val="1"/>
      <w:numFmt w:val="bullet"/>
      <w:suff w:val="tab"/>
      <w:lvlText w:val="o"/>
      <w:lvlJc w:val="left"/>
      <w:pPr>
        <w:ind w:hanging="360" w:left="5760"/>
      </w:pPr>
      <w:rPr>
        <w:rFonts w:ascii="Symbol" w:hAnsi="Symbol"/>
      </w:rPr>
    </w:lvl>
    <w:lvl w:ilvl="8" w:tplc="1327ACD1">
      <w:start w:val="1"/>
      <w:numFmt w:val="bullet"/>
      <w:suff w:val="tab"/>
      <w:lvlText w:val="·"/>
      <w:lvlJc w:val="left"/>
      <w:pPr>
        <w:ind w:hanging="360" w:left="6480"/>
      </w:pPr>
      <w:rPr>
        <w:rFonts w:ascii="Symbol" w:hAnsi="Symbol"/>
      </w:rPr>
    </w:lvl>
  </w:abstractNum>
  <w:abstractNum w:abstractNumId="74">
    <w:nsid w:val="12114543"/>
    <w:multiLevelType w:val="hybridMultilevel"/>
    <w:lvl w:ilvl="0" w:tplc="3F620535">
      <w:start w:val="1"/>
      <w:numFmt w:val="bullet"/>
      <w:suff w:val="tab"/>
      <w:lvlText w:val="·"/>
      <w:lvlJc w:val="left"/>
      <w:pPr>
        <w:ind w:hanging="360" w:left="720"/>
      </w:pPr>
      <w:rPr>
        <w:rFonts w:ascii="Symbol" w:hAnsi="Symbol" w:cs="Symbol" w:eastAsia="Symbol"/>
        <w:color w:val="auto"/>
      </w:rPr>
    </w:lvl>
    <w:lvl w:ilvl="1" w:tplc="2F83AB3D">
      <w:start w:val="1"/>
      <w:numFmt w:val="bullet"/>
      <w:suff w:val="tab"/>
      <w:lvlText w:val="o"/>
      <w:lvlJc w:val="left"/>
      <w:pPr>
        <w:ind w:hanging="360" w:left="1440"/>
      </w:pPr>
      <w:rPr>
        <w:rFonts w:ascii="Symbol" w:hAnsi="Symbol"/>
      </w:rPr>
    </w:lvl>
    <w:lvl w:ilvl="2" w:tplc="0ED11527">
      <w:start w:val="1"/>
      <w:numFmt w:val="bullet"/>
      <w:suff w:val="tab"/>
      <w:lvlText w:val="·"/>
      <w:lvlJc w:val="left"/>
      <w:pPr>
        <w:ind w:hanging="360" w:left="2160"/>
      </w:pPr>
      <w:rPr>
        <w:rFonts w:ascii="Symbol" w:hAnsi="Symbol"/>
      </w:rPr>
    </w:lvl>
    <w:lvl w:ilvl="3" w:tplc="0405A4EF">
      <w:start w:val="1"/>
      <w:numFmt w:val="bullet"/>
      <w:suff w:val="tab"/>
      <w:lvlText w:val="o"/>
      <w:lvlJc w:val="left"/>
      <w:pPr>
        <w:ind w:hanging="360" w:left="2880"/>
      </w:pPr>
      <w:rPr>
        <w:rFonts w:ascii="Symbol" w:hAnsi="Symbol"/>
      </w:rPr>
    </w:lvl>
    <w:lvl w:ilvl="4" w:tplc="3BC5F9A9">
      <w:start w:val="1"/>
      <w:numFmt w:val="bullet"/>
      <w:suff w:val="tab"/>
      <w:lvlText w:val="·"/>
      <w:lvlJc w:val="left"/>
      <w:pPr>
        <w:ind w:hanging="360" w:left="3600"/>
      </w:pPr>
      <w:rPr>
        <w:rFonts w:ascii="Symbol" w:hAnsi="Symbol"/>
      </w:rPr>
    </w:lvl>
    <w:lvl w:ilvl="5" w:tplc="3147C5F2">
      <w:start w:val="1"/>
      <w:numFmt w:val="bullet"/>
      <w:suff w:val="tab"/>
      <w:lvlText w:val="o"/>
      <w:lvlJc w:val="left"/>
      <w:pPr>
        <w:ind w:hanging="360" w:left="4320"/>
      </w:pPr>
      <w:rPr>
        <w:rFonts w:ascii="Symbol" w:hAnsi="Symbol"/>
      </w:rPr>
    </w:lvl>
    <w:lvl w:ilvl="6" w:tplc="23426411">
      <w:start w:val="1"/>
      <w:numFmt w:val="bullet"/>
      <w:suff w:val="tab"/>
      <w:lvlText w:val="·"/>
      <w:lvlJc w:val="left"/>
      <w:pPr>
        <w:ind w:hanging="360" w:left="5040"/>
      </w:pPr>
      <w:rPr>
        <w:rFonts w:ascii="Symbol" w:hAnsi="Symbol"/>
      </w:rPr>
    </w:lvl>
    <w:lvl w:ilvl="7" w:tplc="77C89544">
      <w:start w:val="1"/>
      <w:numFmt w:val="bullet"/>
      <w:suff w:val="tab"/>
      <w:lvlText w:val="o"/>
      <w:lvlJc w:val="left"/>
      <w:pPr>
        <w:ind w:hanging="360" w:left="5760"/>
      </w:pPr>
      <w:rPr>
        <w:rFonts w:ascii="Symbol" w:hAnsi="Symbol"/>
      </w:rPr>
    </w:lvl>
    <w:lvl w:ilvl="8" w:tplc="1F369786">
      <w:start w:val="1"/>
      <w:numFmt w:val="bullet"/>
      <w:suff w:val="tab"/>
      <w:lvlText w:val="·"/>
      <w:lvlJc w:val="left"/>
      <w:pPr>
        <w:ind w:hanging="360" w:left="6480"/>
      </w:pPr>
      <w:rPr>
        <w:rFonts w:ascii="Symbol" w:hAnsi="Symbol"/>
      </w:rPr>
    </w:lvl>
  </w:abstractNum>
  <w:abstractNum w:abstractNumId="75">
    <w:nsid w:val="5CB5D9DE"/>
    <w:multiLevelType w:val="hybridMultilevel"/>
    <w:lvl w:ilvl="0" w:tplc="7AEAFD1C">
      <w:start w:val="1"/>
      <w:numFmt w:val="bullet"/>
      <w:suff w:val="tab"/>
      <w:lvlText w:val="·"/>
      <w:lvlJc w:val="left"/>
      <w:pPr>
        <w:ind w:hanging="360" w:left="720"/>
      </w:pPr>
      <w:rPr>
        <w:rFonts w:ascii="Symbol" w:hAnsi="Symbol" w:cs="Symbol" w:eastAsia="Symbol"/>
        <w:color w:val="auto"/>
      </w:rPr>
    </w:lvl>
    <w:lvl w:ilvl="1" w:tplc="39AF5990">
      <w:start w:val="1"/>
      <w:numFmt w:val="bullet"/>
      <w:suff w:val="tab"/>
      <w:lvlText w:val="o"/>
      <w:lvlJc w:val="left"/>
      <w:pPr>
        <w:ind w:hanging="360" w:left="1440"/>
      </w:pPr>
      <w:rPr>
        <w:rFonts w:ascii="Symbol" w:hAnsi="Symbol"/>
      </w:rPr>
    </w:lvl>
    <w:lvl w:ilvl="2" w:tplc="3752E31D">
      <w:start w:val="1"/>
      <w:numFmt w:val="bullet"/>
      <w:suff w:val="tab"/>
      <w:lvlText w:val="·"/>
      <w:lvlJc w:val="left"/>
      <w:pPr>
        <w:ind w:hanging="360" w:left="2160"/>
      </w:pPr>
      <w:rPr>
        <w:rFonts w:ascii="Symbol" w:hAnsi="Symbol"/>
      </w:rPr>
    </w:lvl>
    <w:lvl w:ilvl="3" w:tplc="3ECB8551">
      <w:start w:val="1"/>
      <w:numFmt w:val="bullet"/>
      <w:suff w:val="tab"/>
      <w:lvlText w:val="o"/>
      <w:lvlJc w:val="left"/>
      <w:pPr>
        <w:ind w:hanging="360" w:left="2880"/>
      </w:pPr>
      <w:rPr>
        <w:rFonts w:ascii="Symbol" w:hAnsi="Symbol"/>
      </w:rPr>
    </w:lvl>
    <w:lvl w:ilvl="4" w:tplc="1F23EB2B">
      <w:start w:val="1"/>
      <w:numFmt w:val="bullet"/>
      <w:suff w:val="tab"/>
      <w:lvlText w:val="·"/>
      <w:lvlJc w:val="left"/>
      <w:pPr>
        <w:ind w:hanging="360" w:left="3600"/>
      </w:pPr>
      <w:rPr>
        <w:rFonts w:ascii="Symbol" w:hAnsi="Symbol"/>
      </w:rPr>
    </w:lvl>
    <w:lvl w:ilvl="5" w:tplc="481D77DE">
      <w:start w:val="1"/>
      <w:numFmt w:val="bullet"/>
      <w:suff w:val="tab"/>
      <w:lvlText w:val="o"/>
      <w:lvlJc w:val="left"/>
      <w:pPr>
        <w:ind w:hanging="360" w:left="4320"/>
      </w:pPr>
      <w:rPr>
        <w:rFonts w:ascii="Symbol" w:hAnsi="Symbol"/>
      </w:rPr>
    </w:lvl>
    <w:lvl w:ilvl="6" w:tplc="6119F48A">
      <w:start w:val="1"/>
      <w:numFmt w:val="bullet"/>
      <w:suff w:val="tab"/>
      <w:lvlText w:val="·"/>
      <w:lvlJc w:val="left"/>
      <w:pPr>
        <w:ind w:hanging="360" w:left="5040"/>
      </w:pPr>
      <w:rPr>
        <w:rFonts w:ascii="Symbol" w:hAnsi="Symbol"/>
      </w:rPr>
    </w:lvl>
    <w:lvl w:ilvl="7" w:tplc="20A3FCB2">
      <w:start w:val="1"/>
      <w:numFmt w:val="bullet"/>
      <w:suff w:val="tab"/>
      <w:lvlText w:val="o"/>
      <w:lvlJc w:val="left"/>
      <w:pPr>
        <w:ind w:hanging="360" w:left="5760"/>
      </w:pPr>
      <w:rPr>
        <w:rFonts w:ascii="Symbol" w:hAnsi="Symbol"/>
      </w:rPr>
    </w:lvl>
    <w:lvl w:ilvl="8" w:tplc="0C37E96A">
      <w:start w:val="1"/>
      <w:numFmt w:val="bullet"/>
      <w:suff w:val="tab"/>
      <w:lvlText w:val="·"/>
      <w:lvlJc w:val="left"/>
      <w:pPr>
        <w:ind w:hanging="360" w:left="6480"/>
      </w:pPr>
      <w:rPr>
        <w:rFonts w:ascii="Symbol" w:hAnsi="Symbol"/>
      </w:rPr>
    </w:lvl>
  </w:abstractNum>
  <w:abstractNum w:abstractNumId="76">
    <w:nsid w:val="2CA4C21F"/>
    <w:multiLevelType w:val="hybridMultilevel"/>
    <w:lvl w:ilvl="0" w:tplc="4E77AB7D">
      <w:start w:val="1"/>
      <w:numFmt w:val="bullet"/>
      <w:suff w:val="tab"/>
      <w:lvlText w:val="·"/>
      <w:lvlJc w:val="left"/>
      <w:pPr>
        <w:ind w:hanging="360" w:left="720"/>
      </w:pPr>
      <w:rPr>
        <w:rFonts w:ascii="Symbol" w:hAnsi="Symbol" w:cs="Symbol" w:eastAsia="Symbol"/>
        <w:color w:val="auto"/>
      </w:rPr>
    </w:lvl>
    <w:lvl w:ilvl="1" w:tplc="579673C4">
      <w:start w:val="1"/>
      <w:numFmt w:val="bullet"/>
      <w:suff w:val="tab"/>
      <w:lvlText w:val="o"/>
      <w:lvlJc w:val="left"/>
      <w:pPr>
        <w:ind w:hanging="360" w:left="1440"/>
      </w:pPr>
      <w:rPr>
        <w:rFonts w:ascii="Symbol" w:hAnsi="Symbol"/>
      </w:rPr>
    </w:lvl>
    <w:lvl w:ilvl="2" w:tplc="15748A8B">
      <w:start w:val="1"/>
      <w:numFmt w:val="bullet"/>
      <w:suff w:val="tab"/>
      <w:lvlText w:val="·"/>
      <w:lvlJc w:val="left"/>
      <w:pPr>
        <w:ind w:hanging="360" w:left="2160"/>
      </w:pPr>
      <w:rPr>
        <w:rFonts w:ascii="Symbol" w:hAnsi="Symbol"/>
      </w:rPr>
    </w:lvl>
    <w:lvl w:ilvl="3" w:tplc="58B4C982">
      <w:start w:val="1"/>
      <w:numFmt w:val="bullet"/>
      <w:suff w:val="tab"/>
      <w:lvlText w:val="o"/>
      <w:lvlJc w:val="left"/>
      <w:pPr>
        <w:ind w:hanging="360" w:left="2880"/>
      </w:pPr>
      <w:rPr>
        <w:rFonts w:ascii="Symbol" w:hAnsi="Symbol"/>
      </w:rPr>
    </w:lvl>
    <w:lvl w:ilvl="4" w:tplc="23A2245E">
      <w:start w:val="1"/>
      <w:numFmt w:val="bullet"/>
      <w:suff w:val="tab"/>
      <w:lvlText w:val="·"/>
      <w:lvlJc w:val="left"/>
      <w:pPr>
        <w:ind w:hanging="360" w:left="3600"/>
      </w:pPr>
      <w:rPr>
        <w:rFonts w:ascii="Symbol" w:hAnsi="Symbol"/>
      </w:rPr>
    </w:lvl>
    <w:lvl w:ilvl="5" w:tplc="71D92FF4">
      <w:start w:val="1"/>
      <w:numFmt w:val="bullet"/>
      <w:suff w:val="tab"/>
      <w:lvlText w:val="o"/>
      <w:lvlJc w:val="left"/>
      <w:pPr>
        <w:ind w:hanging="360" w:left="4320"/>
      </w:pPr>
      <w:rPr>
        <w:rFonts w:ascii="Symbol" w:hAnsi="Symbol"/>
      </w:rPr>
    </w:lvl>
    <w:lvl w:ilvl="6" w:tplc="72E086FE">
      <w:start w:val="1"/>
      <w:numFmt w:val="bullet"/>
      <w:suff w:val="tab"/>
      <w:lvlText w:val="·"/>
      <w:lvlJc w:val="left"/>
      <w:pPr>
        <w:ind w:hanging="360" w:left="5040"/>
      </w:pPr>
      <w:rPr>
        <w:rFonts w:ascii="Symbol" w:hAnsi="Symbol"/>
      </w:rPr>
    </w:lvl>
    <w:lvl w:ilvl="7" w:tplc="6DF1BA13">
      <w:start w:val="1"/>
      <w:numFmt w:val="bullet"/>
      <w:suff w:val="tab"/>
      <w:lvlText w:val="o"/>
      <w:lvlJc w:val="left"/>
      <w:pPr>
        <w:ind w:hanging="360" w:left="5760"/>
      </w:pPr>
      <w:rPr>
        <w:rFonts w:ascii="Symbol" w:hAnsi="Symbol"/>
      </w:rPr>
    </w:lvl>
    <w:lvl w:ilvl="8" w:tplc="739D1F17">
      <w:start w:val="1"/>
      <w:numFmt w:val="bullet"/>
      <w:suff w:val="tab"/>
      <w:lvlText w:val="·"/>
      <w:lvlJc w:val="left"/>
      <w:pPr>
        <w:ind w:hanging="360" w:left="6480"/>
      </w:pPr>
      <w:rPr>
        <w:rFonts w:ascii="Symbol" w:hAnsi="Symbol"/>
      </w:rPr>
    </w:lvl>
  </w:abstractNum>
  <w:abstractNum w:abstractNumId="77">
    <w:nsid w:val="35AB72DC"/>
    <w:multiLevelType w:val="hybridMultilevel"/>
    <w:lvl w:ilvl="0" w:tplc="2F1C3527">
      <w:start w:val="1"/>
      <w:numFmt w:val="bullet"/>
      <w:suff w:val="tab"/>
      <w:lvlText w:val="·"/>
      <w:lvlJc w:val="left"/>
      <w:pPr>
        <w:ind w:hanging="360" w:left="720"/>
      </w:pPr>
      <w:rPr>
        <w:rFonts w:ascii="Symbol" w:hAnsi="Symbol" w:cs="Symbol" w:eastAsia="Symbol"/>
        <w:color w:val="auto"/>
      </w:rPr>
    </w:lvl>
    <w:lvl w:ilvl="1" w:tplc="4FBBCB72">
      <w:start w:val="1"/>
      <w:numFmt w:val="bullet"/>
      <w:suff w:val="tab"/>
      <w:lvlText w:val="o"/>
      <w:lvlJc w:val="left"/>
      <w:pPr>
        <w:ind w:hanging="360" w:left="1440"/>
      </w:pPr>
      <w:rPr>
        <w:rFonts w:ascii="Symbol" w:hAnsi="Symbol"/>
      </w:rPr>
    </w:lvl>
    <w:lvl w:ilvl="2" w:tplc="02FB7DFB">
      <w:start w:val="1"/>
      <w:numFmt w:val="bullet"/>
      <w:suff w:val="tab"/>
      <w:lvlText w:val="·"/>
      <w:lvlJc w:val="left"/>
      <w:pPr>
        <w:ind w:hanging="360" w:left="2160"/>
      </w:pPr>
      <w:rPr>
        <w:rFonts w:ascii="Symbol" w:hAnsi="Symbol"/>
      </w:rPr>
    </w:lvl>
    <w:lvl w:ilvl="3" w:tplc="7120D56D">
      <w:start w:val="1"/>
      <w:numFmt w:val="bullet"/>
      <w:suff w:val="tab"/>
      <w:lvlText w:val="o"/>
      <w:lvlJc w:val="left"/>
      <w:pPr>
        <w:ind w:hanging="360" w:left="2880"/>
      </w:pPr>
      <w:rPr>
        <w:rFonts w:ascii="Symbol" w:hAnsi="Symbol"/>
      </w:rPr>
    </w:lvl>
    <w:lvl w:ilvl="4" w:tplc="63E10800">
      <w:start w:val="1"/>
      <w:numFmt w:val="bullet"/>
      <w:suff w:val="tab"/>
      <w:lvlText w:val="·"/>
      <w:lvlJc w:val="left"/>
      <w:pPr>
        <w:ind w:hanging="360" w:left="3600"/>
      </w:pPr>
      <w:rPr>
        <w:rFonts w:ascii="Symbol" w:hAnsi="Symbol"/>
      </w:rPr>
    </w:lvl>
    <w:lvl w:ilvl="5" w:tplc="5BBCEF3C">
      <w:start w:val="1"/>
      <w:numFmt w:val="bullet"/>
      <w:suff w:val="tab"/>
      <w:lvlText w:val="o"/>
      <w:lvlJc w:val="left"/>
      <w:pPr>
        <w:ind w:hanging="360" w:left="4320"/>
      </w:pPr>
      <w:rPr>
        <w:rFonts w:ascii="Symbol" w:hAnsi="Symbol"/>
      </w:rPr>
    </w:lvl>
    <w:lvl w:ilvl="6" w:tplc="799BDE6D">
      <w:start w:val="1"/>
      <w:numFmt w:val="bullet"/>
      <w:suff w:val="tab"/>
      <w:lvlText w:val="·"/>
      <w:lvlJc w:val="left"/>
      <w:pPr>
        <w:ind w:hanging="360" w:left="5040"/>
      </w:pPr>
      <w:rPr>
        <w:rFonts w:ascii="Symbol" w:hAnsi="Symbol"/>
      </w:rPr>
    </w:lvl>
    <w:lvl w:ilvl="7" w:tplc="0B416267">
      <w:start w:val="1"/>
      <w:numFmt w:val="bullet"/>
      <w:suff w:val="tab"/>
      <w:lvlText w:val="o"/>
      <w:lvlJc w:val="left"/>
      <w:pPr>
        <w:ind w:hanging="360" w:left="5760"/>
      </w:pPr>
      <w:rPr>
        <w:rFonts w:ascii="Symbol" w:hAnsi="Symbol"/>
      </w:rPr>
    </w:lvl>
    <w:lvl w:ilvl="8" w:tplc="1D517C3E">
      <w:start w:val="1"/>
      <w:numFmt w:val="bullet"/>
      <w:suff w:val="tab"/>
      <w:lvlText w:val="·"/>
      <w:lvlJc w:val="left"/>
      <w:pPr>
        <w:ind w:hanging="360" w:left="6480"/>
      </w:pPr>
      <w:rPr>
        <w:rFonts w:ascii="Symbol" w:hAnsi="Symbol"/>
      </w:rPr>
    </w:lvl>
  </w:abstractNum>
  <w:abstractNum w:abstractNumId="78">
    <w:nsid w:val="43FC12DC"/>
    <w:multiLevelType w:val="hybridMultilevel"/>
    <w:lvl w:ilvl="0" w:tplc="284B83A8">
      <w:start w:val="1"/>
      <w:numFmt w:val="bullet"/>
      <w:suff w:val="tab"/>
      <w:lvlText w:val="·"/>
      <w:lvlJc w:val="left"/>
      <w:pPr>
        <w:ind w:hanging="360" w:left="720"/>
      </w:pPr>
      <w:rPr>
        <w:rFonts w:ascii="Symbol" w:hAnsi="Symbol" w:cs="Symbol" w:eastAsia="Symbol"/>
        <w:color w:val="auto"/>
      </w:rPr>
    </w:lvl>
    <w:lvl w:ilvl="1" w:tplc="4559D248">
      <w:start w:val="1"/>
      <w:numFmt w:val="bullet"/>
      <w:suff w:val="tab"/>
      <w:lvlText w:val="o"/>
      <w:lvlJc w:val="left"/>
      <w:pPr>
        <w:ind w:hanging="360" w:left="1440"/>
      </w:pPr>
      <w:rPr>
        <w:rFonts w:ascii="Symbol" w:hAnsi="Symbol"/>
      </w:rPr>
    </w:lvl>
    <w:lvl w:ilvl="2" w:tplc="13F40DE9">
      <w:start w:val="1"/>
      <w:numFmt w:val="bullet"/>
      <w:suff w:val="tab"/>
      <w:lvlText w:val="·"/>
      <w:lvlJc w:val="left"/>
      <w:pPr>
        <w:ind w:hanging="360" w:left="2160"/>
      </w:pPr>
      <w:rPr>
        <w:rFonts w:ascii="Symbol" w:hAnsi="Symbol"/>
      </w:rPr>
    </w:lvl>
    <w:lvl w:ilvl="3" w:tplc="7051B44D">
      <w:start w:val="1"/>
      <w:numFmt w:val="bullet"/>
      <w:suff w:val="tab"/>
      <w:lvlText w:val="o"/>
      <w:lvlJc w:val="left"/>
      <w:pPr>
        <w:ind w:hanging="360" w:left="2880"/>
      </w:pPr>
      <w:rPr>
        <w:rFonts w:ascii="Symbol" w:hAnsi="Symbol"/>
      </w:rPr>
    </w:lvl>
    <w:lvl w:ilvl="4" w:tplc="36D5EED8">
      <w:start w:val="1"/>
      <w:numFmt w:val="bullet"/>
      <w:suff w:val="tab"/>
      <w:lvlText w:val="·"/>
      <w:lvlJc w:val="left"/>
      <w:pPr>
        <w:ind w:hanging="360" w:left="3600"/>
      </w:pPr>
      <w:rPr>
        <w:rFonts w:ascii="Symbol" w:hAnsi="Symbol"/>
      </w:rPr>
    </w:lvl>
    <w:lvl w:ilvl="5" w:tplc="0486A962">
      <w:start w:val="1"/>
      <w:numFmt w:val="bullet"/>
      <w:suff w:val="tab"/>
      <w:lvlText w:val="o"/>
      <w:lvlJc w:val="left"/>
      <w:pPr>
        <w:ind w:hanging="360" w:left="4320"/>
      </w:pPr>
      <w:rPr>
        <w:rFonts w:ascii="Symbol" w:hAnsi="Symbol"/>
      </w:rPr>
    </w:lvl>
    <w:lvl w:ilvl="6" w:tplc="4948DA0B">
      <w:start w:val="1"/>
      <w:numFmt w:val="bullet"/>
      <w:suff w:val="tab"/>
      <w:lvlText w:val="·"/>
      <w:lvlJc w:val="left"/>
      <w:pPr>
        <w:ind w:hanging="360" w:left="5040"/>
      </w:pPr>
      <w:rPr>
        <w:rFonts w:ascii="Symbol" w:hAnsi="Symbol"/>
      </w:rPr>
    </w:lvl>
    <w:lvl w:ilvl="7" w:tplc="12681663">
      <w:start w:val="1"/>
      <w:numFmt w:val="bullet"/>
      <w:suff w:val="tab"/>
      <w:lvlText w:val="o"/>
      <w:lvlJc w:val="left"/>
      <w:pPr>
        <w:ind w:hanging="360" w:left="5760"/>
      </w:pPr>
      <w:rPr>
        <w:rFonts w:ascii="Symbol" w:hAnsi="Symbol"/>
      </w:rPr>
    </w:lvl>
    <w:lvl w:ilvl="8" w:tplc="08779801">
      <w:start w:val="1"/>
      <w:numFmt w:val="bullet"/>
      <w:suff w:val="tab"/>
      <w:lvlText w:val="·"/>
      <w:lvlJc w:val="left"/>
      <w:pPr>
        <w:ind w:hanging="360" w:left="6480"/>
      </w:pPr>
      <w:rPr>
        <w:rFonts w:ascii="Symbol" w:hAnsi="Symbol"/>
      </w:rPr>
    </w:lvl>
  </w:abstractNum>
  <w:abstractNum w:abstractNumId="79">
    <w:nsid w:val="2A748338"/>
    <w:multiLevelType w:val="hybridMultilevel"/>
    <w:lvl w:ilvl="0" w:tplc="702273A4">
      <w:start w:val="1"/>
      <w:numFmt w:val="bullet"/>
      <w:suff w:val="tab"/>
      <w:lvlText w:val="·"/>
      <w:lvlJc w:val="left"/>
      <w:pPr>
        <w:ind w:hanging="360" w:left="720"/>
      </w:pPr>
      <w:rPr>
        <w:rFonts w:ascii="Symbol" w:hAnsi="Symbol" w:cs="Symbol" w:eastAsia="Symbol"/>
        <w:color w:val="auto"/>
      </w:rPr>
    </w:lvl>
    <w:lvl w:ilvl="1" w:tplc="27738636">
      <w:start w:val="1"/>
      <w:numFmt w:val="bullet"/>
      <w:suff w:val="tab"/>
      <w:lvlText w:val="o"/>
      <w:lvlJc w:val="left"/>
      <w:pPr>
        <w:ind w:hanging="360" w:left="1440"/>
      </w:pPr>
      <w:rPr>
        <w:rFonts w:ascii="Symbol" w:hAnsi="Symbol"/>
      </w:rPr>
    </w:lvl>
    <w:lvl w:ilvl="2" w:tplc="61B16F88">
      <w:start w:val="1"/>
      <w:numFmt w:val="bullet"/>
      <w:suff w:val="tab"/>
      <w:lvlText w:val="·"/>
      <w:lvlJc w:val="left"/>
      <w:pPr>
        <w:ind w:hanging="360" w:left="2160"/>
      </w:pPr>
      <w:rPr>
        <w:rFonts w:ascii="Symbol" w:hAnsi="Symbol"/>
      </w:rPr>
    </w:lvl>
    <w:lvl w:ilvl="3" w:tplc="34FCC567">
      <w:start w:val="1"/>
      <w:numFmt w:val="bullet"/>
      <w:suff w:val="tab"/>
      <w:lvlText w:val="o"/>
      <w:lvlJc w:val="left"/>
      <w:pPr>
        <w:ind w:hanging="360" w:left="2880"/>
      </w:pPr>
      <w:rPr>
        <w:rFonts w:ascii="Symbol" w:hAnsi="Symbol"/>
      </w:rPr>
    </w:lvl>
    <w:lvl w:ilvl="4" w:tplc="23D76FBC">
      <w:start w:val="1"/>
      <w:numFmt w:val="bullet"/>
      <w:suff w:val="tab"/>
      <w:lvlText w:val="·"/>
      <w:lvlJc w:val="left"/>
      <w:pPr>
        <w:ind w:hanging="360" w:left="3600"/>
      </w:pPr>
      <w:rPr>
        <w:rFonts w:ascii="Symbol" w:hAnsi="Symbol"/>
      </w:rPr>
    </w:lvl>
    <w:lvl w:ilvl="5" w:tplc="06E7FF9A">
      <w:start w:val="1"/>
      <w:numFmt w:val="bullet"/>
      <w:suff w:val="tab"/>
      <w:lvlText w:val="o"/>
      <w:lvlJc w:val="left"/>
      <w:pPr>
        <w:ind w:hanging="360" w:left="4320"/>
      </w:pPr>
      <w:rPr>
        <w:rFonts w:ascii="Symbol" w:hAnsi="Symbol"/>
      </w:rPr>
    </w:lvl>
    <w:lvl w:ilvl="6" w:tplc="2111FFFE">
      <w:start w:val="1"/>
      <w:numFmt w:val="bullet"/>
      <w:suff w:val="tab"/>
      <w:lvlText w:val="·"/>
      <w:lvlJc w:val="left"/>
      <w:pPr>
        <w:ind w:hanging="360" w:left="5040"/>
      </w:pPr>
      <w:rPr>
        <w:rFonts w:ascii="Symbol" w:hAnsi="Symbol"/>
      </w:rPr>
    </w:lvl>
    <w:lvl w:ilvl="7" w:tplc="1702AADE">
      <w:start w:val="1"/>
      <w:numFmt w:val="bullet"/>
      <w:suff w:val="tab"/>
      <w:lvlText w:val="o"/>
      <w:lvlJc w:val="left"/>
      <w:pPr>
        <w:ind w:hanging="360" w:left="5760"/>
      </w:pPr>
      <w:rPr>
        <w:rFonts w:ascii="Symbol" w:hAnsi="Symbol"/>
      </w:rPr>
    </w:lvl>
    <w:lvl w:ilvl="8" w:tplc="7107AB09">
      <w:start w:val="1"/>
      <w:numFmt w:val="bullet"/>
      <w:suff w:val="tab"/>
      <w:lvlText w:val="·"/>
      <w:lvlJc w:val="left"/>
      <w:pPr>
        <w:ind w:hanging="360" w:left="6480"/>
      </w:pPr>
      <w:rPr>
        <w:rFonts w:ascii="Symbol" w:hAnsi="Symbol"/>
      </w:rPr>
    </w:lvl>
  </w:abstractNum>
  <w:abstractNum w:abstractNumId="80">
    <w:nsid w:val="18F9A04B"/>
    <w:multiLevelType w:val="hybridMultilevel"/>
    <w:lvl w:ilvl="0" w:tplc="5B90775D">
      <w:start w:val="1"/>
      <w:numFmt w:val="bullet"/>
      <w:suff w:val="tab"/>
      <w:lvlText w:val="·"/>
      <w:lvlJc w:val="left"/>
      <w:pPr>
        <w:ind w:hanging="360" w:left="720"/>
      </w:pPr>
      <w:rPr>
        <w:rFonts w:ascii="Symbol" w:hAnsi="Symbol" w:cs="Symbol" w:eastAsia="Symbol"/>
        <w:color w:val="auto"/>
      </w:rPr>
    </w:lvl>
    <w:lvl w:ilvl="1" w:tplc="4FAD6299">
      <w:start w:val="1"/>
      <w:numFmt w:val="bullet"/>
      <w:suff w:val="tab"/>
      <w:lvlText w:val="o"/>
      <w:lvlJc w:val="left"/>
      <w:pPr>
        <w:ind w:hanging="360" w:left="1440"/>
      </w:pPr>
      <w:rPr>
        <w:rFonts w:ascii="Symbol" w:hAnsi="Symbol"/>
      </w:rPr>
    </w:lvl>
    <w:lvl w:ilvl="2" w:tplc="4236A6E0">
      <w:start w:val="1"/>
      <w:numFmt w:val="bullet"/>
      <w:suff w:val="tab"/>
      <w:lvlText w:val="·"/>
      <w:lvlJc w:val="left"/>
      <w:pPr>
        <w:ind w:hanging="360" w:left="2160"/>
      </w:pPr>
      <w:rPr>
        <w:rFonts w:ascii="Symbol" w:hAnsi="Symbol"/>
      </w:rPr>
    </w:lvl>
    <w:lvl w:ilvl="3" w:tplc="68749AED">
      <w:start w:val="1"/>
      <w:numFmt w:val="bullet"/>
      <w:suff w:val="tab"/>
      <w:lvlText w:val="o"/>
      <w:lvlJc w:val="left"/>
      <w:pPr>
        <w:ind w:hanging="360" w:left="2880"/>
      </w:pPr>
      <w:rPr>
        <w:rFonts w:ascii="Symbol" w:hAnsi="Symbol"/>
      </w:rPr>
    </w:lvl>
    <w:lvl w:ilvl="4" w:tplc="06BB3397">
      <w:start w:val="1"/>
      <w:numFmt w:val="bullet"/>
      <w:suff w:val="tab"/>
      <w:lvlText w:val="·"/>
      <w:lvlJc w:val="left"/>
      <w:pPr>
        <w:ind w:hanging="360" w:left="3600"/>
      </w:pPr>
      <w:rPr>
        <w:rFonts w:ascii="Symbol" w:hAnsi="Symbol"/>
      </w:rPr>
    </w:lvl>
    <w:lvl w:ilvl="5" w:tplc="2EC76E47">
      <w:start w:val="1"/>
      <w:numFmt w:val="bullet"/>
      <w:suff w:val="tab"/>
      <w:lvlText w:val="o"/>
      <w:lvlJc w:val="left"/>
      <w:pPr>
        <w:ind w:hanging="360" w:left="4320"/>
      </w:pPr>
      <w:rPr>
        <w:rFonts w:ascii="Symbol" w:hAnsi="Symbol"/>
      </w:rPr>
    </w:lvl>
    <w:lvl w:ilvl="6" w:tplc="4DA027C3">
      <w:start w:val="1"/>
      <w:numFmt w:val="bullet"/>
      <w:suff w:val="tab"/>
      <w:lvlText w:val="·"/>
      <w:lvlJc w:val="left"/>
      <w:pPr>
        <w:ind w:hanging="360" w:left="5040"/>
      </w:pPr>
      <w:rPr>
        <w:rFonts w:ascii="Symbol" w:hAnsi="Symbol"/>
      </w:rPr>
    </w:lvl>
    <w:lvl w:ilvl="7" w:tplc="48DDF840">
      <w:start w:val="1"/>
      <w:numFmt w:val="bullet"/>
      <w:suff w:val="tab"/>
      <w:lvlText w:val="o"/>
      <w:lvlJc w:val="left"/>
      <w:pPr>
        <w:ind w:hanging="360" w:left="5760"/>
      </w:pPr>
      <w:rPr>
        <w:rFonts w:ascii="Symbol" w:hAnsi="Symbol"/>
      </w:rPr>
    </w:lvl>
    <w:lvl w:ilvl="8" w:tplc="64BA8C92">
      <w:start w:val="1"/>
      <w:numFmt w:val="bullet"/>
      <w:suff w:val="tab"/>
      <w:lvlText w:val="·"/>
      <w:lvlJc w:val="left"/>
      <w:pPr>
        <w:ind w:hanging="360" w:left="6480"/>
      </w:pPr>
      <w:rPr>
        <w:rFonts w:ascii="Symbol" w:hAnsi="Symbol"/>
      </w:rPr>
    </w:lvl>
  </w:abstractNum>
  <w:abstractNum w:abstractNumId="81">
    <w:nsid w:val="24D4ADBE"/>
    <w:multiLevelType w:val="hybridMultilevel"/>
    <w:lvl w:ilvl="0" w:tplc="3AEE172D">
      <w:start w:val="1"/>
      <w:numFmt w:val="bullet"/>
      <w:suff w:val="tab"/>
      <w:lvlText w:val="·"/>
      <w:lvlJc w:val="left"/>
      <w:pPr>
        <w:ind w:hanging="360" w:left="720"/>
      </w:pPr>
      <w:rPr>
        <w:rFonts w:ascii="Symbol" w:hAnsi="Symbol" w:cs="Symbol" w:eastAsia="Symbol"/>
        <w:color w:val="auto"/>
      </w:rPr>
    </w:lvl>
    <w:lvl w:ilvl="1" w:tplc="4ABA186D">
      <w:start w:val="1"/>
      <w:numFmt w:val="bullet"/>
      <w:suff w:val="tab"/>
      <w:lvlText w:val="o"/>
      <w:lvlJc w:val="left"/>
      <w:pPr>
        <w:ind w:hanging="360" w:left="1440"/>
      </w:pPr>
      <w:rPr>
        <w:rFonts w:ascii="Symbol" w:hAnsi="Symbol"/>
      </w:rPr>
    </w:lvl>
    <w:lvl w:ilvl="2" w:tplc="491F2C07">
      <w:start w:val="1"/>
      <w:numFmt w:val="bullet"/>
      <w:suff w:val="tab"/>
      <w:lvlText w:val="·"/>
      <w:lvlJc w:val="left"/>
      <w:pPr>
        <w:ind w:hanging="360" w:left="2160"/>
      </w:pPr>
      <w:rPr>
        <w:rFonts w:ascii="Symbol" w:hAnsi="Symbol"/>
      </w:rPr>
    </w:lvl>
    <w:lvl w:ilvl="3" w:tplc="18ABC11C">
      <w:start w:val="1"/>
      <w:numFmt w:val="bullet"/>
      <w:suff w:val="tab"/>
      <w:lvlText w:val="o"/>
      <w:lvlJc w:val="left"/>
      <w:pPr>
        <w:ind w:hanging="360" w:left="2880"/>
      </w:pPr>
      <w:rPr>
        <w:rFonts w:ascii="Symbol" w:hAnsi="Symbol"/>
      </w:rPr>
    </w:lvl>
    <w:lvl w:ilvl="4" w:tplc="52CA98B5">
      <w:start w:val="1"/>
      <w:numFmt w:val="bullet"/>
      <w:suff w:val="tab"/>
      <w:lvlText w:val="·"/>
      <w:lvlJc w:val="left"/>
      <w:pPr>
        <w:ind w:hanging="360" w:left="3600"/>
      </w:pPr>
      <w:rPr>
        <w:rFonts w:ascii="Symbol" w:hAnsi="Symbol"/>
      </w:rPr>
    </w:lvl>
    <w:lvl w:ilvl="5" w:tplc="3E6CC225">
      <w:start w:val="1"/>
      <w:numFmt w:val="bullet"/>
      <w:suff w:val="tab"/>
      <w:lvlText w:val="o"/>
      <w:lvlJc w:val="left"/>
      <w:pPr>
        <w:ind w:hanging="360" w:left="4320"/>
      </w:pPr>
      <w:rPr>
        <w:rFonts w:ascii="Symbol" w:hAnsi="Symbol"/>
      </w:rPr>
    </w:lvl>
    <w:lvl w:ilvl="6" w:tplc="140892F1">
      <w:start w:val="1"/>
      <w:numFmt w:val="bullet"/>
      <w:suff w:val="tab"/>
      <w:lvlText w:val="·"/>
      <w:lvlJc w:val="left"/>
      <w:pPr>
        <w:ind w:hanging="360" w:left="5040"/>
      </w:pPr>
      <w:rPr>
        <w:rFonts w:ascii="Symbol" w:hAnsi="Symbol"/>
      </w:rPr>
    </w:lvl>
    <w:lvl w:ilvl="7" w:tplc="028D94AC">
      <w:start w:val="1"/>
      <w:numFmt w:val="bullet"/>
      <w:suff w:val="tab"/>
      <w:lvlText w:val="o"/>
      <w:lvlJc w:val="left"/>
      <w:pPr>
        <w:ind w:hanging="360" w:left="5760"/>
      </w:pPr>
      <w:rPr>
        <w:rFonts w:ascii="Symbol" w:hAnsi="Symbol"/>
      </w:rPr>
    </w:lvl>
    <w:lvl w:ilvl="8" w:tplc="483A56BA">
      <w:start w:val="1"/>
      <w:numFmt w:val="bullet"/>
      <w:suff w:val="tab"/>
      <w:lvlText w:val="·"/>
      <w:lvlJc w:val="left"/>
      <w:pPr>
        <w:ind w:hanging="360" w:left="6480"/>
      </w:pPr>
      <w:rPr>
        <w:rFonts w:ascii="Symbol" w:hAnsi="Symbol"/>
      </w:rPr>
    </w:lvl>
  </w:abstractNum>
  <w:abstractNum w:abstractNumId="82">
    <w:nsid w:val="49A21058"/>
    <w:multiLevelType w:val="hybridMultilevel"/>
    <w:lvl w:ilvl="0" w:tplc="15E6837B">
      <w:start w:val="1"/>
      <w:numFmt w:val="bullet"/>
      <w:suff w:val="tab"/>
      <w:lvlText w:val="·"/>
      <w:lvlJc w:val="left"/>
      <w:pPr>
        <w:ind w:hanging="360" w:left="720"/>
      </w:pPr>
      <w:rPr>
        <w:rFonts w:ascii="Symbol" w:hAnsi="Symbol" w:cs="Symbol" w:eastAsia="Symbol"/>
        <w:color w:val="auto"/>
      </w:rPr>
    </w:lvl>
    <w:lvl w:ilvl="1" w:tplc="1ED60114">
      <w:start w:val="1"/>
      <w:numFmt w:val="bullet"/>
      <w:suff w:val="tab"/>
      <w:lvlText w:val="o"/>
      <w:lvlJc w:val="left"/>
      <w:pPr>
        <w:ind w:hanging="360" w:left="1440"/>
      </w:pPr>
      <w:rPr>
        <w:rFonts w:ascii="Symbol" w:hAnsi="Symbol"/>
      </w:rPr>
    </w:lvl>
    <w:lvl w:ilvl="2" w:tplc="06BCFCB5">
      <w:start w:val="1"/>
      <w:numFmt w:val="bullet"/>
      <w:suff w:val="tab"/>
      <w:lvlText w:val="·"/>
      <w:lvlJc w:val="left"/>
      <w:pPr>
        <w:ind w:hanging="360" w:left="2160"/>
      </w:pPr>
      <w:rPr>
        <w:rFonts w:ascii="Symbol" w:hAnsi="Symbol"/>
      </w:rPr>
    </w:lvl>
    <w:lvl w:ilvl="3" w:tplc="3153E539">
      <w:start w:val="1"/>
      <w:numFmt w:val="bullet"/>
      <w:suff w:val="tab"/>
      <w:lvlText w:val="o"/>
      <w:lvlJc w:val="left"/>
      <w:pPr>
        <w:ind w:hanging="360" w:left="2880"/>
      </w:pPr>
      <w:rPr>
        <w:rFonts w:ascii="Symbol" w:hAnsi="Symbol"/>
      </w:rPr>
    </w:lvl>
    <w:lvl w:ilvl="4" w:tplc="0535936D">
      <w:start w:val="1"/>
      <w:numFmt w:val="bullet"/>
      <w:suff w:val="tab"/>
      <w:lvlText w:val="·"/>
      <w:lvlJc w:val="left"/>
      <w:pPr>
        <w:ind w:hanging="360" w:left="3600"/>
      </w:pPr>
      <w:rPr>
        <w:rFonts w:ascii="Symbol" w:hAnsi="Symbol"/>
      </w:rPr>
    </w:lvl>
    <w:lvl w:ilvl="5" w:tplc="67353C5E">
      <w:start w:val="1"/>
      <w:numFmt w:val="bullet"/>
      <w:suff w:val="tab"/>
      <w:lvlText w:val="o"/>
      <w:lvlJc w:val="left"/>
      <w:pPr>
        <w:ind w:hanging="360" w:left="4320"/>
      </w:pPr>
      <w:rPr>
        <w:rFonts w:ascii="Symbol" w:hAnsi="Symbol"/>
      </w:rPr>
    </w:lvl>
    <w:lvl w:ilvl="6" w:tplc="470B1197">
      <w:start w:val="1"/>
      <w:numFmt w:val="bullet"/>
      <w:suff w:val="tab"/>
      <w:lvlText w:val="·"/>
      <w:lvlJc w:val="left"/>
      <w:pPr>
        <w:ind w:hanging="360" w:left="5040"/>
      </w:pPr>
      <w:rPr>
        <w:rFonts w:ascii="Symbol" w:hAnsi="Symbol"/>
      </w:rPr>
    </w:lvl>
    <w:lvl w:ilvl="7" w:tplc="6E5C2620">
      <w:start w:val="1"/>
      <w:numFmt w:val="bullet"/>
      <w:suff w:val="tab"/>
      <w:lvlText w:val="o"/>
      <w:lvlJc w:val="left"/>
      <w:pPr>
        <w:ind w:hanging="360" w:left="5760"/>
      </w:pPr>
      <w:rPr>
        <w:rFonts w:ascii="Symbol" w:hAnsi="Symbol"/>
      </w:rPr>
    </w:lvl>
    <w:lvl w:ilvl="8" w:tplc="55464897">
      <w:start w:val="1"/>
      <w:numFmt w:val="bullet"/>
      <w:suff w:val="tab"/>
      <w:lvlText w:val="·"/>
      <w:lvlJc w:val="left"/>
      <w:pPr>
        <w:ind w:hanging="360" w:left="6480"/>
      </w:pPr>
      <w:rPr>
        <w:rFonts w:ascii="Symbol" w:hAnsi="Symbol"/>
      </w:rPr>
    </w:lvl>
  </w:abstractNum>
  <w:abstractNum w:abstractNumId="83">
    <w:nsid w:val="6906E5B2"/>
    <w:multiLevelType w:val="hybridMultilevel"/>
    <w:lvl w:ilvl="0" w:tplc="37B1757D">
      <w:start w:val="1"/>
      <w:numFmt w:val="bullet"/>
      <w:suff w:val="tab"/>
      <w:lvlText w:val="·"/>
      <w:lvlJc w:val="left"/>
      <w:pPr>
        <w:ind w:hanging="360" w:left="720"/>
      </w:pPr>
      <w:rPr>
        <w:rFonts w:ascii="Symbol" w:hAnsi="Symbol" w:cs="Symbol" w:eastAsia="Symbol"/>
        <w:color w:val="auto"/>
      </w:rPr>
    </w:lvl>
    <w:lvl w:ilvl="1" w:tplc="1C864133">
      <w:start w:val="1"/>
      <w:numFmt w:val="bullet"/>
      <w:suff w:val="tab"/>
      <w:lvlText w:val="o"/>
      <w:lvlJc w:val="left"/>
      <w:pPr>
        <w:ind w:hanging="360" w:left="1440"/>
      </w:pPr>
      <w:rPr>
        <w:rFonts w:ascii="Symbol" w:hAnsi="Symbol"/>
      </w:rPr>
    </w:lvl>
    <w:lvl w:ilvl="2" w:tplc="540832BA">
      <w:start w:val="1"/>
      <w:numFmt w:val="bullet"/>
      <w:suff w:val="tab"/>
      <w:lvlText w:val="·"/>
      <w:lvlJc w:val="left"/>
      <w:pPr>
        <w:ind w:hanging="360" w:left="2160"/>
      </w:pPr>
      <w:rPr>
        <w:rFonts w:ascii="Symbol" w:hAnsi="Symbol"/>
      </w:rPr>
    </w:lvl>
    <w:lvl w:ilvl="3" w:tplc="16C01E1A">
      <w:start w:val="1"/>
      <w:numFmt w:val="bullet"/>
      <w:suff w:val="tab"/>
      <w:lvlText w:val="o"/>
      <w:lvlJc w:val="left"/>
      <w:pPr>
        <w:ind w:hanging="360" w:left="2880"/>
      </w:pPr>
      <w:rPr>
        <w:rFonts w:ascii="Symbol" w:hAnsi="Symbol"/>
      </w:rPr>
    </w:lvl>
    <w:lvl w:ilvl="4" w:tplc="229D6FD1">
      <w:start w:val="1"/>
      <w:numFmt w:val="bullet"/>
      <w:suff w:val="tab"/>
      <w:lvlText w:val="·"/>
      <w:lvlJc w:val="left"/>
      <w:pPr>
        <w:ind w:hanging="360" w:left="3600"/>
      </w:pPr>
      <w:rPr>
        <w:rFonts w:ascii="Symbol" w:hAnsi="Symbol"/>
      </w:rPr>
    </w:lvl>
    <w:lvl w:ilvl="5" w:tplc="6DF3BA12">
      <w:start w:val="1"/>
      <w:numFmt w:val="bullet"/>
      <w:suff w:val="tab"/>
      <w:lvlText w:val="o"/>
      <w:lvlJc w:val="left"/>
      <w:pPr>
        <w:ind w:hanging="360" w:left="4320"/>
      </w:pPr>
      <w:rPr>
        <w:rFonts w:ascii="Symbol" w:hAnsi="Symbol"/>
      </w:rPr>
    </w:lvl>
    <w:lvl w:ilvl="6" w:tplc="0E819AA7">
      <w:start w:val="1"/>
      <w:numFmt w:val="bullet"/>
      <w:suff w:val="tab"/>
      <w:lvlText w:val="·"/>
      <w:lvlJc w:val="left"/>
      <w:pPr>
        <w:ind w:hanging="360" w:left="5040"/>
      </w:pPr>
      <w:rPr>
        <w:rFonts w:ascii="Symbol" w:hAnsi="Symbol"/>
      </w:rPr>
    </w:lvl>
    <w:lvl w:ilvl="7" w:tplc="148C3637">
      <w:start w:val="1"/>
      <w:numFmt w:val="bullet"/>
      <w:suff w:val="tab"/>
      <w:lvlText w:val="o"/>
      <w:lvlJc w:val="left"/>
      <w:pPr>
        <w:ind w:hanging="360" w:left="5760"/>
      </w:pPr>
      <w:rPr>
        <w:rFonts w:ascii="Symbol" w:hAnsi="Symbol"/>
      </w:rPr>
    </w:lvl>
    <w:lvl w:ilvl="8" w:tplc="33F2B924">
      <w:start w:val="1"/>
      <w:numFmt w:val="bullet"/>
      <w:suff w:val="tab"/>
      <w:lvlText w:val="·"/>
      <w:lvlJc w:val="left"/>
      <w:pPr>
        <w:ind w:hanging="360" w:left="6480"/>
      </w:pPr>
      <w:rPr>
        <w:rFonts w:ascii="Symbol" w:hAnsi="Symbol"/>
      </w:rPr>
    </w:lvl>
  </w:abstractNum>
  <w:abstractNum w:abstractNumId="84">
    <w:nsid w:val="483F2FA1"/>
    <w:multiLevelType w:val="hybridMultilevel"/>
    <w:lvl w:ilvl="0" w:tplc="5AFA817F">
      <w:start w:val="1"/>
      <w:numFmt w:val="bullet"/>
      <w:suff w:val="tab"/>
      <w:lvlText w:val="·"/>
      <w:lvlJc w:val="left"/>
      <w:pPr>
        <w:ind w:hanging="360" w:left="720"/>
      </w:pPr>
      <w:rPr>
        <w:rFonts w:ascii="Symbol" w:hAnsi="Symbol" w:cs="Symbol" w:eastAsia="Symbol"/>
        <w:color w:val="auto"/>
      </w:rPr>
    </w:lvl>
    <w:lvl w:ilvl="1" w:tplc="3D2D8636">
      <w:start w:val="1"/>
      <w:numFmt w:val="bullet"/>
      <w:suff w:val="tab"/>
      <w:lvlText w:val="o"/>
      <w:lvlJc w:val="left"/>
      <w:pPr>
        <w:ind w:hanging="360" w:left="1440"/>
      </w:pPr>
      <w:rPr>
        <w:rFonts w:ascii="Symbol" w:hAnsi="Symbol"/>
      </w:rPr>
    </w:lvl>
    <w:lvl w:ilvl="2" w:tplc="37DF2083">
      <w:start w:val="1"/>
      <w:numFmt w:val="bullet"/>
      <w:suff w:val="tab"/>
      <w:lvlText w:val="·"/>
      <w:lvlJc w:val="left"/>
      <w:pPr>
        <w:ind w:hanging="360" w:left="2160"/>
      </w:pPr>
      <w:rPr>
        <w:rFonts w:ascii="Symbol" w:hAnsi="Symbol"/>
      </w:rPr>
    </w:lvl>
    <w:lvl w:ilvl="3" w:tplc="62C5AAC5">
      <w:start w:val="1"/>
      <w:numFmt w:val="bullet"/>
      <w:suff w:val="tab"/>
      <w:lvlText w:val="o"/>
      <w:lvlJc w:val="left"/>
      <w:pPr>
        <w:ind w:hanging="360" w:left="2880"/>
      </w:pPr>
      <w:rPr>
        <w:rFonts w:ascii="Symbol" w:hAnsi="Symbol"/>
      </w:rPr>
    </w:lvl>
    <w:lvl w:ilvl="4" w:tplc="489F62FB">
      <w:start w:val="1"/>
      <w:numFmt w:val="bullet"/>
      <w:suff w:val="tab"/>
      <w:lvlText w:val="·"/>
      <w:lvlJc w:val="left"/>
      <w:pPr>
        <w:ind w:hanging="360" w:left="3600"/>
      </w:pPr>
      <w:rPr>
        <w:rFonts w:ascii="Symbol" w:hAnsi="Symbol"/>
      </w:rPr>
    </w:lvl>
    <w:lvl w:ilvl="5" w:tplc="7ED439F3">
      <w:start w:val="1"/>
      <w:numFmt w:val="bullet"/>
      <w:suff w:val="tab"/>
      <w:lvlText w:val="o"/>
      <w:lvlJc w:val="left"/>
      <w:pPr>
        <w:ind w:hanging="360" w:left="4320"/>
      </w:pPr>
      <w:rPr>
        <w:rFonts w:ascii="Symbol" w:hAnsi="Symbol"/>
      </w:rPr>
    </w:lvl>
    <w:lvl w:ilvl="6" w:tplc="7F9A2A2E">
      <w:start w:val="1"/>
      <w:numFmt w:val="bullet"/>
      <w:suff w:val="tab"/>
      <w:lvlText w:val="·"/>
      <w:lvlJc w:val="left"/>
      <w:pPr>
        <w:ind w:hanging="360" w:left="5040"/>
      </w:pPr>
      <w:rPr>
        <w:rFonts w:ascii="Symbol" w:hAnsi="Symbol"/>
      </w:rPr>
    </w:lvl>
    <w:lvl w:ilvl="7" w:tplc="7BCA8448">
      <w:start w:val="1"/>
      <w:numFmt w:val="bullet"/>
      <w:suff w:val="tab"/>
      <w:lvlText w:val="o"/>
      <w:lvlJc w:val="left"/>
      <w:pPr>
        <w:ind w:hanging="360" w:left="5760"/>
      </w:pPr>
      <w:rPr>
        <w:rFonts w:ascii="Symbol" w:hAnsi="Symbol"/>
      </w:rPr>
    </w:lvl>
    <w:lvl w:ilvl="8" w:tplc="6BB80C7F">
      <w:start w:val="1"/>
      <w:numFmt w:val="bullet"/>
      <w:suff w:val="tab"/>
      <w:lvlText w:val="·"/>
      <w:lvlJc w:val="left"/>
      <w:pPr>
        <w:ind w:hanging="360" w:left="6480"/>
      </w:pPr>
      <w:rPr>
        <w:rFonts w:ascii="Symbol" w:hAnsi="Symbol"/>
      </w:rPr>
    </w:lvl>
  </w:abstractNum>
  <w:num w:numId="1">
    <w:abstractNumId w:val="43"/>
  </w:num>
  <w:num w:numId="2">
    <w:abstractNumId w:val="37"/>
  </w:num>
  <w:num w:numId="3">
    <w:abstractNumId w:val="41"/>
  </w:num>
  <w:num w:numId="4">
    <w:abstractNumId w:val="13"/>
  </w:num>
  <w:num w:numId="5">
    <w:abstractNumId w:val="32"/>
  </w:num>
  <w:num w:numId="6">
    <w:abstractNumId w:val="19"/>
  </w:num>
  <w:num w:numId="7">
    <w:abstractNumId w:val="1"/>
  </w:num>
  <w:num w:numId="8">
    <w:abstractNumId w:val="8"/>
  </w:num>
  <w:num w:numId="9">
    <w:abstractNumId w:val="21"/>
  </w:num>
  <w:num w:numId="10">
    <w:abstractNumId w:val="22"/>
  </w:num>
  <w:num w:numId="11">
    <w:abstractNumId w:val="25"/>
  </w:num>
  <w:num w:numId="12">
    <w:abstractNumId w:val="20"/>
  </w:num>
  <w:num w:numId="13">
    <w:abstractNumId w:val="4"/>
  </w:num>
  <w:num w:numId="14">
    <w:abstractNumId w:val="30"/>
  </w:num>
  <w:num w:numId="15">
    <w:abstractNumId w:val="39"/>
  </w:num>
  <w:num w:numId="16">
    <w:abstractNumId w:val="31"/>
  </w:num>
  <w:num w:numId="17">
    <w:abstractNumId w:val="10"/>
  </w:num>
  <w:num w:numId="18">
    <w:abstractNumId w:val="11"/>
  </w:num>
  <w:num w:numId="19">
    <w:abstractNumId w:val="17"/>
  </w:num>
  <w:num w:numId="20">
    <w:abstractNumId w:val="45"/>
  </w:num>
  <w:num w:numId="21">
    <w:abstractNumId w:val="27"/>
  </w:num>
  <w:num w:numId="22">
    <w:abstractNumId w:val="35"/>
  </w:num>
  <w:num w:numId="23">
    <w:abstractNumId w:val="40"/>
  </w:num>
  <w:num w:numId="24">
    <w:abstractNumId w:val="42"/>
  </w:num>
  <w:num w:numId="25">
    <w:abstractNumId w:val="24"/>
  </w:num>
  <w:num w:numId="26">
    <w:abstractNumId w:val="6"/>
  </w:num>
  <w:num w:numId="27">
    <w:abstractNumId w:val="0"/>
  </w:num>
  <w:num w:numId="28">
    <w:abstractNumId w:val="4"/>
  </w:num>
  <w:num w:numId="29">
    <w:abstractNumId w:val="2"/>
  </w:num>
  <w:num w:numId="30">
    <w:abstractNumId w:val="15"/>
  </w:num>
  <w:num w:numId="31">
    <w:abstractNumId w:val="33"/>
  </w:num>
  <w:num w:numId="32">
    <w:abstractNumId w:val="16"/>
  </w:num>
  <w:num w:numId="33">
    <w:abstractNumId w:val="12"/>
  </w:num>
  <w:num w:numId="34">
    <w:abstractNumId w:val="7"/>
  </w:num>
  <w:num w:numId="35">
    <w:abstractNumId w:val="23"/>
  </w:num>
  <w:num w:numId="36">
    <w:abstractNumId w:val="36"/>
  </w:num>
  <w:num w:numId="37">
    <w:abstractNumId w:val="14"/>
  </w:num>
  <w:num w:numId="38">
    <w:abstractNumId w:val="3"/>
  </w:num>
  <w:num w:numId="39">
    <w:abstractNumId w:val="44"/>
  </w:num>
  <w:num w:numId="40">
    <w:abstractNumId w:val="9"/>
  </w:num>
  <w:num w:numId="41">
    <w:abstractNumId w:val="38"/>
  </w:num>
  <w:num w:numId="42">
    <w:abstractNumId w:val="26"/>
  </w:num>
  <w:num w:numId="43">
    <w:abstractNumId w:val="29"/>
  </w:num>
  <w:num w:numId="44">
    <w:abstractNumId w:val="18"/>
  </w:num>
  <w:num w:numId="45">
    <w:abstractNumId w:val="5"/>
  </w:num>
  <w:num w:numId="46">
    <w:abstractNumId w:val="28"/>
  </w:num>
  <w:num w:numId="47">
    <w:abstractNumId w:val="34"/>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bering>
</file>

<file path=word/settings.xml><?xml version="1.0" encoding="utf-8"?>
<w:settings xmlns:w="http://schemas.openxmlformats.org/wordprocessingml/2006/main">
  <w:displayBackgroundShape w:val="0"/>
  <w:defaultTabStop w:val="48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rial" w:hAnsi="Arial" w:cs="Arial" w:eastAsia="Calibri"/>
        <w:sz w:val="20"/>
        <w:szCs w:val="22"/>
        <w:lang w:val="de-DE" w:bidi="ar-SA" w:eastAsia="de-D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rFonts w:ascii="Times New Roman" w:hAnsi="Times New Roman" w:eastAsia="Times New Roman"/>
      <w:strike w:val="0"/>
      <w:lang w:bidi="he-IL"/>
    </w:rPr>
  </w:style>
  <w:style w:type="paragraph" w:styleId="P1">
    <w:name w:val="Heading 1"/>
    <w:basedOn w:val="P0"/>
    <w:next w:val="P0"/>
    <w:qFormat/>
    <w:pPr>
      <w:keepNext w:val="1"/>
      <w:outlineLvl w:val="0"/>
    </w:pPr>
    <w:rPr>
      <w:rFonts w:ascii="Arial" w:hAnsi="Arial"/>
      <w:b w:val="1"/>
      <w:bCs w:val="1"/>
    </w:rPr>
  </w:style>
  <w:style w:type="paragraph" w:styleId="P2">
    <w:name w:val="Heading 4"/>
    <w:basedOn w:val="P0"/>
    <w:next w:val="P0"/>
    <w:link w:val="C18"/>
    <w:semiHidden/>
    <w:qFormat/>
    <w:pPr>
      <w:keepNext w:val="1"/>
      <w:keepLines w:val="1"/>
      <w:spacing w:before="40" w:beforeAutospacing="0" w:afterAutospacing="0"/>
      <w:outlineLvl w:val="3"/>
    </w:pPr>
    <w:rPr>
      <w:rFonts w:asciiTheme="majorHAnsi" w:hAnsiTheme="majorHAnsi" w:cstheme="majorBidi" w:eastAsiaTheme="majorEastAsia"/>
      <w:i w:val="1"/>
      <w:iCs w:val="1"/>
      <w:color w:val="2E75B5" w:themeColor="accent1" w:themeShade="BF"/>
    </w:rPr>
  </w:style>
  <w:style w:type="paragraph" w:styleId="P3">
    <w:name w:val="Heading 5"/>
    <w:basedOn w:val="P0"/>
    <w:next w:val="P0"/>
    <w:link w:val="C14"/>
    <w:semiHidden/>
    <w:qFormat/>
    <w:pPr>
      <w:keepNext w:val="1"/>
      <w:keepLines w:val="1"/>
      <w:spacing w:before="200" w:beforeAutospacing="0" w:afterAutospacing="0"/>
      <w:outlineLvl w:val="4"/>
    </w:pPr>
    <w:rPr>
      <w:rFonts w:ascii="Cambria" w:hAnsi="Cambria"/>
      <w:color w:val="243F60"/>
    </w:rPr>
  </w:style>
  <w:style w:type="paragraph" w:styleId="P4">
    <w:name w:val="Heading 6"/>
    <w:basedOn w:val="P0"/>
    <w:next w:val="P0"/>
    <w:qFormat/>
    <w:pPr>
      <w:keepNext w:val="1"/>
      <w:keepLines w:val="1"/>
      <w:spacing w:before="200" w:beforeAutospacing="0" w:afterAutospacing="0"/>
      <w:outlineLvl w:val="5"/>
    </w:pPr>
    <w:rPr>
      <w:rFonts w:ascii="Cambria" w:hAnsi="Cambria"/>
      <w:i w:val="1"/>
      <w:iCs w:val="1"/>
      <w:color w:val="243F60"/>
    </w:rPr>
  </w:style>
  <w:style w:type="paragraph" w:styleId="P5">
    <w:name w:val="Header"/>
    <w:aliases w:val="Unterstreichen,Unterstreichen Char"/>
    <w:basedOn w:val="P0"/>
    <w:link w:val="C15"/>
    <w:pPr>
      <w:tabs>
        <w:tab w:val="center" w:pos="4536" w:leader="none"/>
        <w:tab w:val="right" w:pos="9072" w:leader="none"/>
      </w:tabs>
    </w:pPr>
    <w:rPr/>
  </w:style>
  <w:style w:type="paragraph" w:styleId="P6">
    <w:name w:val="Plain Text"/>
    <w:basedOn w:val="P0"/>
    <w:semiHidden/>
    <w:pPr/>
    <w:rPr>
      <w:rFonts w:ascii="Courier New" w:hAnsi="Courier New"/>
    </w:rPr>
  </w:style>
  <w:style w:type="paragraph" w:styleId="P7">
    <w:name w:val="Body Text 3"/>
    <w:basedOn w:val="P0"/>
    <w:semiHidden/>
    <w:pPr/>
    <w:rPr>
      <w:rFonts w:ascii="Arial" w:hAnsi="Arial" w:cs="Arial"/>
      <w:color w:val="FF0000"/>
    </w:rPr>
  </w:style>
  <w:style w:type="paragraph" w:styleId="P8">
    <w:name w:val="Footer"/>
    <w:basedOn w:val="P0"/>
    <w:pPr>
      <w:tabs>
        <w:tab w:val="center" w:pos="4536" w:leader="none"/>
        <w:tab w:val="right" w:pos="9072" w:leader="none"/>
      </w:tabs>
    </w:pPr>
    <w:rPr/>
  </w:style>
  <w:style w:type="paragraph" w:styleId="P9">
    <w:name w:val="Balloon Text"/>
    <w:basedOn w:val="P0"/>
    <w:semiHidden/>
    <w:pPr/>
    <w:rPr>
      <w:rFonts w:ascii="Tahoma" w:hAnsi="Tahoma" w:cs="Tahoma"/>
      <w:sz w:val="16"/>
      <w:szCs w:val="16"/>
    </w:rPr>
  </w:style>
  <w:style w:type="paragraph" w:styleId="P10">
    <w:name w:val="List Paragraph"/>
    <w:basedOn w:val="P0"/>
    <w:qFormat/>
    <w:pPr>
      <w:ind w:left="708"/>
    </w:pPr>
    <w:rPr/>
  </w:style>
  <w:style w:type="paragraph" w:styleId="P11">
    <w:name w:val="Body Text"/>
    <w:basedOn w:val="P0"/>
    <w:pPr>
      <w:spacing w:after="120" w:beforeAutospacing="0" w:afterAutospacing="0"/>
    </w:pPr>
    <w:rPr/>
  </w:style>
  <w:style w:type="paragraph" w:styleId="P12">
    <w:name w:val="Einrückung"/>
    <w:basedOn w:val="P0"/>
    <w:pPr>
      <w:ind w:left="680"/>
      <w:jc w:val="both"/>
    </w:pPr>
    <w:rPr>
      <w:rFonts w:ascii="Arial" w:hAnsi="Arial"/>
      <w:sz w:val="22"/>
      <w:lang w:bidi="ar-SA"/>
    </w:rPr>
  </w:style>
  <w:style w:type="paragraph" w:styleId="P13">
    <w:name w:val="StandartAbst"/>
    <w:basedOn w:val="P0"/>
    <w:pPr>
      <w:spacing w:before="40" w:after="40" w:beforeAutospacing="0" w:afterAutospacing="0"/>
    </w:pPr>
    <w:rPr>
      <w:rFonts w:ascii="FuturaLight" w:hAnsi="FuturaLight"/>
      <w:sz w:val="18"/>
      <w:lang w:bidi="ar-SA"/>
    </w:rPr>
  </w:style>
  <w:style w:type="paragraph" w:styleId="P14">
    <w:name w:val="Revision"/>
    <w:hidden/>
    <w:semiHidden/>
    <w:pPr/>
    <w:rPr>
      <w:rFonts w:ascii="Times New Roman" w:hAnsi="Times New Roman" w:eastAsia="Times New Roman"/>
      <w:lang w:bidi="he-IL"/>
    </w:rPr>
  </w:style>
  <w:style w:type="paragraph" w:styleId="P15">
    <w:name w:val="annotation text"/>
    <w:basedOn w:val="P0"/>
    <w:link w:val="C13"/>
    <w:pPr/>
    <w:rPr/>
  </w:style>
  <w:style w:type="paragraph" w:styleId="P16">
    <w:name w:val="No Spacing"/>
    <w:qFormat/>
    <w:pPr/>
    <w:rPr>
      <w:rFonts w:ascii="Times New Roman" w:hAnsi="Times New Roman" w:eastAsia="Times New Roman"/>
      <w:lang w:bidi="he-IL"/>
    </w:rPr>
  </w:style>
  <w:style w:type="paragraph" w:styleId="P17">
    <w:name w:val="Normal (Web)"/>
    <w:basedOn w:val="P0"/>
    <w:pPr>
      <w:spacing w:before="100" w:after="100" w:beforeAutospacing="1" w:afterAutospacing="1"/>
    </w:pPr>
    <w:rPr>
      <w:rFonts w:eastAsia="Calibri"/>
      <w:sz w:val="24"/>
      <w:szCs w:val="24"/>
      <w:lang w:bidi="ar-SA"/>
    </w:rPr>
  </w:style>
  <w:style w:type="paragraph" w:styleId="P18">
    <w:name w:val="Default"/>
    <w:pPr/>
    <w:rPr>
      <w:rFonts w:ascii="Arial" w:hAnsi="Arial" w:cs="Arial"/>
      <w:color w:val="000000"/>
      <w:sz w:val="24"/>
      <w:szCs w:val="24"/>
    </w:rPr>
  </w:style>
  <w:style w:type="paragraph" w:styleId="P19">
    <w:name w:val="annotation subject"/>
    <w:basedOn w:val="P15"/>
    <w:next w:val="P15"/>
    <w:link w:val="C16"/>
    <w:semiHidden/>
    <w:pPr/>
    <w:rPr>
      <w:b w:val="1"/>
      <w:bCs w:val="1"/>
    </w:rPr>
  </w:style>
  <w:style w:type="paragraph" w:styleId="P20">
    <w:name w:val="Body Text Indent 3"/>
    <w:basedOn w:val="P0"/>
    <w:link w:val="C17"/>
    <w:semiHidden/>
    <w:pPr>
      <w:spacing w:after="120" w:beforeAutospacing="0" w:afterAutospacing="0"/>
      <w:ind w:left="283"/>
    </w:pPr>
    <w:rPr>
      <w:sz w:val="16"/>
      <w:szCs w:val="16"/>
    </w:rPr>
  </w:style>
  <w:style w:type="paragraph" w:styleId="P21">
    <w:name w:val="Footnote Text"/>
    <w:link w:val="C22"/>
    <w:semiHidden/>
    <w:pPr>
      <w:spacing w:lineRule="auto" w:line="240" w:after="0"/>
    </w:pPr>
    <w:rPr>
      <w:sz w:val="20"/>
      <w:szCs w:val="20"/>
    </w:rPr>
  </w:style>
  <w:style w:type="paragraph" w:styleId="P22">
    <w:name w:val="Endnote Text"/>
    <w:link w:val="C24"/>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Kopfzeile Zchn"/>
    <w:aliases w:val="Unterstreichen Zchn,Unterstreichen Char Zchn"/>
    <w:rPr>
      <w:rFonts w:ascii="Times New Roman" w:hAnsi="Times New Roman" w:cs="Times New Roman" w:eastAsia="Times New Roman"/>
      <w:sz w:val="20"/>
      <w:szCs w:val="20"/>
      <w:lang w:bidi="he-IL" w:eastAsia="de-DE"/>
    </w:rPr>
  </w:style>
  <w:style w:type="character" w:styleId="C4">
    <w:name w:val="Überschrift 1 Zchn"/>
    <w:rPr>
      <w:rFonts w:ascii="Arial" w:hAnsi="Arial" w:cs="Times New Roman" w:eastAsia="Times New Roman"/>
      <w:b w:val="1"/>
      <w:bCs w:val="1"/>
      <w:sz w:val="20"/>
      <w:szCs w:val="20"/>
      <w:lang w:bidi="he-IL" w:eastAsia="de-DE"/>
    </w:rPr>
  </w:style>
  <w:style w:type="character" w:styleId="C5">
    <w:name w:val="Nur Text Zchn"/>
    <w:rPr>
      <w:rFonts w:ascii="Courier New" w:hAnsi="Courier New" w:cs="Times New Roman" w:eastAsia="Times New Roman"/>
      <w:sz w:val="20"/>
      <w:szCs w:val="20"/>
      <w:lang w:bidi="he-IL" w:eastAsia="de-DE"/>
    </w:rPr>
  </w:style>
  <w:style w:type="character" w:styleId="C6">
    <w:name w:val="Textkörper 3 Zchn"/>
    <w:rPr>
      <w:rFonts w:ascii="Arial" w:hAnsi="Arial" w:cs="Arial" w:eastAsia="Times New Roman"/>
      <w:color w:val="FF0000"/>
      <w:sz w:val="20"/>
      <w:szCs w:val="20"/>
      <w:lang w:bidi="he-IL" w:eastAsia="de-DE"/>
    </w:rPr>
  </w:style>
  <w:style w:type="character" w:styleId="C7">
    <w:name w:val="Fußzeile Zchn"/>
    <w:rPr>
      <w:rFonts w:ascii="Times New Roman" w:hAnsi="Times New Roman" w:cs="Times New Roman" w:eastAsia="Times New Roman"/>
      <w:sz w:val="20"/>
      <w:szCs w:val="20"/>
      <w:lang w:bidi="he-IL" w:eastAsia="de-DE"/>
    </w:rPr>
  </w:style>
  <w:style w:type="character" w:styleId="C8">
    <w:name w:val="Überschrift 6 Zchn"/>
    <w:semiHidden/>
    <w:rPr>
      <w:rFonts w:ascii="Cambria" w:hAnsi="Cambria" w:cs="Times New Roman" w:eastAsia="Times New Roman"/>
      <w:i w:val="1"/>
      <w:iCs w:val="1"/>
      <w:color w:val="243F60"/>
      <w:sz w:val="20"/>
      <w:szCs w:val="20"/>
      <w:lang w:bidi="he-IL" w:eastAsia="de-DE"/>
    </w:rPr>
  </w:style>
  <w:style w:type="character" w:styleId="C9">
    <w:name w:val="Page Number"/>
    <w:basedOn w:val="C0"/>
    <w:semiHidden/>
    <w:rPr/>
  </w:style>
  <w:style w:type="character" w:styleId="C10">
    <w:name w:val="Sprechblasentext Zchn"/>
    <w:semiHidden/>
    <w:rPr>
      <w:rFonts w:ascii="Tahoma" w:hAnsi="Tahoma" w:cs="Tahoma" w:eastAsia="Times New Roman"/>
      <w:sz w:val="16"/>
      <w:szCs w:val="16"/>
      <w:lang w:bidi="he-IL" w:eastAsia="de-DE"/>
    </w:rPr>
  </w:style>
  <w:style w:type="character" w:styleId="C11">
    <w:name w:val="Textkörper Zchn"/>
    <w:rPr>
      <w:rFonts w:ascii="Times New Roman" w:hAnsi="Times New Roman" w:eastAsia="Times New Roman"/>
      <w:lang w:bidi="he-IL"/>
    </w:rPr>
  </w:style>
  <w:style w:type="character" w:styleId="C12">
    <w:name w:val="annotation reference"/>
    <w:semiHidden/>
    <w:rPr>
      <w:sz w:val="16"/>
      <w:szCs w:val="16"/>
    </w:rPr>
  </w:style>
  <w:style w:type="character" w:styleId="C13">
    <w:name w:val="Kommentartext Zchn"/>
    <w:link w:val="P15"/>
    <w:rPr>
      <w:rFonts w:ascii="Times New Roman" w:hAnsi="Times New Roman" w:eastAsia="Times New Roman"/>
      <w:lang w:bidi="he-IL"/>
    </w:rPr>
  </w:style>
  <w:style w:type="character" w:styleId="C14">
    <w:name w:val="Überschrift 5 Zchn"/>
    <w:link w:val="P3"/>
    <w:semiHidden/>
    <w:rPr>
      <w:rFonts w:ascii="Cambria" w:hAnsi="Cambria" w:cs="Times New Roman" w:eastAsia="Times New Roman"/>
      <w:color w:val="243F60"/>
      <w:lang w:bidi="he-IL"/>
    </w:rPr>
  </w:style>
  <w:style w:type="character" w:styleId="C15">
    <w:name w:val="Kopfzeile Zchn1"/>
    <w:aliases w:val="Unterstreichen Zchn1,Unterstreichen Char Zchn1"/>
    <w:link w:val="P5"/>
    <w:rPr>
      <w:rFonts w:ascii="Times New Roman" w:hAnsi="Times New Roman" w:eastAsia="Times New Roman"/>
      <w:lang w:bidi="he-IL"/>
    </w:rPr>
  </w:style>
  <w:style w:type="character" w:styleId="C16">
    <w:name w:val="Kommentarthema Zchn"/>
    <w:basedOn w:val="C13"/>
    <w:link w:val="P19"/>
    <w:semiHidden/>
    <w:rPr>
      <w:rFonts w:ascii="Times New Roman" w:hAnsi="Times New Roman" w:eastAsia="Times New Roman"/>
      <w:b w:val="1"/>
      <w:bCs w:val="1"/>
      <w:lang w:bidi="he-IL"/>
    </w:rPr>
  </w:style>
  <w:style w:type="character" w:styleId="C17">
    <w:name w:val="Textkörper-Einzug 3 Zchn"/>
    <w:basedOn w:val="C0"/>
    <w:link w:val="P20"/>
    <w:semiHidden/>
    <w:rPr>
      <w:rFonts w:ascii="Times New Roman" w:hAnsi="Times New Roman" w:eastAsia="Times New Roman"/>
      <w:sz w:val="16"/>
      <w:szCs w:val="16"/>
      <w:lang w:bidi="he-IL"/>
    </w:rPr>
  </w:style>
  <w:style w:type="character" w:styleId="C18">
    <w:name w:val="Überschrift 4 Zchn"/>
    <w:basedOn w:val="C0"/>
    <w:link w:val="P2"/>
    <w:semiHidden/>
    <w:rPr>
      <w:rFonts w:asciiTheme="majorHAnsi" w:hAnsiTheme="majorHAnsi" w:cstheme="majorBidi" w:eastAsiaTheme="majorEastAsia"/>
      <w:i w:val="1"/>
      <w:iCs w:val="1"/>
      <w:color w:val="2E75B5" w:themeColor="accent1" w:themeShade="BF"/>
      <w:lang w:bidi="he-IL"/>
    </w:rPr>
  </w:style>
  <w:style w:type="character" w:styleId="C19">
    <w:name w:val="Unresolved Mention1"/>
    <w:basedOn w:val="C0"/>
    <w:semiHidden/>
    <w:rPr>
      <w:color w:val="605E5C"/>
      <w:shd w:val="clear" w:color="auto" w:fill="E1DFDD"/>
    </w:rPr>
  </w:style>
  <w:style w:type="character" w:styleId="C20">
    <w:name w:val="FollowedHyperlink"/>
    <w:basedOn w:val="C0"/>
    <w:semiHidden/>
    <w:rPr>
      <w:color w:val="954F72" w:themeColor="followedHyperlink"/>
      <w:u w:val="single"/>
    </w:rPr>
  </w:style>
  <w:style w:type="character" w:styleId="C21">
    <w:name w:val="Footnote Reference"/>
    <w:semiHidden/>
    <w:rPr>
      <w:vertAlign w:val="superscript"/>
    </w:rPr>
  </w:style>
  <w:style w:type="character" w:styleId="C22">
    <w:name w:val="Footnote Text Char"/>
    <w:link w:val="P21"/>
    <w:semiHidden/>
    <w:rPr>
      <w:sz w:val="20"/>
      <w:szCs w:val="20"/>
    </w:rPr>
  </w:style>
  <w:style w:type="character" w:styleId="C23">
    <w:name w:val="Endnote Reference"/>
    <w:semiHidden/>
    <w:rPr>
      <w:vertAlign w:val="superscript"/>
    </w:rPr>
  </w:style>
  <w:style w:type="character" w:styleId="C24">
    <w:name w:val="Endnote Text Char"/>
    <w:link w:val="P22"/>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ellenraster1"/>
    <w:basedOn w:val="T0"/>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Table Grid"/>
    <w:basedOn w:val="T0"/>
    <w:rPr>
      <w:sz w:val="22"/>
      <w:szCs w:val="22"/>
      <w:lang w:eastAsia="en-US"/>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www.oncomap.de/" TargetMode="External" /><Relationship Id="R3" Type="http://schemas.openxmlformats.org/officeDocument/2006/relationships/hyperlink" Target="www.leitlinienprogramm-onkologie.de" TargetMode="External" /><Relationship Id="R4" Type="http://schemas.openxmlformats.org/officeDocument/2006/relationships/hyperlink" Target="www.ecc-cert.org" TargetMode="External" /><Relationship Id="R5" Type="http://schemas.openxmlformats.org/officeDocument/2006/relationships/hyperlink" Target="www.ecc-cert.org" TargetMode="External" /><Relationship Id="R6" Type="http://schemas.openxmlformats.org/officeDocument/2006/relationships/hyperlink" Target="http://ecc-cert.org/" TargetMode="External" /><Relationship Id="R7" Type="http://schemas.openxmlformats.org/officeDocument/2006/relationships/hyperlink" Target="http://www.onkozert.de/" TargetMode="External" /><Relationship Id="RelHdr1" Type="http://schemas.openxmlformats.org/officeDocument/2006/relationships/header" Target="header1.xml"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5bac2-78e3-4365-97dd-f5b6a8394e64}">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DKG</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DKG</dc:creator>
  <dcterms:created xsi:type="dcterms:W3CDTF">2022-06-29T09:33:00Z</dcterms:created>
  <cp:lastPrinted>2022-09-26T14:54:00Z</cp:lastPrinted>
  <dcterms:modified xsi:type="dcterms:W3CDTF">2025-01-24T12:08:36Z</dcterms:modified>
  <cp:revision>46</cp:revision>
  <dc:subject>Vers H1, 16 Aug. 2024</dc:subject>
  <dc:title>cr_mnoc-H1_ENG_240816.docx</dc:title>
  <cp:version>H1</cp:version>
</cp:coreProperties>
</file>