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 Id="customR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tabs>
          <w:tab w:val="left" w:pos="10348" w:leader="none"/>
        </w:tabs>
        <w:rPr>
          <w:rFonts w:ascii="Arial" w:hAnsi="Arial"/>
          <w:b w:val="1"/>
          <w:sz w:val="64"/>
          <w:szCs w:val="64"/>
          <w:lang w:val="en-GB"/>
        </w:rPr>
      </w:pPr>
      <w:r>
        <w:rPr>
          <w:rFonts w:ascii="Arial" w:hAnsi="Arial"/>
          <w:b w:val="1"/>
          <w:sz w:val="64"/>
          <w:lang w:val="en-GB"/>
        </w:rPr>
        <w:t>Catalogue of Requirements for</w:t>
      </w:r>
    </w:p>
    <w:p>
      <w:pPr>
        <w:tabs>
          <w:tab w:val="left" w:pos="1985" w:leader="none"/>
        </w:tabs>
        <w:rPr>
          <w:rFonts w:ascii="Arial" w:hAnsi="Arial"/>
          <w:b w:val="1"/>
          <w:sz w:val="32"/>
          <w:szCs w:val="32"/>
          <w:lang w:val="en-GB"/>
        </w:rPr>
      </w:pPr>
      <w:r>
        <w:rPr>
          <w:rFonts w:ascii="Arial" w:hAnsi="Arial"/>
          <w:b w:val="1"/>
          <w:bCs w:val="1"/>
          <w:sz w:val="60"/>
          <w:szCs w:val="60"/>
          <w:lang w:val="en-GB"/>
        </w:rPr>
        <w:t>Centre for Haematological Neoplasia</w:t>
      </w:r>
    </w:p>
    <w:p>
      <w:pPr>
        <w:tabs>
          <w:tab w:val="left" w:pos="1985" w:leader="none"/>
        </w:tabs>
        <w:rPr>
          <w:rFonts w:ascii="Arial" w:hAnsi="Arial"/>
          <w:b w:val="1"/>
          <w:sz w:val="32"/>
          <w:szCs w:val="32"/>
          <w:lang w:val="en-GB"/>
        </w:rPr>
      </w:pPr>
      <w:r>
        <w:rPr>
          <w:rFonts w:ascii="Arial" w:hAnsi="Arial"/>
          <w:b w:val="1"/>
          <w:sz w:val="32"/>
          <w:szCs w:val="32"/>
          <w:lang w:val="en-GB"/>
        </w:rPr>
        <w:t>of the German Cancer Society</w:t>
      </w:r>
    </w:p>
    <w:p>
      <w:pPr>
        <w:rPr>
          <w:rFonts w:ascii="Arial" w:hAnsi="Arial"/>
          <w:lang w:val="en-GB"/>
        </w:rPr>
      </w:pPr>
    </w:p>
    <w:p>
      <w:pPr>
        <w:pStyle w:val="P4"/>
        <w:tabs>
          <w:tab w:val="clear" w:pos="4536" w:leader="none"/>
          <w:tab w:val="clear" w:pos="9072" w:leader="none"/>
        </w:tabs>
        <w:rPr>
          <w:rFonts w:ascii="Arial" w:hAnsi="Arial"/>
          <w:b w:val="1"/>
          <w:lang w:val="en-GB"/>
        </w:rPr>
      </w:pPr>
      <w:r>
        <w:rPr>
          <w:rFonts w:ascii="Arial" w:hAnsi="Arial" w:cs="Arial"/>
          <w:b w:val="1"/>
          <w:lang w:val="en-GB"/>
        </w:rPr>
        <w:t xml:space="preserve">Prepared by the </w:t>
      </w:r>
      <w:r>
        <w:rPr>
          <w:rFonts w:ascii="Arial" w:hAnsi="Arial"/>
          <w:b w:val="1"/>
          <w:lang w:val="en-GB"/>
        </w:rPr>
        <w:t>Certification Commission for Haematological Neoplasia Centres</w:t>
      </w:r>
    </w:p>
    <w:p>
      <w:pPr>
        <w:rPr>
          <w:rFonts w:ascii="Arial" w:hAnsi="Arial"/>
          <w:lang w:val="en-GB"/>
        </w:rPr>
      </w:pPr>
    </w:p>
    <w:p>
      <w:pPr>
        <w:rPr>
          <w:rFonts w:ascii="Arial" w:hAnsi="Arial"/>
          <w:b w:val="1"/>
          <w:lang w:val="en-GB"/>
        </w:rPr>
      </w:pPr>
      <w:r>
        <w:rPr>
          <w:rFonts w:ascii="Arial" w:hAnsi="Arial"/>
          <w:b w:val="1"/>
          <w:lang w:val="en-GB"/>
        </w:rPr>
        <w:t xml:space="preserve">Chairpersons of the Certification Commission: </w:t>
      </w:r>
      <w:r>
        <w:rPr>
          <w:rFonts w:ascii="Arial" w:hAnsi="Arial"/>
          <w:lang w:val="en-GB"/>
        </w:rPr>
        <w:t>Prof Dr F. Weißinger, Prof Dr S. Krause</w:t>
      </w:r>
    </w:p>
    <w:p>
      <w:pPr>
        <w:pStyle w:val="P4"/>
        <w:tabs>
          <w:tab w:val="clear" w:pos="4536" w:leader="none"/>
          <w:tab w:val="clear" w:pos="9072" w:leader="none"/>
        </w:tabs>
        <w:rPr>
          <w:rFonts w:ascii="Arial" w:hAnsi="Arial"/>
          <w:b w:val="1"/>
          <w:lang w:val="en-GB"/>
        </w:rPr>
      </w:pPr>
    </w:p>
    <w:p>
      <w:pPr>
        <w:pStyle w:val="P15"/>
        <w:rPr>
          <w:rFonts w:ascii="Arial" w:hAnsi="Arial"/>
          <w:b w:val="1"/>
          <w:sz w:val="18"/>
          <w:szCs w:val="18"/>
          <w:lang w:val="en-GB"/>
        </w:rPr>
      </w:pPr>
      <w:r>
        <w:rPr>
          <w:rFonts w:ascii="Arial" w:hAnsi="Arial"/>
          <w:b w:val="1"/>
          <w:sz w:val="18"/>
          <w:szCs w:val="18"/>
          <w:lang w:val="en-GB"/>
        </w:rPr>
        <w:t>Members (in alphabetical order):</w:t>
      </w:r>
    </w:p>
    <w:p>
      <w:pPr>
        <w:pStyle w:val="P15"/>
        <w:rPr>
          <w:rFonts w:ascii="Arial" w:hAnsi="Arial"/>
          <w:b w:val="1"/>
          <w:sz w:val="18"/>
          <w:szCs w:val="18"/>
          <w:lang w:val="en-GB"/>
        </w:rPr>
      </w:pPr>
    </w:p>
    <w:p>
      <w:pPr>
        <w:rPr>
          <w:rFonts w:ascii="Arial" w:hAnsi="Arial"/>
          <w:sz w:val="18"/>
          <w:szCs w:val="18"/>
          <w:lang w:val="en-GB"/>
        </w:rPr>
      </w:pPr>
      <w:bookmarkStart w:id="0" w:name="_Hlk168069079"/>
      <w:r>
        <w:rPr>
          <w:rFonts w:ascii="Arial" w:hAnsi="Arial"/>
          <w:sz w:val="18"/>
          <w:szCs w:val="18"/>
          <w:lang w:val="en-GB"/>
        </w:rPr>
        <w:t>ABO - Working Group Imaging in Oncology</w:t>
      </w:r>
    </w:p>
    <w:p>
      <w:pPr>
        <w:rPr>
          <w:rFonts w:ascii="Arial" w:hAnsi="Arial"/>
          <w:sz w:val="18"/>
          <w:szCs w:val="18"/>
          <w:lang w:val="en-GB"/>
        </w:rPr>
      </w:pPr>
      <w:r>
        <w:rPr>
          <w:rFonts w:ascii="Arial" w:hAnsi="Arial"/>
          <w:sz w:val="18"/>
          <w:szCs w:val="18"/>
          <w:lang w:val="en-GB"/>
        </w:rPr>
        <w:t>ADT - Association of German Tumour Centres</w:t>
      </w:r>
    </w:p>
    <w:p>
      <w:pPr>
        <w:rPr>
          <w:rFonts w:ascii="Arial" w:hAnsi="Arial"/>
          <w:sz w:val="18"/>
          <w:szCs w:val="18"/>
          <w:lang w:val="en-GB"/>
        </w:rPr>
      </w:pPr>
      <w:r>
        <w:rPr>
          <w:rFonts w:ascii="Arial" w:hAnsi="Arial"/>
          <w:sz w:val="18"/>
          <w:szCs w:val="18"/>
          <w:lang w:val="en-GB"/>
        </w:rPr>
        <w:t>AET - Hereditary Tumour Diseases Working Group</w:t>
      </w:r>
    </w:p>
    <w:p>
      <w:pPr>
        <w:rPr>
          <w:rFonts w:ascii="Arial" w:hAnsi="Arial"/>
          <w:sz w:val="18"/>
          <w:szCs w:val="18"/>
          <w:lang w:val="en-GB"/>
        </w:rPr>
      </w:pPr>
      <w:r>
        <w:rPr>
          <w:rFonts w:ascii="Arial" w:hAnsi="Arial"/>
          <w:sz w:val="18"/>
          <w:szCs w:val="18"/>
          <w:lang w:val="en-GB"/>
        </w:rPr>
        <w:t>AGORS - Working Group for Rehabilitation and Social Medicine</w:t>
      </w:r>
    </w:p>
    <w:p>
      <w:pPr>
        <w:rPr>
          <w:rFonts w:ascii="Arial" w:hAnsi="Arial"/>
          <w:sz w:val="18"/>
          <w:szCs w:val="18"/>
          <w:lang w:val="en-GB"/>
        </w:rPr>
      </w:pPr>
      <w:r>
        <w:rPr>
          <w:rFonts w:ascii="Arial" w:hAnsi="Arial"/>
          <w:sz w:val="18"/>
          <w:szCs w:val="18"/>
          <w:lang w:val="en-GB"/>
        </w:rPr>
        <w:t>AGSMO - Working Group on Supportive Measures in Oncology (</w:t>
      </w:r>
    </w:p>
    <w:p>
      <w:pPr>
        <w:rPr>
          <w:rFonts w:ascii="Arial" w:hAnsi="Arial"/>
          <w:sz w:val="18"/>
          <w:szCs w:val="18"/>
          <w:lang w:val="en-GB"/>
        </w:rPr>
      </w:pPr>
      <w:r>
        <w:rPr>
          <w:rFonts w:ascii="Arial" w:hAnsi="Arial"/>
          <w:sz w:val="18"/>
          <w:szCs w:val="18"/>
          <w:lang w:val="en-GB"/>
        </w:rPr>
        <w:t>AIO - Working Group for Internal Oncology</w:t>
      </w:r>
    </w:p>
    <w:p>
      <w:pPr>
        <w:rPr>
          <w:rFonts w:ascii="Arial" w:hAnsi="Arial"/>
          <w:sz w:val="18"/>
          <w:szCs w:val="18"/>
          <w:lang w:val="en-GB"/>
        </w:rPr>
      </w:pPr>
      <w:r>
        <w:rPr>
          <w:rFonts w:ascii="Arial" w:hAnsi="Arial"/>
          <w:sz w:val="18"/>
          <w:szCs w:val="18"/>
          <w:lang w:val="en-GB"/>
        </w:rPr>
        <w:t>AOP - Oncological Pathology Working Group</w:t>
      </w:r>
    </w:p>
    <w:p>
      <w:pPr>
        <w:rPr>
          <w:rFonts w:ascii="Arial" w:hAnsi="Arial"/>
          <w:sz w:val="18"/>
          <w:szCs w:val="18"/>
          <w:lang w:val="en-GB"/>
        </w:rPr>
      </w:pPr>
      <w:r>
        <w:rPr>
          <w:rFonts w:ascii="Arial" w:hAnsi="Arial"/>
          <w:sz w:val="18"/>
          <w:szCs w:val="18"/>
          <w:lang w:val="en-GB"/>
        </w:rPr>
        <w:t>APM - Palliative Medicine Working Group</w:t>
      </w:r>
    </w:p>
    <w:p>
      <w:pPr>
        <w:rPr>
          <w:rFonts w:ascii="Arial" w:hAnsi="Arial"/>
          <w:sz w:val="18"/>
          <w:szCs w:val="18"/>
          <w:lang w:val="en-GB"/>
        </w:rPr>
      </w:pPr>
      <w:r>
        <w:rPr>
          <w:rFonts w:ascii="Arial" w:hAnsi="Arial"/>
          <w:sz w:val="18"/>
          <w:szCs w:val="18"/>
          <w:lang w:val="en-GB"/>
        </w:rPr>
        <w:t>APO - Paediatric Oncology Working Group</w:t>
      </w:r>
    </w:p>
    <w:p>
      <w:pPr>
        <w:rPr>
          <w:rFonts w:ascii="Arial" w:hAnsi="Arial"/>
          <w:sz w:val="18"/>
          <w:szCs w:val="18"/>
          <w:lang w:val="en-GB"/>
        </w:rPr>
      </w:pPr>
      <w:r>
        <w:rPr>
          <w:rFonts w:ascii="Arial" w:hAnsi="Arial"/>
          <w:sz w:val="18"/>
          <w:szCs w:val="18"/>
          <w:lang w:val="en-GB"/>
        </w:rPr>
        <w:t>ARO - Radiological Oncology Working Group</w:t>
      </w:r>
    </w:p>
    <w:p>
      <w:pPr>
        <w:rPr>
          <w:rFonts w:ascii="Arial" w:hAnsi="Arial"/>
          <w:sz w:val="18"/>
          <w:szCs w:val="18"/>
          <w:lang w:val="en-GB"/>
        </w:rPr>
      </w:pPr>
      <w:r>
        <w:rPr>
          <w:rFonts w:ascii="Arial" w:hAnsi="Arial"/>
          <w:sz w:val="18"/>
          <w:szCs w:val="18"/>
          <w:lang w:val="en-GB"/>
        </w:rPr>
        <w:t>ASO - Working Group for Social Work in Oncology</w:t>
      </w:r>
    </w:p>
    <w:p>
      <w:pPr>
        <w:rPr>
          <w:rFonts w:ascii="Arial" w:hAnsi="Arial"/>
          <w:sz w:val="18"/>
          <w:szCs w:val="18"/>
          <w:lang w:val="en-GB"/>
        </w:rPr>
      </w:pPr>
      <w:r>
        <w:rPr>
          <w:rFonts w:ascii="Arial" w:hAnsi="Arial"/>
          <w:sz w:val="18"/>
          <w:szCs w:val="18"/>
          <w:lang w:val="en-GB"/>
        </w:rPr>
        <w:t>BDI - Federal Association of German Internists</w:t>
      </w:r>
    </w:p>
    <w:p>
      <w:pPr>
        <w:rPr>
          <w:rFonts w:ascii="Arial" w:hAnsi="Arial"/>
          <w:sz w:val="18"/>
          <w:szCs w:val="18"/>
          <w:lang w:val="en-GB"/>
        </w:rPr>
      </w:pPr>
      <w:r>
        <w:rPr>
          <w:rFonts w:ascii="Arial" w:hAnsi="Arial"/>
          <w:sz w:val="18"/>
          <w:szCs w:val="18"/>
          <w:lang w:val="en-GB"/>
        </w:rPr>
        <w:t>BDP - Federal Association of German Pathologists</w:t>
      </w:r>
    </w:p>
    <w:p>
      <w:pPr>
        <w:rPr>
          <w:rFonts w:ascii="Arial" w:hAnsi="Arial"/>
          <w:sz w:val="18"/>
          <w:szCs w:val="18"/>
          <w:lang w:val="en-GB"/>
        </w:rPr>
      </w:pPr>
      <w:r>
        <w:rPr>
          <w:rFonts w:ascii="Arial" w:hAnsi="Arial"/>
          <w:sz w:val="18"/>
          <w:szCs w:val="18"/>
          <w:lang w:val="en-GB"/>
        </w:rPr>
        <w:t xml:space="preserve">BNHO - Professional Association of Registered Haematologists and Oncologists </w:t>
      </w:r>
    </w:p>
    <w:p>
      <w:pPr>
        <w:rPr>
          <w:rFonts w:ascii="Arial" w:hAnsi="Arial"/>
          <w:sz w:val="18"/>
          <w:szCs w:val="18"/>
          <w:lang w:val="en-GB"/>
        </w:rPr>
      </w:pPr>
      <w:r>
        <w:rPr>
          <w:rFonts w:ascii="Arial" w:hAnsi="Arial"/>
          <w:sz w:val="18"/>
          <w:szCs w:val="18"/>
          <w:lang w:val="en-GB"/>
        </w:rPr>
        <w:t>BVDST Professional Association of German Radiotherapists</w:t>
      </w:r>
    </w:p>
    <w:p>
      <w:pPr>
        <w:rPr>
          <w:rFonts w:ascii="Arial" w:hAnsi="Arial"/>
          <w:sz w:val="18"/>
          <w:szCs w:val="18"/>
          <w:lang w:val="en-GB"/>
        </w:rPr>
      </w:pPr>
      <w:r>
        <w:rPr>
          <w:rFonts w:ascii="Arial" w:hAnsi="Arial"/>
          <w:sz w:val="18"/>
          <w:szCs w:val="18"/>
          <w:lang w:val="en-GB"/>
        </w:rPr>
        <w:t>DEGRO - German Society for Radiooncology</w:t>
      </w:r>
    </w:p>
    <w:p>
      <w:pPr>
        <w:rPr>
          <w:rFonts w:ascii="Arial" w:hAnsi="Arial"/>
          <w:sz w:val="18"/>
          <w:szCs w:val="18"/>
          <w:lang w:val="en-GB"/>
        </w:rPr>
      </w:pPr>
      <w:r>
        <w:rPr>
          <w:rFonts w:ascii="Arial" w:hAnsi="Arial"/>
          <w:sz w:val="18"/>
          <w:szCs w:val="18"/>
          <w:lang w:val="en-GB"/>
        </w:rPr>
        <w:t>DGfI - German Society for Immunology</w:t>
      </w:r>
    </w:p>
    <w:p>
      <w:pPr>
        <w:rPr>
          <w:rFonts w:ascii="Arial" w:hAnsi="Arial"/>
          <w:sz w:val="18"/>
          <w:szCs w:val="18"/>
          <w:lang w:val="en-GB"/>
        </w:rPr>
      </w:pPr>
      <w:r>
        <w:rPr>
          <w:rFonts w:ascii="Arial" w:hAnsi="Arial"/>
          <w:sz w:val="18"/>
          <w:szCs w:val="18"/>
          <w:lang w:val="en-GB"/>
        </w:rPr>
        <w:t>DGHO - German Society for Haematology and Medical Oncology</w:t>
      </w:r>
    </w:p>
    <w:p>
      <w:pPr>
        <w:rPr>
          <w:rFonts w:ascii="Arial" w:hAnsi="Arial"/>
          <w:sz w:val="18"/>
          <w:szCs w:val="18"/>
          <w:lang w:val="en-GB"/>
        </w:rPr>
      </w:pPr>
      <w:r>
        <w:rPr>
          <w:rFonts w:ascii="Arial" w:hAnsi="Arial"/>
          <w:sz w:val="18"/>
          <w:szCs w:val="18"/>
          <w:lang w:val="en-GB"/>
        </w:rPr>
        <w:t>DGIM - German Society for Internal Medicine</w:t>
      </w:r>
    </w:p>
    <w:p>
      <w:pPr>
        <w:rPr>
          <w:rFonts w:ascii="Arial" w:hAnsi="Arial"/>
          <w:sz w:val="18"/>
          <w:szCs w:val="18"/>
          <w:lang w:val="en-GB"/>
        </w:rPr>
      </w:pPr>
      <w:r>
        <w:rPr>
          <w:rFonts w:ascii="Arial" w:hAnsi="Arial"/>
          <w:sz w:val="18"/>
          <w:szCs w:val="18"/>
          <w:lang w:val="en-GB"/>
        </w:rPr>
        <w:t>DGKL - German United Society for Clinical Chemistry and Laboratory Medicine</w:t>
      </w:r>
    </w:p>
    <w:p>
      <w:pPr>
        <w:rPr>
          <w:rFonts w:ascii="Arial" w:hAnsi="Arial"/>
          <w:sz w:val="18"/>
          <w:szCs w:val="18"/>
          <w:lang w:val="en-GB"/>
        </w:rPr>
      </w:pPr>
      <w:r>
        <w:rPr>
          <w:rFonts w:ascii="Arial" w:hAnsi="Arial"/>
          <w:sz w:val="18"/>
          <w:szCs w:val="18"/>
          <w:lang w:val="en-GB"/>
        </w:rPr>
        <w:t>DGN - German Society for Nuclear Medicine</w:t>
      </w:r>
    </w:p>
    <w:p>
      <w:pPr>
        <w:rPr>
          <w:rFonts w:ascii="Arial" w:hAnsi="Arial"/>
          <w:sz w:val="18"/>
          <w:szCs w:val="18"/>
          <w:lang w:val="en-GB"/>
        </w:rPr>
      </w:pPr>
      <w:r>
        <w:rPr>
          <w:rFonts w:ascii="Arial" w:hAnsi="Arial"/>
          <w:sz w:val="18"/>
          <w:szCs w:val="18"/>
          <w:lang w:val="en-GB"/>
        </w:rPr>
        <w:t>DGP - German Society for Palliative Medicine</w:t>
      </w:r>
    </w:p>
    <w:p>
      <w:pPr>
        <w:rPr>
          <w:rFonts w:ascii="Arial" w:hAnsi="Arial"/>
          <w:sz w:val="18"/>
          <w:szCs w:val="18"/>
          <w:lang w:val="en-GB"/>
        </w:rPr>
      </w:pPr>
      <w:r>
        <w:rPr>
          <w:rFonts w:ascii="Arial" w:hAnsi="Arial"/>
          <w:sz w:val="18"/>
          <w:szCs w:val="18"/>
          <w:lang w:val="en-GB"/>
        </w:rPr>
        <w:t>DGP - German Society for Pathology</w:t>
      </w:r>
    </w:p>
    <w:p>
      <w:pPr>
        <w:rPr>
          <w:rFonts w:ascii="Arial" w:hAnsi="Arial"/>
          <w:sz w:val="18"/>
          <w:szCs w:val="18"/>
          <w:lang w:val="en-GB"/>
        </w:rPr>
      </w:pPr>
      <w:r>
        <w:rPr>
          <w:rFonts w:ascii="Arial" w:hAnsi="Arial"/>
          <w:sz w:val="18"/>
          <w:szCs w:val="18"/>
          <w:lang w:val="en-GB"/>
        </w:rPr>
        <w:t>DGTI - German Society for Transfusion Medicine and Immunohaematology</w:t>
      </w:r>
    </w:p>
    <w:p>
      <w:pPr>
        <w:rPr>
          <w:rFonts w:ascii="Arial" w:hAnsi="Arial"/>
          <w:sz w:val="18"/>
          <w:szCs w:val="18"/>
          <w:lang w:val="en-GB"/>
        </w:rPr>
      </w:pPr>
      <w:r>
        <w:rPr>
          <w:rFonts w:ascii="Arial" w:hAnsi="Arial"/>
          <w:sz w:val="18"/>
          <w:szCs w:val="18"/>
          <w:lang w:val="en-GB"/>
        </w:rPr>
        <w:t>DLH - German Leukaemia and Lymphoma Aid</w:t>
      </w:r>
    </w:p>
    <w:p>
      <w:pPr>
        <w:rPr>
          <w:rFonts w:ascii="Arial" w:hAnsi="Arial"/>
          <w:sz w:val="18"/>
          <w:szCs w:val="18"/>
          <w:lang w:val="en-GB"/>
        </w:rPr>
      </w:pPr>
      <w:r>
        <w:rPr>
          <w:rFonts w:ascii="Arial" w:hAnsi="Arial"/>
          <w:sz w:val="18"/>
          <w:szCs w:val="18"/>
          <w:lang w:val="en-GB"/>
        </w:rPr>
        <w:t>DRG - German Radiological Society</w:t>
      </w:r>
    </w:p>
    <w:p>
      <w:pPr>
        <w:rPr>
          <w:rFonts w:ascii="Arial" w:hAnsi="Arial"/>
          <w:sz w:val="18"/>
          <w:szCs w:val="18"/>
          <w:lang w:val="en-GB"/>
        </w:rPr>
      </w:pPr>
      <w:r>
        <w:rPr>
          <w:rFonts w:ascii="Arial" w:hAnsi="Arial"/>
          <w:sz w:val="18"/>
          <w:szCs w:val="18"/>
          <w:lang w:val="en-GB"/>
        </w:rPr>
        <w:t>DVSG - German Association for Social Work in Health Care</w:t>
      </w:r>
    </w:p>
    <w:p>
      <w:pPr>
        <w:rPr>
          <w:rFonts w:ascii="Arial" w:hAnsi="Arial"/>
          <w:sz w:val="18"/>
          <w:szCs w:val="18"/>
          <w:lang w:val="en-GB"/>
        </w:rPr>
      </w:pPr>
      <w:r>
        <w:rPr>
          <w:rFonts w:ascii="Arial" w:hAnsi="Arial"/>
          <w:sz w:val="18"/>
          <w:szCs w:val="18"/>
          <w:lang w:val="en-GB"/>
        </w:rPr>
        <w:t>GfH - German Society for Human Genetics</w:t>
      </w:r>
    </w:p>
    <w:p>
      <w:pPr>
        <w:rPr>
          <w:rFonts w:ascii="Arial" w:hAnsi="Arial"/>
          <w:sz w:val="18"/>
          <w:szCs w:val="18"/>
          <w:lang w:val="en-GB"/>
        </w:rPr>
      </w:pPr>
      <w:r>
        <w:rPr>
          <w:rFonts w:ascii="Arial" w:hAnsi="Arial"/>
          <w:sz w:val="18"/>
          <w:szCs w:val="18"/>
          <w:lang w:val="en-GB"/>
        </w:rPr>
        <w:t>GPOH - Society for Paediatric Oncology and Haematology</w:t>
      </w:r>
    </w:p>
    <w:p>
      <w:pPr>
        <w:rPr>
          <w:rFonts w:ascii="Arial" w:hAnsi="Arial"/>
          <w:sz w:val="18"/>
          <w:szCs w:val="18"/>
          <w:lang w:val="en-GB"/>
        </w:rPr>
      </w:pPr>
      <w:r>
        <w:rPr>
          <w:rFonts w:ascii="Arial" w:hAnsi="Arial"/>
          <w:sz w:val="18"/>
          <w:szCs w:val="18"/>
          <w:lang w:val="en-GB"/>
        </w:rPr>
        <w:t>KOK - Conference on oncological nursing and paediatric nursing</w:t>
      </w:r>
    </w:p>
    <w:p>
      <w:pPr>
        <w:rPr>
          <w:rFonts w:ascii="Arial" w:hAnsi="Arial"/>
          <w:sz w:val="18"/>
          <w:szCs w:val="18"/>
          <w:lang w:val="en-GB"/>
        </w:rPr>
      </w:pPr>
      <w:r>
        <w:rPr>
          <w:rFonts w:ascii="Arial" w:hAnsi="Arial"/>
          <w:sz w:val="18"/>
          <w:szCs w:val="18"/>
          <w:lang w:val="en-GB"/>
        </w:rPr>
        <w:t>OPH - Working Group for Oncological Pharmacy</w:t>
      </w:r>
    </w:p>
    <w:p>
      <w:pPr>
        <w:rPr>
          <w:rFonts w:ascii="Arial" w:hAnsi="Arial"/>
          <w:sz w:val="18"/>
          <w:szCs w:val="18"/>
          <w:lang w:val="en-GB"/>
        </w:rPr>
      </w:pPr>
      <w:r>
        <w:rPr>
          <w:rFonts w:ascii="Arial" w:hAnsi="Arial"/>
          <w:sz w:val="18"/>
          <w:szCs w:val="18"/>
          <w:lang w:val="en-GB"/>
        </w:rPr>
        <w:t>PRIO - Working Group on Prevention and Integrative Medicine in Oncology</w:t>
      </w:r>
    </w:p>
    <w:p>
      <w:pPr>
        <w:rPr>
          <w:rFonts w:ascii="Arial" w:hAnsi="Arial"/>
          <w:sz w:val="18"/>
          <w:szCs w:val="18"/>
          <w:lang w:val="en-GB"/>
        </w:rPr>
      </w:pPr>
      <w:r>
        <w:rPr>
          <w:rFonts w:ascii="Arial" w:hAnsi="Arial"/>
          <w:sz w:val="18"/>
          <w:szCs w:val="18"/>
          <w:lang w:val="en-GB"/>
        </w:rPr>
        <w:t>PSO - Working group for psycho-oncology</w:t>
      </w:r>
    </w:p>
    <w:p>
      <w:pPr>
        <w:rPr>
          <w:rFonts w:ascii="Arial" w:hAnsi="Arial"/>
          <w:sz w:val="18"/>
          <w:szCs w:val="18"/>
          <w:lang w:val="en-GB"/>
        </w:rPr>
      </w:pPr>
      <w:r>
        <w:rPr>
          <w:rFonts w:ascii="Arial" w:hAnsi="Arial"/>
          <w:sz w:val="18"/>
          <w:szCs w:val="18"/>
          <w:lang w:val="en-GB"/>
        </w:rPr>
        <w:t xml:space="preserve">Auditors </w:t>
      </w:r>
    </w:p>
    <w:p>
      <w:pPr>
        <w:rPr>
          <w:rFonts w:ascii="Arial" w:hAnsi="Arial"/>
          <w:sz w:val="18"/>
          <w:szCs w:val="18"/>
          <w:lang w:val="en-GB"/>
        </w:rPr>
      </w:pPr>
      <w:r>
        <w:rPr>
          <w:rFonts w:ascii="Arial" w:hAnsi="Arial"/>
          <w:sz w:val="18"/>
          <w:szCs w:val="18"/>
          <w:lang w:val="en-GB"/>
        </w:rPr>
        <w:t>Representative of the S3 guideline Chronic lymphocytic leukaemia</w:t>
      </w:r>
    </w:p>
    <w:p>
      <w:pPr>
        <w:rPr>
          <w:rFonts w:ascii="Arial" w:hAnsi="Arial"/>
          <w:sz w:val="18"/>
          <w:szCs w:val="18"/>
          <w:lang w:val="en-GB"/>
        </w:rPr>
      </w:pPr>
      <w:r>
        <w:rPr>
          <w:rFonts w:ascii="Arial" w:hAnsi="Arial"/>
          <w:sz w:val="18"/>
          <w:szCs w:val="18"/>
          <w:lang w:val="en-GB"/>
        </w:rPr>
        <w:t>Representative of the S3 guideline Follicular lymphoma</w:t>
      </w:r>
    </w:p>
    <w:p>
      <w:pPr>
        <w:rPr>
          <w:rFonts w:ascii="Arial" w:hAnsi="Arial"/>
          <w:sz w:val="18"/>
          <w:szCs w:val="18"/>
          <w:lang w:val="en-GB"/>
        </w:rPr>
      </w:pPr>
      <w:r>
        <w:rPr>
          <w:rFonts w:ascii="Arial" w:hAnsi="Arial"/>
          <w:sz w:val="18"/>
          <w:szCs w:val="18"/>
          <w:lang w:val="en-GB"/>
        </w:rPr>
        <w:t>Representative of the S3 guideline Hodgkin's lymphoma</w:t>
      </w:r>
    </w:p>
    <w:p>
      <w:pPr>
        <w:rPr>
          <w:rFonts w:ascii="Arial" w:hAnsi="Arial"/>
          <w:sz w:val="18"/>
          <w:szCs w:val="18"/>
          <w:lang w:val="en-GB"/>
        </w:rPr>
      </w:pPr>
      <w:r>
        <w:rPr>
          <w:rFonts w:ascii="Arial" w:hAnsi="Arial"/>
          <w:sz w:val="18"/>
          <w:szCs w:val="18"/>
          <w:lang w:val="en-GB"/>
        </w:rPr>
        <w:t>Representative of the S3 guideline on multiple myeloma</w:t>
      </w:r>
    </w:p>
    <w:p>
      <w:pPr>
        <w:rPr>
          <w:rFonts w:ascii="Arial" w:hAnsi="Arial"/>
          <w:b w:val="1"/>
          <w:sz w:val="18"/>
          <w:szCs w:val="18"/>
          <w:lang w:val="en-GB"/>
        </w:rPr>
      </w:pPr>
      <w:bookmarkEnd w:id="0"/>
      <w:r>
        <w:rPr>
          <w:rFonts w:ascii="Arial" w:hAnsi="Arial"/>
          <w:b w:val="1"/>
          <w:sz w:val="18"/>
          <w:szCs w:val="18"/>
          <w:lang w:val="en-GB"/>
        </w:rPr>
        <w:br w:type="page"/>
      </w:r>
    </w:p>
    <w:p>
      <w:pPr>
        <w:rPr>
          <w:rFonts w:ascii="Arial" w:hAnsi="Arial" w:cs="Arial"/>
          <w:b w:val="1"/>
          <w:bCs w:val="1"/>
          <w:lang w:val="en-GB"/>
        </w:rPr>
      </w:pPr>
      <w:r>
        <w:rPr>
          <w:rFonts w:ascii="Arial" w:hAnsi="Arial" w:cs="Arial"/>
          <w:b w:val="1"/>
          <w:bCs w:val="1"/>
          <w:lang w:val="en-GB"/>
        </w:rPr>
        <w:t>Comments on the Catalogue of Requirements</w:t>
      </w:r>
    </w:p>
    <w:p>
      <w:pPr>
        <w:rPr>
          <w:rFonts w:ascii="Arial" w:hAnsi="Arial" w:cs="Arial"/>
          <w:bCs w:val="1"/>
          <w:lang w:val="en-GB"/>
        </w:rPr>
      </w:pPr>
    </w:p>
    <w:p>
      <w:pPr>
        <w:rPr>
          <w:rFonts w:ascii="Arial" w:hAnsi="Arial" w:cs="Arial"/>
          <w:bCs w:val="1"/>
          <w:lang w:val="en-GB"/>
        </w:rPr>
      </w:pPr>
      <w:r>
        <w:rPr>
          <w:rFonts w:ascii="Arial" w:hAnsi="Arial" w:cs="Arial"/>
          <w:bCs w:val="1"/>
          <w:lang w:val="en-GB"/>
        </w:rPr>
        <w:t>The Catalogue of Requirement and its appendices are binding for all centres.</w:t>
      </w:r>
    </w:p>
    <w:p>
      <w:pPr>
        <w:rPr>
          <w:rFonts w:ascii="Arial" w:hAnsi="Arial" w:cs="Arial"/>
          <w:bCs w:val="1"/>
          <w:lang w:val="en-GB"/>
        </w:rPr>
      </w:pPr>
    </w:p>
    <w:tbl>
      <w:tblPr>
        <w:tblW w:w="0" w:type="auto"/>
        <w:tblCellSpacing w:w="15" w:type="dxa"/>
        <w:tblBorders>
          <w:top w:val="none" w:sz="0" w:space="0" w:shadow="0" w:frame="0" w:color="000000"/>
          <w:left w:val="none" w:sz="0" w:space="0" w:shadow="0" w:frame="0" w:color="000000"/>
          <w:bottom w:val="none" w:sz="0" w:space="0" w:shadow="0" w:frame="0" w:color="000000"/>
          <w:right w:val="none" w:sz="0" w:space="0" w:shadow="0" w:frame="0" w:color="000000"/>
        </w:tblBorders>
        <w:tblCellMar>
          <w:top w:w="15" w:type="dxa"/>
          <w:left w:w="15" w:type="dxa"/>
          <w:bottom w:w="15" w:type="dxa"/>
          <w:right w:w="15" w:type="dxa"/>
        </w:tblCellMar>
        <w:tblLook w:val="04A0"/>
      </w:tblPr>
      <w:tblGrid/>
      <w:tr>
        <w:trPr>
          <w:trHeight w:hRule="atLeast" w:val="390"/>
          <w:tblCellSpacing w:w="15" w:type="dxa"/>
        </w:trPr>
        <w:tc>
          <w:tcPr>
            <w:tcW w:w="1230" w:type="dxa"/>
            <w:tcMar>
              <w:top w:w="0" w:type="dxa"/>
              <w:left w:w="108" w:type="dxa"/>
              <w:bottom w:w="0" w:type="dxa"/>
              <w:right w:w="108" w:type="dxa"/>
            </w:tcMar>
            <w:vAlign w:val="center"/>
            <w:hideMark/>
          </w:tcPr>
          <w:p>
            <w:pPr>
              <w:spacing w:before="57" w:after="57" w:beforeAutospacing="0" w:afterAutospacing="0"/>
              <w:rPr>
                <w:rFonts w:ascii="Arial" w:hAnsi="Arial" w:cs="Arial"/>
                <w:bCs w:val="1"/>
                <w:lang w:val="en-GB"/>
              </w:rPr>
            </w:pPr>
            <w:r>
              <w:rPr>
                <w:rFonts w:ascii="Arial" w:hAnsi="Arial" w:cs="Arial"/>
                <w:bCs w:val="1"/>
                <w:lang w:val="en-GB"/>
              </w:rPr>
              <w:t>Audit year:</w:t>
            </w:r>
          </w:p>
        </w:tc>
        <w:tc>
          <w:tcPr>
            <w:tcW w:w="8395" w:type="dxa"/>
            <w:tcBorders>
              <w:top w:val="nil"/>
              <w:left w:val="nil"/>
              <w:bottom w:val="nil"/>
              <w:right w:val="nil"/>
            </w:tcBorders>
            <w:tcMar>
              <w:top w:w="30" w:type="dxa"/>
              <w:left w:w="75" w:type="dxa"/>
              <w:bottom w:w="30" w:type="dxa"/>
              <w:right w:w="75" w:type="dxa"/>
            </w:tcMar>
            <w:vAlign w:val="center"/>
            <w:hideMark/>
          </w:tcPr>
          <w:p>
            <w:pPr>
              <w:spacing w:before="57" w:after="57" w:beforeAutospacing="0" w:afterAutospacing="0"/>
              <w:rPr>
                <w:rFonts w:ascii="Arial" w:hAnsi="Arial" w:cs="Arial"/>
                <w:b w:val="1"/>
                <w:lang w:val="en-GB"/>
              </w:rPr>
            </w:pPr>
            <w:r>
              <w:rPr>
                <w:rFonts w:ascii="Arial" w:hAnsi="Arial" w:cs="Arial"/>
                <w:b w:val="1"/>
                <w:lang w:val="en-GB"/>
              </w:rPr>
              <w:t>2026</w:t>
            </w:r>
          </w:p>
        </w:tc>
      </w:tr>
      <w:tr>
        <w:trPr>
          <w:trHeight w:hRule="atLeast" w:val="410"/>
          <w:tblCellSpacing w:w="15" w:type="dxa"/>
        </w:trPr>
        <w:tc>
          <w:tcPr>
            <w:tcW w:w="1230" w:type="dxa"/>
            <w:tcBorders>
              <w:top w:val="nil"/>
              <w:left w:val="nil"/>
              <w:bottom w:val="nil"/>
              <w:right w:val="nil"/>
            </w:tcBorders>
            <w:tcMar>
              <w:top w:w="0" w:type="dxa"/>
              <w:left w:w="108" w:type="dxa"/>
              <w:bottom w:w="0" w:type="dxa"/>
              <w:right w:w="108" w:type="dxa"/>
            </w:tcMar>
            <w:vAlign w:val="center"/>
            <w:hideMark/>
          </w:tcPr>
          <w:p>
            <w:pPr>
              <w:spacing w:before="57" w:after="57" w:beforeAutospacing="0" w:afterAutospacing="0"/>
              <w:rPr>
                <w:rFonts w:ascii="Arial" w:hAnsi="Arial" w:cs="Arial"/>
                <w:bCs w:val="1"/>
                <w:lang w:val="en-GB"/>
              </w:rPr>
            </w:pPr>
            <w:r>
              <w:rPr>
                <w:rFonts w:ascii="Arial" w:hAnsi="Arial" w:cs="Arial"/>
                <w:bCs w:val="1"/>
                <w:lang w:val="en-GB"/>
              </w:rPr>
              <w:t>Version:</w:t>
            </w:r>
          </w:p>
        </w:tc>
        <w:tc>
          <w:tcPr>
            <w:tcW w:w="8395" w:type="dxa"/>
            <w:tcBorders>
              <w:top w:val="nil"/>
              <w:left w:val="nil"/>
              <w:bottom w:val="nil"/>
              <w:right w:val="nil"/>
            </w:tcBorders>
            <w:tcMar>
              <w:top w:w="30" w:type="dxa"/>
              <w:left w:w="75" w:type="dxa"/>
              <w:bottom w:w="30" w:type="dxa"/>
              <w:right w:w="75" w:type="dxa"/>
            </w:tcMar>
            <w:vAlign w:val="center"/>
            <w:hideMark/>
          </w:tcPr>
          <w:p>
            <w:pPr>
              <w:spacing w:before="57" w:after="57" w:beforeAutospacing="0" w:afterAutospacing="0"/>
              <w:rPr>
                <w:rFonts w:ascii="Arial" w:hAnsi="Arial" w:cs="Arial"/>
                <w:b w:val="1"/>
                <w:lang w:val="en-GB"/>
              </w:rPr>
            </w:pPr>
            <w:r>
              <w:rPr>
                <w:rFonts w:ascii="Arial" w:hAnsi="Arial" w:cs="Arial" w:eastAsia="Arial"/>
                <w:b w:val="1"/>
              </w:rPr>
              <w:t>D2</w:t>
            </w:r>
          </w:p>
        </w:tc>
      </w:tr>
      <w:tr>
        <w:trPr>
          <w:trHeight w:hRule="atLeast" w:val="375"/>
          <w:tblCellSpacing w:w="15" w:type="dxa"/>
        </w:trPr>
        <w:tc>
          <w:tcPr>
            <w:tcW w:w="1230" w:type="dxa"/>
            <w:tcMar>
              <w:top w:w="0" w:type="dxa"/>
              <w:left w:w="108" w:type="dxa"/>
              <w:bottom w:w="0" w:type="dxa"/>
              <w:right w:w="108" w:type="dxa"/>
            </w:tcMar>
            <w:vAlign w:val="center"/>
            <w:hideMark/>
          </w:tcPr>
          <w:p>
            <w:pPr>
              <w:spacing w:before="57" w:after="57" w:beforeAutospacing="0" w:afterAutospacing="0"/>
              <w:rPr>
                <w:rFonts w:ascii="Arial" w:hAnsi="Arial" w:cs="Arial"/>
                <w:bCs w:val="1"/>
                <w:lang w:val="en-GB"/>
              </w:rPr>
            </w:pPr>
            <w:r>
              <w:rPr>
                <w:rFonts w:ascii="Arial" w:hAnsi="Arial" w:cs="Arial"/>
                <w:bCs w:val="1"/>
                <w:lang w:val="en-GB"/>
              </w:rPr>
              <w:t>Date:</w:t>
            </w:r>
          </w:p>
        </w:tc>
        <w:tc>
          <w:tcPr>
            <w:tcW w:w="8395" w:type="dxa"/>
            <w:tcBorders>
              <w:top w:val="nil"/>
              <w:left w:val="nil"/>
              <w:bottom w:val="nil"/>
              <w:right w:val="nil"/>
            </w:tcBorders>
            <w:tcMar>
              <w:top w:w="30" w:type="dxa"/>
              <w:left w:w="75" w:type="dxa"/>
              <w:bottom w:w="30" w:type="dxa"/>
              <w:right w:w="75" w:type="dxa"/>
            </w:tcMar>
            <w:vAlign w:val="center"/>
            <w:hideMark/>
          </w:tcPr>
          <w:p>
            <w:pPr>
              <w:spacing w:before="57" w:after="57" w:beforeAutospacing="0" w:afterAutospacing="0"/>
              <w:rPr>
                <w:rFonts w:ascii="Arial" w:hAnsi="Arial" w:cs="Arial"/>
                <w:b w:val="1"/>
                <w:lang w:val="en-GB"/>
              </w:rPr>
            </w:pPr>
            <w:r>
              <w:rPr>
                <w:rFonts w:ascii="Arial" w:hAnsi="Arial" w:cs="Arial" w:eastAsia="Arial"/>
                <w:b w:val="1"/>
              </w:rPr>
              <w:t>11.12.2025</w:t>
            </w:r>
          </w:p>
        </w:tc>
      </w:tr>
    </w:tbl>
    <w:p>
      <w:pPr>
        <w:spacing w:after="60" w:beforeAutospacing="0" w:afterAutospacing="0"/>
        <w:rPr>
          <w:rFonts w:ascii="Arial" w:hAnsi="Arial" w:cs="Arial"/>
          <w:bCs w:val="1"/>
          <w:lang w:val="en-GB"/>
        </w:rPr>
      </w:pPr>
      <w:bookmarkStart w:id="1" w:name="_Hlk184139189"/>
    </w:p>
    <w:p>
      <w:pPr>
        <w:spacing w:after="60" w:beforeAutospacing="0" w:afterAutospacing="0"/>
        <w:rPr>
          <w:rFonts w:ascii="Arial" w:hAnsi="Arial" w:cs="Arial"/>
          <w:bCs w:val="1"/>
          <w:lang w:val="en-GB"/>
        </w:rPr>
      </w:pPr>
      <w:r>
        <w:rPr>
          <w:rFonts w:ascii="Arial" w:hAnsi="Arial" w:cs="Arial"/>
          <w:bCs w:val="1"/>
          <w:lang w:val="en-GB"/>
        </w:rPr>
        <w:t xml:space="preserve">The changes marked in </w:t>
      </w:r>
      <w:r>
        <w:rPr>
          <w:rFonts w:ascii="Arial" w:hAnsi="Arial" w:cs="Arial"/>
          <w:bCs w:val="1"/>
          <w:highlight w:val="green"/>
          <w:lang w:val="en-GB"/>
        </w:rPr>
        <w:t>green</w:t>
      </w:r>
      <w:r>
        <w:rPr>
          <w:rFonts w:ascii="Arial" w:hAnsi="Arial" w:cs="Arial"/>
          <w:bCs w:val="1"/>
          <w:lang w:val="en-GB"/>
        </w:rPr>
        <w:t xml:space="preserve"> in this Catalogue of Requirement (CoR) were decided in 2024 and are valid for all audits carried out from 01.01.2025.</w:t>
      </w:r>
    </w:p>
    <w:p>
      <w:pPr>
        <w:spacing w:after="60" w:beforeAutospacing="0" w:afterAutospacing="0"/>
        <w:rPr>
          <w:rFonts w:ascii="Arial" w:hAnsi="Arial" w:cs="Arial"/>
          <w:bCs w:val="1"/>
          <w:lang w:val="en-GB"/>
        </w:rPr>
      </w:pPr>
      <w:r>
        <w:rPr>
          <w:rFonts w:ascii="Arial" w:hAnsi="Arial" w:cs="Arial"/>
          <w:bCs w:val="1"/>
          <w:lang w:val="en-GB"/>
        </w:rPr>
        <w:t xml:space="preserve">The CoR for the audit year 2025 can also be used in the audit year 2026, provided that any annual figures contained therein are adjusted by the Centre. </w:t>
      </w:r>
    </w:p>
    <w:p>
      <w:pPr>
        <w:spacing w:after="60" w:beforeAutospacing="0" w:afterAutospacing="0"/>
        <w:rPr>
          <w:rFonts w:ascii="Arial" w:hAnsi="Arial" w:cs="Arial"/>
          <w:bCs w:val="1"/>
          <w:lang w:val="en-GB"/>
        </w:rPr>
      </w:pPr>
    </w:p>
    <w:p>
      <w:pPr>
        <w:spacing w:after="60" w:beforeAutospacing="0" w:afterAutospacing="0"/>
        <w:rPr>
          <w:rFonts w:ascii="Arial" w:hAnsi="Arial" w:cs="Arial"/>
          <w:bCs w:val="1"/>
          <w:lang w:val="en-GB"/>
        </w:rPr>
      </w:pPr>
      <w:r>
        <w:rPr>
          <w:rFonts w:ascii="Arial" w:hAnsi="Arial" w:cs="Arial"/>
          <w:bCs w:val="1"/>
          <w:lang w:val="en-GB"/>
        </w:rPr>
        <w:t>As Chapter 10 has been fundamentally revised, no change markings have been used.</w:t>
      </w:r>
    </w:p>
    <w:p>
      <w:pPr>
        <w:spacing w:after="60" w:beforeAutospacing="0" w:afterAutospacing="0"/>
        <w:rPr>
          <w:rFonts w:ascii="Arial" w:hAnsi="Arial" w:cs="Arial"/>
          <w:bCs w:val="1"/>
          <w:lang w:val="en-GB"/>
        </w:rPr>
      </w:pPr>
    </w:p>
    <w:p>
      <w:pPr>
        <w:tabs>
          <w:tab w:val="left" w:pos="357" w:leader="none"/>
        </w:tabs>
        <w:jc w:val="both"/>
        <w:rPr>
          <w:rFonts w:ascii="Arial" w:hAnsi="Arial" w:cs="Arial"/>
          <w:bCs w:val="1"/>
          <w:lang w:val="en-GB"/>
        </w:rPr>
      </w:pPr>
      <w:bookmarkEnd w:id="1"/>
      <w:r>
        <w:rPr>
          <w:rFonts w:ascii="Arial" w:hAnsi="Arial" w:cs="Arial"/>
          <w:bCs w:val="1"/>
          <w:lang w:val="en-GB"/>
        </w:rPr>
        <w:t>The Catalogue of Requirements form is based on the TNM classification of malignant tumours, 8th edition 2017 as well as the ICD classification ICD-10-GM 2025 (BfArM) and the OPS classification OPS 2025 (BfArM).</w:t>
      </w:r>
    </w:p>
    <w:p>
      <w:pPr>
        <w:tabs>
          <w:tab w:val="left" w:pos="357" w:leader="none"/>
        </w:tabs>
        <w:jc w:val="both"/>
        <w:rPr>
          <w:rFonts w:ascii="Arial" w:hAnsi="Arial" w:cs="Arial"/>
          <w:b w:val="1"/>
          <w:bCs w:val="1"/>
          <w:sz w:val="14"/>
          <w:szCs w:val="14"/>
          <w:lang w:val="en-US"/>
        </w:rPr>
      </w:pPr>
      <w:r>
        <w:rPr>
          <w:rFonts w:ascii="Arial" w:hAnsi="Arial" w:cs="Arial"/>
          <w:b w:val="1"/>
          <w:bCs w:val="1"/>
          <w:sz w:val="14"/>
          <w:szCs w:val="14"/>
          <w:lang w:val="en-US"/>
        </w:rPr>
        <w:br w:type="page"/>
      </w:r>
    </w:p>
    <w:p>
      <w:pPr>
        <w:pStyle w:val="P4"/>
        <w:tabs>
          <w:tab w:val="clear" w:pos="4536" w:leader="none"/>
          <w:tab w:val="clear" w:pos="9072" w:leader="none"/>
        </w:tabs>
        <w:rPr>
          <w:rFonts w:ascii="Arial" w:hAnsi="Arial"/>
          <w:b w:val="1"/>
          <w:lang w:val="en-GB"/>
        </w:rPr>
      </w:pPr>
      <w:r>
        <w:rPr>
          <w:rFonts w:ascii="Arial" w:hAnsi="Arial"/>
          <w:b w:val="1"/>
          <w:lang w:val="en-GB"/>
        </w:rPr>
        <w:t xml:space="preserve">Information on the </w:t>
      </w:r>
      <w:bookmarkStart w:id="2" w:name="_Hlk168062157"/>
      <w:r>
        <w:rPr>
          <w:rFonts w:ascii="Arial" w:hAnsi="Arial"/>
          <w:b w:val="1"/>
          <w:lang w:val="en-GB"/>
        </w:rPr>
        <w:t>Centre for Haematological Neoplasia (HC)</w:t>
      </w:r>
    </w:p>
    <w:p>
      <w:pPr>
        <w:pStyle w:val="P4"/>
        <w:tabs>
          <w:tab w:val="clear" w:pos="4536" w:leader="none"/>
          <w:tab w:val="clear" w:pos="9072" w:leader="none"/>
        </w:tabs>
        <w:rPr>
          <w:rFonts w:ascii="Arial" w:hAnsi="Arial"/>
          <w:lang w:val="en-GB"/>
        </w:rPr>
      </w:pPr>
    </w:p>
    <w:tbl>
      <w:tblPr>
        <w:tblW w:w="0" w:type="auto"/>
        <w:tblCellSpacing w:w="15" w:type="dxa"/>
        <w:tblBorders>
          <w:top w:val="none" w:sz="0" w:space="0" w:shadow="0" w:frame="0" w:color="000000"/>
          <w:left w:val="none" w:sz="0" w:space="0" w:shadow="0" w:frame="0" w:color="000000"/>
          <w:bottom w:val="none" w:sz="0" w:space="0" w:shadow="0" w:frame="0" w:color="000000"/>
          <w:right w:val="none" w:sz="0" w:space="0" w:shadow="0" w:frame="0" w:color="000000"/>
        </w:tblBorders>
        <w:tblCellMar>
          <w:top w:w="15" w:type="dxa"/>
          <w:left w:w="15" w:type="dxa"/>
          <w:bottom w:w="15" w:type="dxa"/>
          <w:right w:w="15" w:type="dxa"/>
        </w:tblCellMar>
        <w:tblLook w:val="04A0"/>
      </w:tblPr>
      <w:tblGrid/>
      <w:tr>
        <w:trPr>
          <w:trHeight w:hRule="atLeas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pPr>
            <w:bookmarkEnd w:id="2"/>
            <w:r>
              <w:rPr>
                <w:rFonts w:ascii="Arial" w:hAnsi="Arial" w:cs="Arial"/>
                <w:lang w:val="en-GB"/>
              </w:rPr>
              <w:t xml:space="preserve">Centre </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rPr>
                <w:sz w:val="24"/>
              </w:rPr>
            </w:pPr>
          </w:p>
        </w:tc>
      </w:tr>
      <w:tr>
        <w:trPr>
          <w:trHeight w:hRule="atLeas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rPr>
                <w:lang w:val="en-GB"/>
              </w:rPr>
            </w:pPr>
            <w:r>
              <w:rPr>
                <w:rFonts w:ascii="Arial" w:hAnsi="Arial" w:cs="Arial"/>
                <w:lang w:val="en-GB"/>
              </w:rPr>
              <w:t>Director Centre</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rPr>
                <w:sz w:val="24"/>
                <w:lang w:val="en-GB"/>
              </w:rPr>
            </w:pPr>
          </w:p>
        </w:tc>
      </w:tr>
      <w:tr>
        <w:trPr>
          <w:trHeight w:hRule="atLeas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pPr>
            <w:r>
              <w:rPr>
                <w:rFonts w:ascii="Arial" w:hAnsi="Arial" w:cs="Arial"/>
                <w:lang w:val="en-GB"/>
              </w:rPr>
              <w:t>Coordinator of the Centre</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rPr>
                <w:sz w:val="24"/>
              </w:rPr>
            </w:pPr>
          </w:p>
        </w:tc>
      </w:tr>
    </w:tbl>
    <w:p>
      <w:pPr>
        <w:rPr>
          <w:rFonts w:ascii="Arial" w:hAnsi="Arial"/>
          <w:lang w:val="en-GB"/>
        </w:rPr>
      </w:pPr>
    </w:p>
    <w:tbl>
      <w:tblPr>
        <w:tblW w:w="0" w:type="auto"/>
        <w:tblCellSpacing w:w="15" w:type="dxa"/>
        <w:tblBorders>
          <w:top w:val="none" w:sz="0" w:space="0" w:shadow="0" w:frame="0" w:color="000000"/>
          <w:left w:val="none" w:sz="0" w:space="0" w:shadow="0" w:frame="0" w:color="000000"/>
          <w:bottom w:val="none" w:sz="0" w:space="0" w:shadow="0" w:frame="0" w:color="000000"/>
          <w:right w:val="none" w:sz="0" w:space="0" w:shadow="0" w:frame="0" w:color="000000"/>
        </w:tblBorders>
        <w:tblCellMar>
          <w:top w:w="15" w:type="dxa"/>
          <w:left w:w="15" w:type="dxa"/>
          <w:bottom w:w="15" w:type="dxa"/>
          <w:right w:w="15" w:type="dxa"/>
        </w:tblCellMar>
        <w:tblLook w:val="04A0"/>
      </w:tblPr>
      <w:tblGrid/>
      <w:tr>
        <w:trPr>
          <w:trHeight w:hRule="atLeast" w:val="335"/>
          <w:tblCellSpacing w:w="15" w:type="dxa"/>
        </w:trPr>
        <w:tc>
          <w:tcPr>
            <w:tcW w:w="3270"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pPr>
            <w:bookmarkStart w:id="3" w:name="_Hlk184137067" w:colFirst="0" w:colLast="1"/>
            <w:r>
              <w:rPr>
                <w:rFonts w:ascii="Arial" w:hAnsi="Arial" w:cs="Arial"/>
                <w:lang w:val="en-GB"/>
              </w:rPr>
              <w:t>Clinical site 1 (hospital/place)</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rPr>
                <w:sz w:val="24"/>
              </w:rPr>
            </w:pPr>
          </w:p>
        </w:tc>
      </w:tr>
      <w:tr>
        <w:trPr>
          <w:tblCellSpacing w:w="15" w:type="dxa"/>
        </w:trPr>
        <w:tc>
          <w:tcPr>
            <w:tcW w:w="3270" w:type="dxa"/>
            <w:tcMar>
              <w:top w:w="0" w:type="dxa"/>
              <w:left w:w="70" w:type="dxa"/>
              <w:bottom w:w="0" w:type="dxa"/>
              <w:right w:w="70" w:type="dxa"/>
            </w:tcMar>
            <w:vAlign w:val="center"/>
            <w:hideMark/>
          </w:tcPr>
          <w:p>
            <w:pPr>
              <w:spacing w:before="57" w:after="57" w:beforeAutospacing="0" w:afterAutospacing="0"/>
            </w:pPr>
          </w:p>
        </w:tc>
        <w:tc>
          <w:tcPr>
            <w:tcW w:w="5055" w:type="dxa"/>
            <w:tcBorders>
              <w:top w:val="nil"/>
              <w:left w:val="nil"/>
              <w:bottom w:val="nil"/>
              <w:right w:val="nil"/>
            </w:tcBorders>
            <w:tcMar>
              <w:top w:w="0" w:type="dxa"/>
              <w:left w:w="70" w:type="dxa"/>
              <w:bottom w:w="0" w:type="dxa"/>
              <w:right w:w="70" w:type="dxa"/>
            </w:tcMar>
            <w:vAlign w:val="center"/>
            <w:hideMark/>
          </w:tcPr>
          <w:p>
            <w:pPr>
              <w:spacing w:before="57" w:after="57" w:beforeAutospacing="0" w:afterAutospacing="0"/>
            </w:pPr>
          </w:p>
        </w:tc>
      </w:tr>
      <w:tr>
        <w:trPr>
          <w:trHeight w:hRule="atLeast" w:val="335"/>
          <w:tblCellSpacing w:w="15" w:type="dxa"/>
        </w:trPr>
        <w:tc>
          <w:tcPr>
            <w:tcW w:w="3270"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pPr>
            <w:r>
              <w:rPr>
                <w:rFonts w:ascii="Arial" w:hAnsi="Arial" w:cs="Arial"/>
                <w:lang w:val="en-GB"/>
              </w:rPr>
              <w:t>Clinical site 2 (hospital/place)</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rPr>
                <w:sz w:val="24"/>
              </w:rPr>
            </w:pPr>
          </w:p>
        </w:tc>
      </w:tr>
    </w:tbl>
    <w:p>
      <w:pPr>
        <w:rPr>
          <w:rFonts w:ascii="Arial" w:hAnsi="Arial"/>
          <w:lang w:val="en-GB"/>
        </w:rPr>
      </w:pPr>
      <w:bookmarkEnd w:id="3"/>
    </w:p>
    <w:p>
      <w:pPr>
        <w:rPr>
          <w:rFonts w:ascii="Arial" w:hAnsi="Arial" w:cs="Arial"/>
          <w:lang w:val="en-GB"/>
        </w:rPr>
      </w:pPr>
    </w:p>
    <w:p>
      <w:pPr>
        <w:outlineLvl w:val="0"/>
        <w:rPr>
          <w:rFonts w:ascii="Arial" w:hAnsi="Arial" w:cs="Arial"/>
          <w:lang w:val="en-GB"/>
        </w:rPr>
      </w:pPr>
      <w:r>
        <w:rPr>
          <w:rFonts w:ascii="Arial" w:hAnsi="Arial" w:cs="Arial"/>
          <w:b w:val="1"/>
          <w:lang w:val="en-GB"/>
        </w:rPr>
        <w:t xml:space="preserve">Network/main cooperation partners </w:t>
      </w:r>
    </w:p>
    <w:p>
      <w:pPr>
        <w:rPr>
          <w:rFonts w:ascii="Arial" w:hAnsi="Arial" w:cs="Arial"/>
          <w:lang w:val="en-GB"/>
        </w:rPr>
      </w:pPr>
    </w:p>
    <w:p>
      <w:pPr>
        <w:rPr>
          <w:rFonts w:ascii="Arial" w:hAnsi="Arial" w:cs="Arial"/>
          <w:lang w:val="en-GB"/>
        </w:rPr>
      </w:pPr>
      <w:r>
        <w:rPr>
          <w:rFonts w:ascii="Arial" w:hAnsi="Arial" w:cs="Arial"/>
          <w:lang w:val="en-GB"/>
        </w:rPr>
        <w:t xml:space="preserve">The (main) cooperation partners of Breast Cancer Centres are registered in a master data sheet with the certification agency OnkoZert. All information about this registration is published on </w:t>
      </w:r>
      <w:hyperlink xmlns:r="http://schemas.openxmlformats.org/officeDocument/2006/relationships" r:id="R2">
        <w:r>
          <w:rPr>
            <w:rFonts w:ascii="Arial" w:hAnsi="Arial" w:cs="Arial"/>
            <w:color w:val="0000FF"/>
            <w:u w:val="single"/>
            <w:lang w:val="en-GB"/>
          </w:rPr>
          <w:t>www.oncomap.de</w:t>
        </w:r>
      </w:hyperlink>
      <w:r>
        <w:rPr>
          <w:rFonts w:ascii="Arial" w:hAnsi="Arial" w:cs="Arial"/>
          <w:lang w:val="en-GB"/>
        </w:rPr>
        <w:t>. The Centre is obliged to report all new and also all no longer valid cooperations. Any other updates (e.g. changes to management, contact data.) must be indicated in the corrected master data sheet in the run-up to the annual surveillance audit. The master data sheet for the registration of cooperation partners can be obtained from OnkoZert.</w:t>
      </w:r>
    </w:p>
    <w:p>
      <w:pPr>
        <w:rPr>
          <w:rFonts w:ascii="Arial" w:hAnsi="Arial"/>
          <w:lang w:val="en-GB"/>
        </w:rPr>
      </w:pPr>
      <w:r>
        <w:rPr>
          <w:rFonts w:ascii="Arial" w:hAnsi="Arial"/>
          <w:lang w:val="en-GB"/>
        </w:rPr>
        <w:br w:type="page"/>
      </w:r>
    </w:p>
    <w:p>
      <w:pPr>
        <w:rPr>
          <w:rFonts w:ascii="Arial" w:hAnsi="Arial"/>
          <w:b w:val="1"/>
          <w:lang w:val="en-GB"/>
        </w:rPr>
      </w:pPr>
      <w:r>
        <w:rPr>
          <w:rFonts w:ascii="Arial" w:hAnsi="Arial"/>
          <w:b w:val="1"/>
          <w:lang w:val="en-GB"/>
        </w:rPr>
        <w:t>Table of contents</w:t>
      </w:r>
    </w:p>
    <w:p>
      <w:pPr>
        <w:rPr>
          <w:rFonts w:ascii="Arial" w:hAnsi="Arial"/>
          <w:lang w:val="en-GB"/>
        </w:rPr>
      </w:pPr>
    </w:p>
    <w:p>
      <w:pPr>
        <w:pStyle w:val="P4"/>
        <w:tabs>
          <w:tab w:val="left" w:pos="993" w:leader="none"/>
          <w:tab w:val="clear" w:pos="4536" w:leader="none"/>
          <w:tab w:val="clear" w:pos="9072" w:leader="none"/>
        </w:tabs>
        <w:spacing w:lineRule="auto" w:line="360" w:after="20" w:beforeAutospacing="0" w:afterAutospacing="0"/>
        <w:rPr>
          <w:rFonts w:ascii="Arial" w:hAnsi="Arial"/>
          <w:lang w:val="en-GB"/>
        </w:rPr>
      </w:pPr>
      <w:r>
        <w:rPr>
          <w:rFonts w:ascii="Arial" w:hAnsi="Arial"/>
          <w:lang w:val="en-GB"/>
        </w:rPr>
        <w:t>1</w:t>
        <w:tab/>
        <w:t>General information on the centre</w:t>
      </w:r>
    </w:p>
    <w:p>
      <w:pPr>
        <w:pStyle w:val="P4"/>
        <w:tabs>
          <w:tab w:val="left" w:pos="993" w:leader="none"/>
          <w:tab w:val="left" w:pos="1418" w:leader="none"/>
          <w:tab w:val="clear" w:pos="4536" w:leader="none"/>
          <w:tab w:val="clear" w:pos="9072" w:leader="none"/>
        </w:tabs>
        <w:spacing w:after="60" w:beforeAutospacing="0" w:afterAutospacing="0"/>
        <w:rPr>
          <w:rFonts w:ascii="Arial" w:hAnsi="Arial"/>
          <w:lang w:val="en-GB"/>
        </w:rPr>
      </w:pPr>
      <w:r>
        <w:rPr>
          <w:rFonts w:ascii="Arial" w:hAnsi="Arial"/>
          <w:lang w:val="en-GB"/>
        </w:rPr>
        <w:tab/>
        <w:t xml:space="preserve">1.1 </w:t>
        <w:tab/>
        <w:t>Structure of the network</w:t>
      </w:r>
    </w:p>
    <w:p>
      <w:pPr>
        <w:pStyle w:val="P4"/>
        <w:tabs>
          <w:tab w:val="left" w:pos="1418" w:leader="none"/>
          <w:tab w:val="left" w:pos="2552" w:leader="none"/>
          <w:tab w:val="clear" w:pos="4536" w:leader="none"/>
          <w:tab w:val="clear" w:pos="9072" w:leader="none"/>
        </w:tabs>
        <w:spacing w:after="60" w:beforeAutospacing="0" w:afterAutospacing="0"/>
        <w:ind w:hanging="6" w:left="998"/>
        <w:rPr>
          <w:rFonts w:ascii="Arial" w:hAnsi="Arial"/>
          <w:lang w:val="en-GB"/>
        </w:rPr>
      </w:pPr>
      <w:r>
        <w:rPr>
          <w:rFonts w:ascii="Arial" w:hAnsi="Arial"/>
          <w:lang w:val="en-GB"/>
        </w:rPr>
        <w:t>1.2</w:t>
        <w:tab/>
        <w:t>Interdisciplinary cooperation</w:t>
      </w:r>
    </w:p>
    <w:p>
      <w:pPr>
        <w:pStyle w:val="P4"/>
        <w:tabs>
          <w:tab w:val="left" w:pos="1418" w:leader="none"/>
          <w:tab w:val="left" w:pos="2552" w:leader="none"/>
          <w:tab w:val="clear" w:pos="4536" w:leader="none"/>
          <w:tab w:val="clear" w:pos="9072" w:leader="none"/>
        </w:tabs>
        <w:spacing w:after="60" w:beforeAutospacing="0" w:afterAutospacing="0"/>
        <w:ind w:hanging="6" w:left="998"/>
        <w:rPr>
          <w:rFonts w:ascii="Arial" w:hAnsi="Arial"/>
          <w:lang w:val="en-GB"/>
        </w:rPr>
      </w:pPr>
      <w:r>
        <w:rPr>
          <w:rFonts w:ascii="Arial" w:hAnsi="Arial"/>
          <w:lang w:val="en-GB"/>
        </w:rPr>
        <w:t>1.3</w:t>
        <w:tab/>
        <w:t>Cooperation referrers and aftercare</w:t>
      </w:r>
    </w:p>
    <w:p>
      <w:pPr>
        <w:pStyle w:val="P4"/>
        <w:tabs>
          <w:tab w:val="left" w:pos="1418" w:leader="none"/>
          <w:tab w:val="clear" w:pos="4536" w:leader="none"/>
          <w:tab w:val="clear" w:pos="9072" w:leader="none"/>
        </w:tabs>
        <w:spacing w:after="60" w:beforeAutospacing="0" w:afterAutospacing="0"/>
        <w:ind w:left="990"/>
        <w:rPr>
          <w:rFonts w:ascii="Arial" w:hAnsi="Arial"/>
          <w:lang w:val="en-US"/>
        </w:rPr>
      </w:pPr>
      <w:r>
        <w:rPr>
          <w:rFonts w:ascii="Arial" w:hAnsi="Arial"/>
          <w:lang w:val="en-US"/>
        </w:rPr>
        <w:t>1.4</w:t>
        <w:tab/>
        <w:t>Psycho-oncology</w:t>
      </w:r>
    </w:p>
    <w:p>
      <w:pPr>
        <w:pStyle w:val="P4"/>
        <w:numPr>
          <w:ilvl w:val="1"/>
          <w:numId w:val="2"/>
        </w:numPr>
        <w:tabs>
          <w:tab w:val="clear" w:pos="4536" w:leader="none"/>
          <w:tab w:val="clear" w:pos="9072" w:leader="none"/>
        </w:tabs>
        <w:spacing w:after="60" w:beforeAutospacing="0" w:afterAutospacing="0"/>
        <w:rPr>
          <w:rFonts w:ascii="Arial" w:hAnsi="Arial"/>
        </w:rPr>
      </w:pPr>
      <w:r>
        <w:rPr>
          <w:rFonts w:ascii="Arial" w:hAnsi="Arial"/>
        </w:rPr>
        <w:t>Social work and rehabilitation</w:t>
      </w:r>
    </w:p>
    <w:p>
      <w:pPr>
        <w:pStyle w:val="P4"/>
        <w:numPr>
          <w:ilvl w:val="1"/>
          <w:numId w:val="2"/>
        </w:numPr>
        <w:tabs>
          <w:tab w:val="clear" w:pos="4536" w:leader="none"/>
          <w:tab w:val="clear" w:pos="9072" w:leader="none"/>
        </w:tabs>
        <w:spacing w:after="60" w:beforeAutospacing="0" w:afterAutospacing="0"/>
        <w:rPr>
          <w:rFonts w:ascii="Arial" w:hAnsi="Arial"/>
        </w:rPr>
      </w:pPr>
      <w:r>
        <w:rPr>
          <w:rFonts w:ascii="Arial" w:hAnsi="Arial"/>
        </w:rPr>
        <w:t xml:space="preserve">Patient involvement </w:t>
      </w:r>
    </w:p>
    <w:p>
      <w:pPr>
        <w:pStyle w:val="P4"/>
        <w:numPr>
          <w:ilvl w:val="1"/>
          <w:numId w:val="2"/>
        </w:numPr>
        <w:tabs>
          <w:tab w:val="clear" w:pos="4536" w:leader="none"/>
          <w:tab w:val="clear" w:pos="9072" w:leader="none"/>
        </w:tabs>
        <w:spacing w:after="60" w:beforeAutospacing="0" w:afterAutospacing="0"/>
        <w:rPr>
          <w:rFonts w:ascii="Arial" w:hAnsi="Arial"/>
        </w:rPr>
      </w:pPr>
      <w:r>
        <w:rPr>
          <w:rFonts w:ascii="Arial" w:hAnsi="Arial"/>
        </w:rPr>
        <w:t xml:space="preserve">Study management </w:t>
      </w:r>
    </w:p>
    <w:p>
      <w:pPr>
        <w:pStyle w:val="P4"/>
        <w:numPr>
          <w:ilvl w:val="1"/>
          <w:numId w:val="2"/>
        </w:numPr>
        <w:tabs>
          <w:tab w:val="clear" w:pos="4536" w:leader="none"/>
          <w:tab w:val="clear" w:pos="9072" w:leader="none"/>
        </w:tabs>
        <w:spacing w:after="60" w:beforeAutospacing="0" w:afterAutospacing="0"/>
        <w:rPr>
          <w:rFonts w:ascii="Arial" w:hAnsi="Arial"/>
        </w:rPr>
      </w:pPr>
      <w:r>
        <w:rPr>
          <w:rFonts w:ascii="Arial" w:hAnsi="Arial"/>
        </w:rPr>
        <w:t>Nursing Care</w:t>
      </w:r>
    </w:p>
    <w:p>
      <w:pPr>
        <w:pStyle w:val="P9"/>
        <w:numPr>
          <w:ilvl w:val="1"/>
          <w:numId w:val="2"/>
        </w:numPr>
        <w:rPr>
          <w:rFonts w:ascii="Arial" w:hAnsi="Arial"/>
          <w:lang w:val="en-GB"/>
        </w:rPr>
      </w:pPr>
      <w:r>
        <w:rPr>
          <w:rFonts w:ascii="Arial" w:hAnsi="Arial"/>
          <w:lang w:val="en-GB"/>
        </w:rPr>
        <w:t>General service areas (pharmacy, nutrition counselling, speech therapy, …)</w:t>
      </w:r>
    </w:p>
    <w:p>
      <w:pPr>
        <w:pStyle w:val="P15"/>
        <w:rPr>
          <w:rFonts w:ascii="Arial" w:hAnsi="Arial"/>
          <w:lang w:val="en-GB"/>
        </w:rPr>
      </w:pPr>
    </w:p>
    <w:p>
      <w:pPr>
        <w:pStyle w:val="P4"/>
        <w:numPr>
          <w:ilvl w:val="0"/>
          <w:numId w:val="1"/>
        </w:numPr>
        <w:tabs>
          <w:tab w:val="clear" w:pos="4536" w:leader="none"/>
          <w:tab w:val="left" w:pos="5655" w:leader="none"/>
          <w:tab w:val="clear" w:pos="9072" w:leader="none"/>
        </w:tabs>
        <w:spacing w:lineRule="auto" w:line="360" w:after="20" w:beforeAutospacing="0" w:afterAutospacing="0"/>
        <w:ind w:hanging="992" w:left="992"/>
        <w:rPr>
          <w:rFonts w:ascii="Arial" w:hAnsi="Arial"/>
        </w:rPr>
      </w:pPr>
      <w:r>
        <w:rPr>
          <w:rFonts w:ascii="Arial" w:hAnsi="Arial"/>
        </w:rPr>
        <w:t xml:space="preserve">Organ-specific diagnostics </w:t>
      </w:r>
    </w:p>
    <w:p>
      <w:pPr>
        <w:pStyle w:val="P4"/>
        <w:numPr>
          <w:ilvl w:val="1"/>
          <w:numId w:val="1"/>
        </w:numPr>
        <w:tabs>
          <w:tab w:val="left" w:pos="1418" w:leader="none"/>
          <w:tab w:val="clear" w:pos="4536" w:leader="none"/>
          <w:tab w:val="clear" w:pos="9072" w:leader="none"/>
        </w:tabs>
        <w:spacing w:lineRule="auto" w:line="360" w:after="20" w:beforeAutospacing="0" w:afterAutospacing="0"/>
        <w:ind w:firstLine="3"/>
        <w:rPr>
          <w:rFonts w:ascii="Arial" w:hAnsi="Arial"/>
        </w:rPr>
      </w:pPr>
      <w:r>
        <w:rPr>
          <w:rFonts w:ascii="Arial" w:hAnsi="Arial"/>
        </w:rPr>
        <w:t xml:space="preserve">Consulting hours </w:t>
      </w:r>
    </w:p>
    <w:p>
      <w:pPr>
        <w:pStyle w:val="P4"/>
        <w:numPr>
          <w:ilvl w:val="1"/>
          <w:numId w:val="1"/>
        </w:numPr>
        <w:tabs>
          <w:tab w:val="left" w:pos="1418" w:leader="none"/>
          <w:tab w:val="clear" w:pos="4536" w:leader="none"/>
          <w:tab w:val="clear" w:pos="9072" w:leader="none"/>
        </w:tabs>
        <w:spacing w:lineRule="auto" w:line="360" w:after="20" w:beforeAutospacing="0" w:afterAutospacing="0"/>
        <w:ind w:firstLine="3"/>
        <w:rPr>
          <w:rFonts w:ascii="Arial" w:hAnsi="Arial"/>
        </w:rPr>
      </w:pPr>
      <w:r>
        <w:rPr>
          <w:rFonts w:ascii="Arial" w:hAnsi="Arial"/>
        </w:rPr>
        <w:t>Diagnostics</w:t>
      </w:r>
    </w:p>
    <w:p>
      <w:pPr>
        <w:pStyle w:val="P15"/>
        <w:rPr>
          <w:rFonts w:ascii="Arial" w:hAnsi="Arial"/>
        </w:rPr>
      </w:pPr>
    </w:p>
    <w:p>
      <w:pPr>
        <w:pStyle w:val="P4"/>
        <w:numPr>
          <w:ilvl w:val="0"/>
          <w:numId w:val="1"/>
        </w:numPr>
        <w:tabs>
          <w:tab w:val="clear" w:pos="4536" w:leader="none"/>
          <w:tab w:val="left" w:pos="5655" w:leader="none"/>
          <w:tab w:val="clear" w:pos="9072" w:leader="none"/>
        </w:tabs>
        <w:spacing w:lineRule="auto" w:line="360" w:after="20" w:beforeAutospacing="0" w:afterAutospacing="0"/>
        <w:ind w:hanging="992" w:left="992"/>
        <w:rPr>
          <w:rFonts w:ascii="Arial" w:hAnsi="Arial"/>
        </w:rPr>
      </w:pPr>
      <w:r>
        <w:rPr>
          <w:rFonts w:ascii="Arial" w:hAnsi="Arial"/>
        </w:rPr>
        <w:t>Radiology</w:t>
      </w:r>
    </w:p>
    <w:p>
      <w:pPr>
        <w:pStyle w:val="P15"/>
        <w:rPr>
          <w:rFonts w:ascii="Arial" w:hAnsi="Arial"/>
        </w:rPr>
      </w:pPr>
    </w:p>
    <w:p>
      <w:pPr>
        <w:pStyle w:val="P4"/>
        <w:numPr>
          <w:ilvl w:val="0"/>
          <w:numId w:val="1"/>
        </w:numPr>
        <w:tabs>
          <w:tab w:val="clear" w:pos="4536" w:leader="none"/>
          <w:tab w:val="left" w:pos="5655" w:leader="none"/>
          <w:tab w:val="clear" w:pos="9072" w:leader="none"/>
        </w:tabs>
        <w:spacing w:lineRule="auto" w:line="360" w:after="20" w:beforeAutospacing="0" w:afterAutospacing="0"/>
        <w:ind w:hanging="992" w:left="992"/>
        <w:rPr>
          <w:rFonts w:ascii="Arial" w:hAnsi="Arial"/>
        </w:rPr>
      </w:pPr>
      <w:r>
        <w:rPr>
          <w:rFonts w:ascii="Arial" w:hAnsi="Arial"/>
        </w:rPr>
        <w:t>Nuclear medicine</w:t>
      </w:r>
    </w:p>
    <w:p>
      <w:pPr>
        <w:pStyle w:val="P15"/>
        <w:rPr>
          <w:rFonts w:ascii="Arial" w:hAnsi="Arial"/>
        </w:rPr>
      </w:pPr>
    </w:p>
    <w:p>
      <w:pPr>
        <w:pStyle w:val="P4"/>
        <w:numPr>
          <w:ilvl w:val="0"/>
          <w:numId w:val="1"/>
        </w:numPr>
        <w:tabs>
          <w:tab w:val="clear" w:pos="4536" w:leader="none"/>
          <w:tab w:val="clear" w:pos="9072" w:leader="none"/>
        </w:tabs>
        <w:spacing w:after="60" w:beforeAutospacing="0" w:afterAutospacing="0"/>
        <w:rPr>
          <w:rFonts w:ascii="Arial" w:hAnsi="Arial"/>
        </w:rPr>
      </w:pPr>
      <w:r>
        <w:rPr>
          <w:rFonts w:ascii="Arial" w:hAnsi="Arial"/>
        </w:rPr>
        <w:t>Surgical oncology</w:t>
      </w:r>
    </w:p>
    <w:p>
      <w:pPr>
        <w:pStyle w:val="P9"/>
        <w:rPr>
          <w:rFonts w:ascii="Arial" w:hAnsi="Arial"/>
        </w:rPr>
      </w:pPr>
    </w:p>
    <w:p>
      <w:pPr>
        <w:pStyle w:val="P4"/>
        <w:numPr>
          <w:ilvl w:val="1"/>
          <w:numId w:val="50"/>
        </w:numPr>
        <w:tabs>
          <w:tab w:val="clear" w:pos="4536" w:leader="none"/>
          <w:tab w:val="clear" w:pos="9072" w:leader="none"/>
        </w:tabs>
        <w:spacing w:after="60" w:beforeAutospacing="0" w:afterAutospacing="0"/>
        <w:ind w:hanging="450" w:left="1440"/>
        <w:rPr>
          <w:rFonts w:ascii="Arial" w:hAnsi="Arial"/>
        </w:rPr>
      </w:pPr>
      <w:r>
        <w:rPr>
          <w:rFonts w:ascii="Arial" w:hAnsi="Arial"/>
        </w:rPr>
        <w:t xml:space="preserve">Cross-organ surgical therapy </w:t>
      </w:r>
    </w:p>
    <w:p>
      <w:pPr>
        <w:pStyle w:val="P4"/>
        <w:numPr>
          <w:ilvl w:val="1"/>
          <w:numId w:val="9"/>
        </w:numPr>
        <w:tabs>
          <w:tab w:val="left" w:pos="1418" w:leader="none"/>
          <w:tab w:val="clear" w:pos="4536" w:leader="none"/>
          <w:tab w:val="clear" w:pos="9072" w:leader="none"/>
        </w:tabs>
        <w:spacing w:after="60" w:beforeAutospacing="0" w:afterAutospacing="0"/>
        <w:ind w:firstLine="0" w:left="993"/>
        <w:rPr>
          <w:rFonts w:ascii="Arial" w:hAnsi="Arial"/>
        </w:rPr>
      </w:pPr>
      <w:r>
        <w:rPr>
          <w:rFonts w:ascii="Arial" w:hAnsi="Arial"/>
        </w:rPr>
        <w:t>Organ-specific surgical therapy</w:t>
      </w:r>
    </w:p>
    <w:p>
      <w:pPr>
        <w:pStyle w:val="P15"/>
        <w:rPr>
          <w:rFonts w:ascii="Arial" w:hAnsi="Arial"/>
        </w:rPr>
      </w:pPr>
    </w:p>
    <w:p>
      <w:pPr>
        <w:pStyle w:val="P4"/>
        <w:numPr>
          <w:ilvl w:val="0"/>
          <w:numId w:val="1"/>
        </w:numPr>
        <w:tabs>
          <w:tab w:val="clear" w:pos="4536" w:leader="none"/>
          <w:tab w:val="left" w:pos="5655" w:leader="none"/>
          <w:tab w:val="clear" w:pos="9072" w:leader="none"/>
        </w:tabs>
        <w:spacing w:lineRule="auto" w:line="360" w:after="20" w:beforeAutospacing="0" w:afterAutospacing="0"/>
        <w:rPr>
          <w:rFonts w:ascii="Arial" w:hAnsi="Arial"/>
          <w:lang w:val="en-US"/>
        </w:rPr>
      </w:pPr>
      <w:r>
        <w:rPr>
          <w:rFonts w:ascii="Arial" w:hAnsi="Arial"/>
          <w:lang w:val="en-US"/>
        </w:rPr>
        <w:t xml:space="preserve">Medicinal </w:t>
      </w:r>
      <w:r>
        <w:rPr>
          <w:rFonts w:ascii="Arial" w:hAnsi="Arial"/>
          <w:lang w:val="en-GB"/>
        </w:rPr>
        <w:t>oncology / systemic anticancer therapy</w:t>
      </w:r>
    </w:p>
    <w:p>
      <w:pPr>
        <w:pStyle w:val="P4"/>
        <w:numPr>
          <w:ilvl w:val="1"/>
          <w:numId w:val="1"/>
        </w:numPr>
        <w:tabs>
          <w:tab w:val="left" w:pos="1418" w:leader="none"/>
          <w:tab w:val="clear" w:pos="4536" w:leader="none"/>
          <w:tab w:val="clear" w:pos="9072" w:leader="none"/>
        </w:tabs>
        <w:spacing w:lineRule="auto" w:line="360" w:after="20" w:beforeAutospacing="0" w:afterAutospacing="0"/>
        <w:ind w:firstLine="6" w:left="992"/>
        <w:rPr>
          <w:rFonts w:ascii="Arial" w:hAnsi="Arial"/>
        </w:rPr>
      </w:pPr>
      <w:r>
        <w:rPr>
          <w:rFonts w:ascii="Arial" w:hAnsi="Arial"/>
        </w:rPr>
        <w:t>Haematology and oncology</w:t>
      </w:r>
    </w:p>
    <w:p>
      <w:pPr>
        <w:pStyle w:val="P4"/>
        <w:numPr>
          <w:ilvl w:val="1"/>
          <w:numId w:val="1"/>
        </w:numPr>
        <w:tabs>
          <w:tab w:val="left" w:pos="1418" w:leader="none"/>
          <w:tab w:val="clear" w:pos="4536" w:leader="none"/>
          <w:tab w:val="clear" w:pos="9072" w:leader="none"/>
        </w:tabs>
        <w:spacing w:lineRule="auto" w:line="360" w:after="20" w:beforeAutospacing="0" w:afterAutospacing="0"/>
        <w:ind w:firstLine="3"/>
        <w:rPr>
          <w:rFonts w:ascii="Arial" w:hAnsi="Arial"/>
          <w:lang w:val="en-GB"/>
        </w:rPr>
      </w:pPr>
      <w:r>
        <w:rPr>
          <w:rFonts w:ascii="Arial" w:hAnsi="Arial"/>
          <w:lang w:val="en-GB"/>
        </w:rPr>
        <w:t>Organ-specific systemic anticancer therapy</w:t>
      </w:r>
    </w:p>
    <w:p>
      <w:pPr>
        <w:pStyle w:val="P15"/>
        <w:rPr>
          <w:rFonts w:ascii="Arial" w:hAnsi="Arial"/>
          <w:lang w:val="en-GB"/>
        </w:rPr>
      </w:pPr>
    </w:p>
    <w:p>
      <w:pPr>
        <w:pStyle w:val="P4"/>
        <w:numPr>
          <w:ilvl w:val="0"/>
          <w:numId w:val="1"/>
        </w:numPr>
        <w:tabs>
          <w:tab w:val="clear" w:pos="4536" w:leader="none"/>
          <w:tab w:val="left" w:pos="5655" w:leader="none"/>
          <w:tab w:val="clear" w:pos="9072" w:leader="none"/>
        </w:tabs>
        <w:spacing w:after="60" w:beforeAutospacing="0" w:afterAutospacing="0"/>
        <w:rPr>
          <w:rFonts w:ascii="Arial" w:hAnsi="Arial"/>
        </w:rPr>
      </w:pPr>
      <w:r>
        <w:rPr>
          <w:rFonts w:ascii="Arial" w:hAnsi="Arial"/>
        </w:rPr>
        <w:t xml:space="preserve">Radio - oncology </w:t>
      </w:r>
    </w:p>
    <w:p>
      <w:pPr>
        <w:pStyle w:val="P15"/>
        <w:rPr>
          <w:rFonts w:ascii="Arial" w:hAnsi="Arial"/>
        </w:rPr>
      </w:pPr>
    </w:p>
    <w:p>
      <w:pPr>
        <w:pStyle w:val="P4"/>
        <w:numPr>
          <w:ilvl w:val="0"/>
          <w:numId w:val="1"/>
        </w:numPr>
        <w:tabs>
          <w:tab w:val="clear" w:pos="4536" w:leader="none"/>
          <w:tab w:val="left" w:pos="5655" w:leader="none"/>
          <w:tab w:val="clear" w:pos="9072" w:leader="none"/>
        </w:tabs>
        <w:spacing w:after="60" w:beforeAutospacing="0" w:afterAutospacing="0"/>
        <w:rPr>
          <w:rFonts w:ascii="Arial" w:hAnsi="Arial"/>
        </w:rPr>
      </w:pPr>
      <w:r>
        <w:rPr>
          <w:rFonts w:ascii="Arial" w:hAnsi="Arial"/>
        </w:rPr>
        <w:t xml:space="preserve">Pathology </w:t>
      </w:r>
    </w:p>
    <w:p>
      <w:pPr>
        <w:pStyle w:val="P15"/>
        <w:rPr>
          <w:rFonts w:ascii="Arial" w:hAnsi="Arial"/>
        </w:rPr>
      </w:pPr>
    </w:p>
    <w:p>
      <w:pPr>
        <w:pStyle w:val="P4"/>
        <w:numPr>
          <w:ilvl w:val="0"/>
          <w:numId w:val="1"/>
        </w:numPr>
        <w:tabs>
          <w:tab w:val="clear" w:pos="4536" w:leader="none"/>
          <w:tab w:val="clear" w:pos="9072" w:leader="none"/>
        </w:tabs>
        <w:spacing w:after="60" w:beforeAutospacing="0" w:afterAutospacing="0"/>
        <w:rPr>
          <w:rFonts w:ascii="Arial" w:hAnsi="Arial"/>
          <w:lang w:val="en-GB"/>
        </w:rPr>
      </w:pPr>
      <w:r>
        <w:rPr>
          <w:rFonts w:ascii="Arial" w:hAnsi="Arial"/>
          <w:lang w:val="en-GB"/>
        </w:rPr>
        <w:t>Palliative care and hospice care</w:t>
      </w:r>
    </w:p>
    <w:p>
      <w:pPr>
        <w:pStyle w:val="P15"/>
        <w:rPr>
          <w:rFonts w:ascii="Arial" w:hAnsi="Arial"/>
          <w:lang w:val="en-GB"/>
        </w:rPr>
      </w:pPr>
    </w:p>
    <w:p>
      <w:pPr>
        <w:pStyle w:val="P4"/>
        <w:numPr>
          <w:ilvl w:val="0"/>
          <w:numId w:val="1"/>
        </w:numPr>
        <w:tabs>
          <w:tab w:val="clear" w:pos="4536" w:leader="none"/>
          <w:tab w:val="clear" w:pos="9072" w:leader="none"/>
        </w:tabs>
        <w:spacing w:after="60" w:beforeAutospacing="0" w:afterAutospacing="0"/>
        <w:rPr>
          <w:rFonts w:ascii="Arial" w:hAnsi="Arial"/>
        </w:rPr>
      </w:pPr>
      <w:r>
        <w:rPr>
          <w:rFonts w:ascii="Arial" w:hAnsi="Arial"/>
        </w:rPr>
        <w:t xml:space="preserve">Tumour documentation/outcome quality </w:t>
      </w:r>
    </w:p>
    <w:p>
      <w:pPr>
        <w:pStyle w:val="P15"/>
        <w:rPr>
          <w:rFonts w:ascii="Arial" w:hAnsi="Arial"/>
        </w:rPr>
      </w:pPr>
    </w:p>
    <w:p>
      <w:pPr>
        <w:pStyle w:val="P15"/>
        <w:rPr>
          <w:rFonts w:ascii="Arial" w:hAnsi="Arial"/>
        </w:rPr>
      </w:pPr>
    </w:p>
    <w:p>
      <w:pPr>
        <w:pStyle w:val="P15"/>
        <w:rPr>
          <w:rFonts w:ascii="Arial" w:hAnsi="Arial"/>
        </w:rPr>
      </w:pPr>
    </w:p>
    <w:p>
      <w:pPr>
        <w:pStyle w:val="P15"/>
        <w:rPr>
          <w:rFonts w:ascii="Arial" w:hAnsi="Arial"/>
          <w:lang w:val="en-GB"/>
        </w:rPr>
      </w:pPr>
      <w:r>
        <w:rPr>
          <w:rFonts w:ascii="Arial" w:hAnsi="Arial"/>
          <w:u w:val="single"/>
          <w:lang w:val="en-GB"/>
        </w:rPr>
        <w:t>Annexes to the questionnaire (separate Excel document)</w:t>
      </w:r>
    </w:p>
    <w:p>
      <w:pPr>
        <w:pStyle w:val="P15"/>
        <w:rPr>
          <w:rFonts w:ascii="Arial" w:hAnsi="Arial"/>
          <w:lang w:val="en-US"/>
        </w:rPr>
      </w:pPr>
      <w:r>
        <w:rPr>
          <w:rFonts w:ascii="Arial" w:hAnsi="Arial"/>
          <w:lang w:val="en-US"/>
        </w:rPr>
        <w:t>Data sheet (Excel template)</w:t>
      </w:r>
    </w:p>
    <w:p>
      <w:pPr>
        <w:pStyle w:val="P15"/>
        <w:rPr>
          <w:rFonts w:ascii="Arial" w:hAnsi="Arial" w:cs="Arial"/>
          <w:lang w:val="en-US"/>
        </w:rPr>
      </w:pPr>
      <w:r>
        <w:rPr>
          <w:rFonts w:ascii="Arial" w:hAnsi="Arial" w:cs="Arial"/>
          <w:lang w:val="en-US"/>
        </w:rPr>
        <w:br w:type="page"/>
      </w: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1.</w:t>
        <w:tab/>
        <w:t xml:space="preserve"> General information on the Oncology Centre</w:t>
      </w:r>
    </w:p>
    <w:p>
      <w:pPr>
        <w:rPr>
          <w:rFonts w:ascii="Arial" w:hAnsi="Arial" w:cs="Arial"/>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1.1</w:t>
              <w:tab/>
              <w:t xml:space="preserve"> Structure of the network</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1.1.1</w:t>
            </w:r>
          </w:p>
        </w:tc>
        <w:tc>
          <w:tcPr>
            <w:tcW w:w="1" w:type="dxa"/>
          </w:tcPr>
          <w:p>
            <w:pPr>
              <w:spacing w:before="0" w:after="19"/>
              <w:ind w:left="0" w:right="0"/>
              <w:rPr>
                <w:rFonts w:ascii="Arial" w:hAnsi="Arial" w:cs="Arial"/>
                <w:sz w:val="20"/>
                <w:szCs w:val="20"/>
              </w:rPr>
            </w:pPr>
            <w:r>
              <w:rPr>
                <w:rFonts w:ascii="Arial" w:hAnsi="Arial" w:cs="Arial"/>
                <w:sz w:val="20"/>
                <w:szCs w:val="20"/>
              </w:rPr>
              <w:t>The following functions must be specified by name:</w:t>
            </w:r>
          </w:p>
          <w:p>
            <w:pPr>
              <w:numPr>
                <w:ilvl w:val="0"/>
                <w:numId w:val="51"/>
              </w:numPr>
              <w:spacing w:before="0" w:after="19"/>
              <w:ind w:hanging="283" w:left="283" w:right="0"/>
              <w:rPr>
                <w:rFonts w:ascii="Arial" w:hAnsi="Arial" w:cs="Arial"/>
                <w:sz w:val="20"/>
                <w:szCs w:val="20"/>
              </w:rPr>
            </w:pPr>
            <w:r>
              <w:rPr>
                <w:rFonts w:ascii="Arial" w:hAnsi="Arial" w:cs="Arial"/>
                <w:sz w:val="20"/>
                <w:szCs w:val="20"/>
              </w:rPr>
              <w:t xml:space="preserve">Director of the Centre </w:t>
            </w:r>
          </w:p>
          <w:p>
            <w:pPr>
              <w:numPr>
                <w:ilvl w:val="0"/>
                <w:numId w:val="51"/>
              </w:numPr>
              <w:spacing w:before="0" w:after="19"/>
              <w:ind w:hanging="283" w:left="283" w:right="0"/>
              <w:rPr>
                <w:rFonts w:ascii="Arial" w:hAnsi="Arial" w:cs="Arial"/>
                <w:sz w:val="20"/>
                <w:szCs w:val="20"/>
              </w:rPr>
            </w:pPr>
            <w:r>
              <w:rPr>
                <w:rFonts w:ascii="Arial" w:hAnsi="Arial" w:cs="Arial"/>
                <w:sz w:val="20"/>
                <w:szCs w:val="20"/>
              </w:rPr>
              <w:t>Centre coordination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Centre coordination - Tasks</w:t>
            </w:r>
          </w:p>
          <w:p>
            <w:pPr>
              <w:numPr>
                <w:ilvl w:val="0"/>
                <w:numId w:val="52"/>
              </w:numPr>
              <w:spacing w:before="0" w:after="19"/>
              <w:ind w:hanging="283" w:left="283" w:right="0"/>
              <w:rPr>
                <w:rFonts w:ascii="Arial" w:hAnsi="Arial" w:cs="Arial"/>
                <w:sz w:val="20"/>
                <w:szCs w:val="20"/>
              </w:rPr>
            </w:pPr>
            <w:r>
              <w:rPr>
                <w:rFonts w:ascii="Arial" w:hAnsi="Arial" w:cs="Arial"/>
                <w:sz w:val="20"/>
                <w:szCs w:val="20"/>
              </w:rPr>
              <w:t>Coordination of internal/ external audits</w:t>
            </w:r>
          </w:p>
          <w:p>
            <w:pPr>
              <w:numPr>
                <w:ilvl w:val="0"/>
                <w:numId w:val="52"/>
              </w:numPr>
              <w:spacing w:before="0" w:after="19"/>
              <w:ind w:hanging="283" w:left="283" w:right="0"/>
              <w:rPr>
                <w:rFonts w:ascii="Arial" w:hAnsi="Arial" w:cs="Arial"/>
                <w:sz w:val="20"/>
                <w:szCs w:val="20"/>
              </w:rPr>
            </w:pPr>
            <w:r>
              <w:rPr>
                <w:rFonts w:ascii="Arial" w:hAnsi="Arial" w:cs="Arial"/>
                <w:sz w:val="20"/>
                <w:szCs w:val="20"/>
              </w:rPr>
              <w:t>Monitoring of Technical and Medical Requirements and ensuring compliance with them</w:t>
            </w:r>
          </w:p>
          <w:p>
            <w:pPr>
              <w:numPr>
                <w:ilvl w:val="0"/>
                <w:numId w:val="52"/>
              </w:numPr>
              <w:spacing w:before="0" w:after="19"/>
              <w:ind w:hanging="283" w:left="283" w:right="0"/>
              <w:rPr>
                <w:rFonts w:ascii="Arial" w:hAnsi="Arial" w:cs="Arial"/>
                <w:sz w:val="20"/>
                <w:szCs w:val="20"/>
              </w:rPr>
            </w:pPr>
            <w:r>
              <w:rPr>
                <w:rFonts w:ascii="Arial" w:hAnsi="Arial" w:cs="Arial"/>
                <w:sz w:val="20"/>
                <w:szCs w:val="20"/>
              </w:rPr>
              <w:t xml:space="preserve">Communication interface </w:t>
            </w:r>
          </w:p>
          <w:p>
            <w:pPr>
              <w:numPr>
                <w:ilvl w:val="0"/>
                <w:numId w:val="52"/>
              </w:numPr>
              <w:spacing w:before="0" w:after="19"/>
              <w:ind w:hanging="283" w:left="283"/>
              <w:rPr>
                <w:rFonts w:ascii="Arial" w:hAnsi="Arial" w:cs="Arial"/>
                <w:sz w:val="20"/>
                <w:szCs w:val="20"/>
                <w:lang w:val="ro-RO" w:bidi="ar-SA"/>
              </w:rPr>
            </w:pPr>
            <w:r>
              <w:rPr>
                <w:rFonts w:ascii="Arial" w:hAnsi="Arial" w:cs="Arial"/>
                <w:sz w:val="20"/>
                <w:szCs w:val="20"/>
              </w:rPr>
              <w:t>Steering/monitoring of cross-specialty activities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1.1.2</w:t>
            </w:r>
          </w:p>
        </w:tc>
        <w:tc>
          <w:tcPr>
            <w:tcW w:w="1" w:type="dxa"/>
          </w:tcPr>
          <w:p>
            <w:pPr>
              <w:spacing w:before="0" w:after="19"/>
              <w:ind w:left="0" w:right="0"/>
              <w:rPr>
                <w:rFonts w:ascii="Arial" w:hAnsi="Arial" w:cs="Arial"/>
                <w:sz w:val="20"/>
                <w:szCs w:val="20"/>
              </w:rPr>
            </w:pPr>
            <w:r>
              <w:rPr>
                <w:rFonts w:ascii="Arial" w:hAnsi="Arial" w:cs="Arial"/>
                <w:sz w:val="20"/>
                <w:szCs w:val="20"/>
              </w:rPr>
              <w:t>Co-operation agreements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Co-operation agreements</w:t>
            </w:r>
          </w:p>
          <w:p>
            <w:pPr>
              <w:spacing w:before="0" w:after="19"/>
              <w:ind w:left="0" w:right="0"/>
              <w:rPr>
                <w:rFonts w:ascii="Arial" w:hAnsi="Arial" w:cs="Arial"/>
                <w:sz w:val="20"/>
                <w:szCs w:val="20"/>
              </w:rPr>
            </w:pPr>
            <w:r>
              <w:rPr>
                <w:rFonts w:ascii="Arial" w:hAnsi="Arial" w:cs="Arial"/>
                <w:sz w:val="20"/>
                <w:szCs w:val="20"/>
              </w:rPr>
              <w:t>A cooperation agreement must be concluded with the external treatment partners involved in the cooperation. These must demonstrably fulfil the applicable professional requirements of this Catalogue of Requirements (not every service provider must also be a cooperation partner). The co-operation partners must be listed in the "Master Data Sheet" (administration via OnkoZert).</w:t>
            </w:r>
          </w:p>
          <w:p>
            <w:pPr>
              <w:spacing w:before="0" w:after="19"/>
              <w:ind w:left="0" w:right="0"/>
              <w:rPr>
                <w:rFonts w:ascii="Arial" w:hAnsi="Arial" w:cs="Arial"/>
                <w:sz w:val="20"/>
                <w:szCs w:val="20"/>
              </w:rPr>
            </w:pPr>
            <w:r>
              <w:rPr>
                <w:rFonts w:ascii="Arial" w:hAnsi="Arial" w:cs="Arial"/>
                <w:sz w:val="20"/>
                <w:szCs w:val="20"/>
              </w:rPr>
              <w:t>If the cooperation partners of a centre work under one sponsorship or at one clinic location, written agreements are not necessary (implementation of the following points must nevertheless be ensured).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The following points are to be regulated:</w:t>
            </w:r>
          </w:p>
          <w:p>
            <w:pPr>
              <w:numPr>
                <w:ilvl w:val="0"/>
                <w:numId w:val="53"/>
              </w:numPr>
              <w:spacing w:before="0" w:after="19"/>
              <w:ind w:hanging="283" w:left="283" w:right="0"/>
              <w:rPr>
                <w:rFonts w:ascii="Arial" w:hAnsi="Arial" w:cs="Arial"/>
                <w:sz w:val="20"/>
                <w:szCs w:val="20"/>
              </w:rPr>
            </w:pPr>
            <w:r>
              <w:rPr>
                <w:rFonts w:ascii="Arial" w:hAnsi="Arial" w:cs="Arial"/>
                <w:sz w:val="20"/>
                <w:szCs w:val="20"/>
              </w:rPr>
              <w:t>Competences and responsibilities.</w:t>
            </w:r>
          </w:p>
          <w:p>
            <w:pPr>
              <w:numPr>
                <w:ilvl w:val="0"/>
                <w:numId w:val="53"/>
              </w:numPr>
              <w:spacing w:before="0" w:after="19"/>
              <w:ind w:hanging="283" w:left="283" w:right="0"/>
              <w:rPr>
                <w:rFonts w:ascii="Arial" w:hAnsi="Arial" w:cs="Arial"/>
                <w:sz w:val="20"/>
                <w:szCs w:val="20"/>
              </w:rPr>
            </w:pPr>
            <w:r>
              <w:rPr>
                <w:rFonts w:ascii="Arial" w:hAnsi="Arial" w:cs="Arial"/>
                <w:sz w:val="20"/>
                <w:szCs w:val="20"/>
              </w:rPr>
              <w:t>Description of the treatment processes relevant to the centre, taking into account the interfaces.</w:t>
            </w:r>
          </w:p>
          <w:p>
            <w:pPr>
              <w:numPr>
                <w:ilvl w:val="0"/>
                <w:numId w:val="53"/>
              </w:numPr>
              <w:spacing w:before="0" w:after="19"/>
              <w:ind w:hanging="283" w:left="283" w:right="0"/>
              <w:rPr>
                <w:rFonts w:ascii="Arial" w:hAnsi="Arial" w:cs="Arial"/>
                <w:sz w:val="20"/>
                <w:szCs w:val="20"/>
              </w:rPr>
            </w:pPr>
            <w:r>
              <w:rPr>
                <w:rFonts w:ascii="Arial" w:hAnsi="Arial" w:cs="Arial"/>
                <w:sz w:val="20"/>
                <w:szCs w:val="20"/>
              </w:rPr>
              <w:t>Obligation to implement indicated Guidelines</w:t>
            </w:r>
          </w:p>
          <w:p>
            <w:pPr>
              <w:numPr>
                <w:ilvl w:val="0"/>
                <w:numId w:val="53"/>
              </w:numPr>
              <w:spacing w:before="0" w:after="19"/>
              <w:ind w:hanging="283" w:left="283" w:right="0"/>
              <w:rPr>
                <w:rFonts w:ascii="Arial" w:hAnsi="Arial" w:cs="Arial"/>
                <w:sz w:val="20"/>
                <w:szCs w:val="20"/>
              </w:rPr>
            </w:pPr>
            <w:r>
              <w:rPr>
                <w:rFonts w:ascii="Arial" w:hAnsi="Arial" w:cs="Arial"/>
                <w:sz w:val="20"/>
                <w:szCs w:val="20"/>
              </w:rPr>
              <w:t>Description of the cooperation with regard to tumour documentation.</w:t>
            </w:r>
          </w:p>
          <w:p>
            <w:pPr>
              <w:numPr>
                <w:ilvl w:val="0"/>
                <w:numId w:val="53"/>
              </w:numPr>
              <w:spacing w:before="0" w:after="19"/>
              <w:ind w:hanging="283" w:left="283" w:right="0"/>
              <w:rPr>
                <w:rFonts w:ascii="Arial" w:hAnsi="Arial" w:cs="Arial"/>
                <w:sz w:val="20"/>
                <w:szCs w:val="20"/>
              </w:rPr>
            </w:pPr>
            <w:r>
              <w:rPr>
                <w:rFonts w:ascii="Arial" w:hAnsi="Arial" w:cs="Arial"/>
                <w:sz w:val="20"/>
                <w:szCs w:val="20"/>
              </w:rPr>
              <w:t>Declaration of willingness to co-operate with regard to internal/external audits.</w:t>
            </w:r>
          </w:p>
          <w:p>
            <w:pPr>
              <w:numPr>
                <w:ilvl w:val="0"/>
                <w:numId w:val="53"/>
              </w:numPr>
              <w:spacing w:before="0" w:after="19"/>
              <w:ind w:hanging="283" w:left="283"/>
              <w:rPr>
                <w:rFonts w:ascii="Arial" w:hAnsi="Arial" w:cs="Arial"/>
                <w:sz w:val="20"/>
                <w:szCs w:val="20"/>
                <w:lang w:val="ro-RO" w:bidi="ar-SA"/>
              </w:rPr>
            </w:pPr>
            <w:r>
              <w:rPr>
                <w:rFonts w:ascii="Arial" w:hAnsi="Arial" w:cs="Arial"/>
                <w:sz w:val="20"/>
                <w:szCs w:val="20"/>
              </w:rPr>
              <w:t>Declaration of commitment to comply with the relevant DKG criteria and the annual provision of the relevant data.</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1.1.3</w:t>
            </w:r>
          </w:p>
        </w:tc>
        <w:tc>
          <w:tcPr>
            <w:tcW w:w="1" w:type="dxa"/>
          </w:tcPr>
          <w:p>
            <w:pPr>
              <w:spacing w:before="0" w:after="19"/>
              <w:ind w:left="0" w:right="0"/>
              <w:rPr>
                <w:rFonts w:ascii="Arial" w:hAnsi="Arial" w:cs="Arial"/>
                <w:sz w:val="20"/>
                <w:szCs w:val="20"/>
              </w:rPr>
            </w:pPr>
            <w:r>
              <w:rPr>
                <w:rFonts w:ascii="Arial" w:hAnsi="Arial" w:cs="Arial"/>
                <w:sz w:val="20"/>
                <w:szCs w:val="20"/>
              </w:rPr>
              <w:t>Main co-operation partner</w:t>
            </w:r>
          </w:p>
          <w:p>
            <w:pPr>
              <w:spacing w:before="0" w:after="19"/>
              <w:ind w:left="0" w:right="0"/>
              <w:rPr>
                <w:rFonts w:ascii="Arial" w:hAnsi="Arial" w:cs="Arial"/>
                <w:sz w:val="20"/>
                <w:szCs w:val="20"/>
              </w:rPr>
            </w:pPr>
            <w:r>
              <w:rPr>
                <w:rFonts w:ascii="Arial" w:hAnsi="Arial" w:cs="Arial"/>
                <w:sz w:val="20"/>
                <w:szCs w:val="20"/>
              </w:rPr>
              <w:t>Haematology and oncology, radiation oncology, radiology, pathology</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Co-operation partner</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Pharmacy, palliative medicine, physiotherapy, psycho-oncology, self-help, social services, nuclear medicine, haematological diagnostics (in accordance with section 2.2), stem cell transplantation (in accordance with section 6.1.6 - no distance for cooperation partners), dermatology, neurology, spinal surgery (orthopaedics or neurosurgery), nephrology, surgery, microbiology, transfusion medicine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1.1.4</w:t>
            </w:r>
          </w:p>
        </w:tc>
        <w:tc>
          <w:tcPr>
            <w:tcW w:w="1" w:type="dxa"/>
          </w:tcPr>
          <w:p>
            <w:pPr>
              <w:spacing w:before="0" w:after="19"/>
              <w:ind w:left="0" w:right="0"/>
              <w:rPr>
                <w:rFonts w:ascii="Arial" w:hAnsi="Arial" w:cs="Arial"/>
                <w:sz w:val="20"/>
                <w:szCs w:val="20"/>
              </w:rPr>
            </w:pPr>
            <w:r>
              <w:rPr>
                <w:rFonts w:ascii="Arial" w:hAnsi="Arial" w:cs="Arial"/>
                <w:sz w:val="20"/>
                <w:szCs w:val="20"/>
              </w:rPr>
              <w:t xml:space="preserve">If stem cell </w:t>
            </w:r>
            <w:r>
              <w:rPr>
                <w:rFonts w:ascii="Arial" w:hAnsi="Arial" w:cs="Arial" w:eastAsia="Calibri"/>
                <w:sz w:val="20"/>
                <w:szCs w:val="20"/>
              </w:rPr>
              <w:t>transplantation</w:t>
            </w:r>
            <w:r>
              <w:rPr>
                <w:rFonts w:ascii="Arial" w:hAnsi="Arial" w:cs="Arial"/>
                <w:sz w:val="20"/>
                <w:szCs w:val="20"/>
              </w:rPr>
              <w:t xml:space="preserve"> are carried out at the centre (see section 6.1.6), there are also cooperation agreements for consultation services and, if necessary, diagnostics and therapy with the following areas:</w:t>
            </w:r>
          </w:p>
          <w:p>
            <w:pPr>
              <w:numPr>
                <w:ilvl w:val="0"/>
                <w:numId w:val="54"/>
              </w:numPr>
              <w:spacing w:before="0" w:after="19"/>
              <w:ind w:hanging="283" w:left="283" w:right="0"/>
              <w:rPr>
                <w:rFonts w:ascii="Arial" w:hAnsi="Arial" w:cs="Arial"/>
                <w:sz w:val="20"/>
                <w:szCs w:val="20"/>
              </w:rPr>
            </w:pPr>
            <w:r>
              <w:rPr>
                <w:rFonts w:ascii="Arial" w:hAnsi="Arial" w:cs="Arial"/>
                <w:sz w:val="20"/>
                <w:szCs w:val="20"/>
              </w:rPr>
              <w:t>Gastroenterology (including endoscopy),</w:t>
            </w:r>
          </w:p>
          <w:p>
            <w:pPr>
              <w:numPr>
                <w:ilvl w:val="0"/>
                <w:numId w:val="54"/>
              </w:numPr>
              <w:spacing w:before="0" w:after="19"/>
              <w:ind w:hanging="283" w:left="283" w:right="0"/>
              <w:rPr>
                <w:rFonts w:ascii="Arial" w:hAnsi="Arial" w:cs="Arial"/>
                <w:sz w:val="20"/>
                <w:szCs w:val="20"/>
              </w:rPr>
            </w:pPr>
            <w:r>
              <w:rPr>
                <w:rFonts w:ascii="Arial" w:hAnsi="Arial" w:cs="Arial"/>
                <w:sz w:val="20"/>
                <w:szCs w:val="20"/>
              </w:rPr>
              <w:t>Cardiology,</w:t>
            </w:r>
          </w:p>
          <w:p>
            <w:pPr>
              <w:numPr>
                <w:ilvl w:val="0"/>
                <w:numId w:val="54"/>
              </w:numPr>
              <w:spacing w:before="0" w:after="19"/>
              <w:ind w:hanging="283" w:left="283" w:right="0"/>
              <w:rPr>
                <w:rFonts w:ascii="Arial" w:hAnsi="Arial" w:cs="Arial"/>
                <w:sz w:val="20"/>
                <w:szCs w:val="20"/>
              </w:rPr>
            </w:pPr>
            <w:r>
              <w:rPr>
                <w:rFonts w:ascii="Arial" w:hAnsi="Arial" w:cs="Arial"/>
                <w:sz w:val="20"/>
                <w:szCs w:val="20"/>
              </w:rPr>
              <w:t>Oral and maxillofacial surgery</w:t>
            </w:r>
          </w:p>
          <w:p>
            <w:pPr>
              <w:numPr>
                <w:ilvl w:val="0"/>
                <w:numId w:val="54"/>
              </w:numPr>
              <w:spacing w:before="0" w:after="19"/>
              <w:ind w:hanging="283" w:left="283" w:right="0"/>
              <w:rPr>
                <w:rFonts w:ascii="Arial" w:hAnsi="Arial" w:cs="Arial"/>
                <w:sz w:val="20"/>
                <w:szCs w:val="20"/>
              </w:rPr>
            </w:pPr>
            <w:r>
              <w:rPr>
                <w:rFonts w:ascii="Arial" w:hAnsi="Arial" w:cs="Arial"/>
                <w:sz w:val="20"/>
                <w:szCs w:val="20"/>
              </w:rPr>
              <w:t>Neurosurgery,</w:t>
            </w:r>
          </w:p>
          <w:p>
            <w:pPr>
              <w:numPr>
                <w:ilvl w:val="0"/>
                <w:numId w:val="54"/>
              </w:numPr>
              <w:spacing w:before="0" w:after="19"/>
              <w:ind w:hanging="283" w:left="283" w:right="0"/>
              <w:rPr>
                <w:rFonts w:ascii="Arial" w:hAnsi="Arial" w:cs="Arial"/>
                <w:sz w:val="20"/>
                <w:szCs w:val="20"/>
              </w:rPr>
            </w:pPr>
            <w:r>
              <w:rPr>
                <w:rFonts w:ascii="Arial" w:hAnsi="Arial" w:cs="Arial"/>
                <w:sz w:val="20"/>
                <w:szCs w:val="20"/>
              </w:rPr>
              <w:t>Ophthalmology,</w:t>
            </w:r>
          </w:p>
          <w:p>
            <w:pPr>
              <w:numPr>
                <w:ilvl w:val="0"/>
                <w:numId w:val="54"/>
              </w:numPr>
              <w:spacing w:before="0" w:after="19"/>
              <w:ind w:hanging="283" w:left="283" w:right="0"/>
              <w:rPr>
                <w:rFonts w:ascii="Arial" w:hAnsi="Arial" w:cs="Arial"/>
                <w:sz w:val="20"/>
                <w:szCs w:val="20"/>
              </w:rPr>
            </w:pPr>
            <w:r>
              <w:rPr>
                <w:rFonts w:ascii="Arial" w:hAnsi="Arial" w:cs="Arial"/>
                <w:sz w:val="20"/>
                <w:szCs w:val="20"/>
              </w:rPr>
              <w:t>Ear, nose and throat medicine,</w:t>
            </w:r>
          </w:p>
          <w:p>
            <w:pPr>
              <w:numPr>
                <w:ilvl w:val="0"/>
                <w:numId w:val="54"/>
              </w:numPr>
              <w:spacing w:before="0" w:after="19"/>
              <w:ind w:hanging="283" w:left="283" w:right="0"/>
              <w:rPr>
                <w:rFonts w:ascii="Arial" w:hAnsi="Arial" w:cs="Arial"/>
                <w:sz w:val="20"/>
                <w:szCs w:val="20"/>
              </w:rPr>
            </w:pPr>
            <w:r>
              <w:rPr>
                <w:rFonts w:ascii="Arial" w:hAnsi="Arial" w:cs="Arial"/>
                <w:sz w:val="20"/>
                <w:szCs w:val="20"/>
              </w:rPr>
              <w:t>Pulmonology (including bronchoscopy),</w:t>
            </w:r>
          </w:p>
          <w:p>
            <w:pPr>
              <w:numPr>
                <w:ilvl w:val="0"/>
                <w:numId w:val="54"/>
              </w:numPr>
              <w:spacing w:before="0" w:after="19"/>
              <w:ind w:hanging="283" w:left="283" w:right="0"/>
              <w:rPr>
                <w:rFonts w:ascii="Arial" w:hAnsi="Arial" w:cs="Arial"/>
                <w:sz w:val="20"/>
                <w:szCs w:val="20"/>
              </w:rPr>
            </w:pPr>
            <w:r>
              <w:rPr>
                <w:rFonts w:ascii="Arial" w:hAnsi="Arial" w:cs="Arial"/>
                <w:sz w:val="20"/>
                <w:szCs w:val="20"/>
              </w:rPr>
              <w:t>Urology</w:t>
            </w:r>
          </w:p>
          <w:p>
            <w:pPr>
              <w:numPr>
                <w:ilvl w:val="0"/>
                <w:numId w:val="54"/>
              </w:numPr>
              <w:spacing w:before="0" w:after="19"/>
              <w:ind w:hanging="283" w:left="283" w:right="0"/>
              <w:rPr>
                <w:rFonts w:ascii="Arial" w:hAnsi="Arial" w:cs="Arial"/>
                <w:sz w:val="20"/>
                <w:szCs w:val="20"/>
              </w:rPr>
            </w:pPr>
            <w:r>
              <w:rPr>
                <w:rFonts w:ascii="Arial" w:hAnsi="Arial" w:cs="Arial"/>
                <w:sz w:val="20"/>
                <w:szCs w:val="20"/>
              </w:rPr>
              <w:t>Dentistry</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1.1.5</w:t>
            </w:r>
          </w:p>
        </w:tc>
        <w:tc>
          <w:tcPr>
            <w:tcW w:w="1" w:type="dxa"/>
          </w:tcPr>
          <w:p>
            <w:pPr>
              <w:spacing w:before="0" w:after="19"/>
              <w:ind w:left="0" w:right="0"/>
              <w:rPr>
                <w:rFonts w:ascii="Arial" w:hAnsi="Arial" w:cs="Arial"/>
                <w:sz w:val="20"/>
                <w:szCs w:val="20"/>
              </w:rPr>
            </w:pPr>
            <w:r>
              <w:rPr>
                <w:rFonts w:ascii="Arial" w:hAnsi="Arial" w:cs="Arial"/>
                <w:sz w:val="20"/>
                <w:szCs w:val="20"/>
              </w:rPr>
              <w:t>Cooperation with other certified organ cancer centres/ modules</w:t>
            </w:r>
          </w:p>
          <w:p>
            <w:pPr>
              <w:numPr>
                <w:ilvl w:val="0"/>
                <w:numId w:val="55"/>
              </w:numPr>
              <w:spacing w:before="0" w:after="19"/>
              <w:ind w:hanging="283" w:left="283" w:right="0"/>
              <w:rPr>
                <w:rFonts w:ascii="Arial" w:hAnsi="Arial" w:cs="Arial"/>
                <w:sz w:val="20"/>
                <w:szCs w:val="20"/>
              </w:rPr>
            </w:pPr>
            <w:r>
              <w:rPr>
                <w:rFonts w:ascii="Arial" w:hAnsi="Arial" w:cs="Arial"/>
                <w:sz w:val="20"/>
                <w:szCs w:val="20"/>
              </w:rPr>
              <w:t>For the treatment of lymphomas, cooperation agreements may exist with other certified organ cancer centres or modules (e.g. skin cancer centres or neuro-oncology centres).</w:t>
            </w:r>
          </w:p>
          <w:p>
            <w:pPr>
              <w:numPr>
                <w:ilvl w:val="0"/>
                <w:numId w:val="55"/>
              </w:numPr>
              <w:spacing w:before="0" w:after="19"/>
              <w:ind w:hanging="283" w:left="283" w:right="0"/>
              <w:rPr>
                <w:rFonts w:ascii="Arial" w:hAnsi="Arial" w:cs="Arial"/>
                <w:sz w:val="20"/>
                <w:szCs w:val="20"/>
              </w:rPr>
            </w:pPr>
            <w:r>
              <w:rPr>
                <w:rFonts w:ascii="Arial" w:hAnsi="Arial" w:cs="Arial"/>
                <w:sz w:val="20"/>
                <w:szCs w:val="20"/>
              </w:rPr>
              <w:t>A cooperation agreement or SOP must define which treatment stages are provided by which cooperation partner.</w:t>
            </w:r>
          </w:p>
          <w:p>
            <w:pPr>
              <w:numPr>
                <w:ilvl w:val="0"/>
                <w:numId w:val="55"/>
              </w:numPr>
              <w:spacing w:before="0" w:after="19"/>
              <w:ind w:hanging="283" w:left="283" w:right="0"/>
              <w:rPr>
                <w:rFonts w:ascii="Arial" w:hAnsi="Arial" w:cs="Arial"/>
                <w:sz w:val="20"/>
                <w:szCs w:val="20"/>
              </w:rPr>
            </w:pPr>
            <w:r>
              <w:rPr>
                <w:rFonts w:ascii="Arial" w:hAnsi="Arial" w:cs="Arial"/>
                <w:sz w:val="20"/>
                <w:szCs w:val="20"/>
              </w:rPr>
              <w:t>Counting of primary cases and patients with lymphoma is possible for both partners under these conditions.</w:t>
            </w:r>
          </w:p>
          <w:p>
            <w:pPr>
              <w:numPr>
                <w:ilvl w:val="0"/>
                <w:numId w:val="55"/>
              </w:numPr>
              <w:spacing w:before="0" w:after="19"/>
              <w:ind w:hanging="283" w:left="283"/>
              <w:rPr>
                <w:rFonts w:ascii="Arial" w:hAnsi="Arial" w:cs="Arial"/>
                <w:sz w:val="20"/>
                <w:szCs w:val="20"/>
                <w:lang w:val="ro-RO" w:bidi="ar-SA"/>
              </w:rPr>
            </w:pPr>
            <w:r>
              <w:rPr>
                <w:rFonts w:ascii="Arial" w:hAnsi="Arial" w:cs="Arial"/>
                <w:sz w:val="20"/>
                <w:szCs w:val="20"/>
              </w:rPr>
              <w:t>The cooperating centres must be named.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1.1.6</w:t>
            </w:r>
          </w:p>
        </w:tc>
        <w:tc>
          <w:tcPr>
            <w:tcW w:w="1" w:type="dxa"/>
          </w:tcPr>
          <w:p>
            <w:pPr>
              <w:spacing w:before="0" w:after="19"/>
              <w:ind w:left="0" w:right="0"/>
              <w:rPr>
                <w:rFonts w:ascii="Arial" w:hAnsi="Arial" w:cs="Arial"/>
                <w:sz w:val="20"/>
                <w:szCs w:val="20"/>
              </w:rPr>
            </w:pPr>
            <w:r>
              <w:rPr>
                <w:rFonts w:ascii="Arial" w:hAnsi="Arial" w:cs="Arial"/>
                <w:sz w:val="20"/>
                <w:szCs w:val="20"/>
                <w:shd w:val="clear" w:color="auto" w:fill="00FF00"/>
              </w:rPr>
              <w:t>Cooperation with Centres for Personalised Medicine</w:t>
            </w:r>
          </w:p>
          <w:p>
            <w:pPr>
              <w:spacing w:before="0" w:after="19"/>
              <w:rPr>
                <w:rFonts w:ascii="Arial" w:hAnsi="Arial" w:cs="Arial"/>
                <w:sz w:val="20"/>
                <w:szCs w:val="20"/>
                <w:lang w:val="ro-RO" w:bidi="ar-SA"/>
              </w:rPr>
            </w:pPr>
            <w:r>
              <w:rPr>
                <w:rFonts w:ascii="Arial" w:hAnsi="Arial" w:cs="Arial"/>
                <w:sz w:val="20"/>
                <w:szCs w:val="20"/>
                <w:shd w:val="clear" w:color="auto" w:fill="00FF00"/>
              </w:rPr>
              <w:t>A cooperation agreement with a certified Centre for Personalised Medicine (CPM) should be sought (see also 1.2.3.h). If the CPM and the HC are under the same sponsorship or at the same clinical location, written agreements are not necessary (implementation of the points mentioned under 1.1.2 must nevertheless be ensured).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1.1.7</w:t>
            </w:r>
          </w:p>
        </w:tc>
        <w:tc>
          <w:tcPr>
            <w:tcW w:w="1" w:type="dxa"/>
          </w:tcPr>
          <w:p>
            <w:pPr>
              <w:spacing w:before="0" w:after="19"/>
              <w:ind w:left="0" w:right="0"/>
              <w:rPr>
                <w:rFonts w:ascii="Arial" w:hAnsi="Arial" w:cs="Arial"/>
                <w:sz w:val="20"/>
                <w:szCs w:val="20"/>
              </w:rPr>
            </w:pPr>
            <w:r>
              <w:rPr>
                <w:rFonts w:ascii="Arial" w:hAnsi="Arial" w:cs="Arial"/>
                <w:sz w:val="20"/>
                <w:szCs w:val="20"/>
              </w:rPr>
              <w:t xml:space="preserve">Presentation of the Centre for </w:t>
            </w:r>
            <w:r>
              <w:rPr>
                <w:rFonts w:ascii="Arial" w:hAnsi="Arial" w:cs="Arial" w:eastAsia="Calibri"/>
                <w:sz w:val="20"/>
                <w:szCs w:val="20"/>
              </w:rPr>
              <w:t>Haematological Neoplasms</w:t>
            </w:r>
          </w:p>
          <w:p>
            <w:pPr>
              <w:spacing w:before="0" w:after="19"/>
              <w:ind w:left="0" w:right="0"/>
              <w:rPr>
                <w:rFonts w:ascii="Arial" w:hAnsi="Arial" w:cs="Arial"/>
                <w:sz w:val="20"/>
                <w:szCs w:val="20"/>
              </w:rPr>
            </w:pPr>
            <w:r>
              <w:rPr>
                <w:rFonts w:ascii="Arial" w:hAnsi="Arial" w:cs="Arial"/>
                <w:sz w:val="20"/>
                <w:szCs w:val="20"/>
              </w:rPr>
              <w:t>The structure of the centre must be presented as a whole and made public (e.g. Internet). This also includes the naming of all internal/ external co-operation partners with the following information:</w:t>
            </w:r>
          </w:p>
          <w:p>
            <w:pPr>
              <w:numPr>
                <w:ilvl w:val="0"/>
                <w:numId w:val="56"/>
              </w:numPr>
              <w:spacing w:before="0" w:after="19"/>
              <w:ind w:hanging="283" w:left="283" w:right="0"/>
              <w:rPr>
                <w:rFonts w:ascii="Arial" w:hAnsi="Arial" w:cs="Arial"/>
                <w:sz w:val="20"/>
                <w:szCs w:val="20"/>
              </w:rPr>
            </w:pPr>
            <w:r>
              <w:rPr>
                <w:rFonts w:ascii="Arial" w:hAnsi="Arial" w:cs="Arial"/>
                <w:sz w:val="20"/>
                <w:szCs w:val="20"/>
              </w:rPr>
              <w:t>Name, address of the co-operation partner</w:t>
            </w:r>
          </w:p>
          <w:p>
            <w:pPr>
              <w:numPr>
                <w:ilvl w:val="0"/>
                <w:numId w:val="56"/>
              </w:numPr>
              <w:spacing w:before="0" w:after="19"/>
              <w:ind w:hanging="283" w:left="283"/>
              <w:rPr>
                <w:rFonts w:ascii="Arial" w:hAnsi="Arial" w:cs="Arial"/>
                <w:sz w:val="20"/>
                <w:szCs w:val="20"/>
                <w:lang w:val="ro-RO" w:bidi="ar-SA"/>
              </w:rPr>
            </w:pPr>
            <w:r>
              <w:rPr>
                <w:rFonts w:ascii="Arial" w:hAnsi="Arial" w:cs="Arial"/>
                <w:sz w:val="20"/>
                <w:szCs w:val="20"/>
              </w:rPr>
              <w:t>Contact person with telephone number/ e-mail contact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1.1.8</w:t>
            </w:r>
          </w:p>
        </w:tc>
        <w:tc>
          <w:tcPr>
            <w:tcW w:w="1" w:type="dxa"/>
          </w:tcPr>
          <w:p>
            <w:pPr>
              <w:spacing w:before="0" w:after="19"/>
              <w:ind w:left="0" w:right="0"/>
              <w:rPr>
                <w:rFonts w:ascii="Arial" w:hAnsi="Arial" w:cs="Arial"/>
                <w:sz w:val="20"/>
                <w:szCs w:val="20"/>
              </w:rPr>
            </w:pPr>
            <w:r>
              <w:rPr>
                <w:rFonts w:ascii="Arial" w:hAnsi="Arial" w:cs="Arial"/>
                <w:sz w:val="20"/>
                <w:szCs w:val="20"/>
              </w:rPr>
              <w:t>Strategic planning/ reporting</w:t>
            </w:r>
          </w:p>
          <w:p>
            <w:pPr>
              <w:spacing w:before="0" w:after="19"/>
              <w:ind w:left="0" w:right="0"/>
              <w:rPr>
                <w:rFonts w:ascii="Arial" w:hAnsi="Arial" w:cs="Arial"/>
                <w:sz w:val="20"/>
                <w:szCs w:val="20"/>
              </w:rPr>
            </w:pPr>
            <w:r>
              <w:rPr>
                <w:rFonts w:ascii="Arial" w:hAnsi="Arial" w:cs="Arial"/>
                <w:sz w:val="20"/>
                <w:szCs w:val="20"/>
              </w:rPr>
              <w:t>It is recommended that an annual review be carried out at management level, in which the following aspects, for example, are considered:</w:t>
            </w:r>
          </w:p>
          <w:p>
            <w:pPr>
              <w:numPr>
                <w:ilvl w:val="0"/>
                <w:numId w:val="57"/>
              </w:numPr>
              <w:spacing w:before="0" w:after="19"/>
              <w:ind w:hanging="283" w:left="283" w:right="0"/>
              <w:rPr>
                <w:rFonts w:ascii="Arial" w:hAnsi="Arial" w:cs="Arial"/>
                <w:sz w:val="20"/>
                <w:szCs w:val="20"/>
              </w:rPr>
            </w:pPr>
            <w:r>
              <w:rPr>
                <w:rFonts w:ascii="Arial" w:hAnsi="Arial" w:cs="Arial"/>
                <w:sz w:val="20"/>
                <w:szCs w:val="20"/>
              </w:rPr>
              <w:t>Target definition/assessment, realignment of targets if necessary</w:t>
            </w:r>
          </w:p>
          <w:p>
            <w:pPr>
              <w:numPr>
                <w:ilvl w:val="0"/>
                <w:numId w:val="57"/>
              </w:numPr>
              <w:spacing w:before="0" w:after="19"/>
              <w:ind w:hanging="283" w:left="283" w:right="0"/>
              <w:rPr>
                <w:rFonts w:ascii="Arial" w:hAnsi="Arial" w:cs="Arial"/>
                <w:sz w:val="20"/>
                <w:szCs w:val="20"/>
              </w:rPr>
            </w:pPr>
            <w:r>
              <w:rPr>
                <w:rFonts w:ascii="Arial" w:hAnsi="Arial" w:cs="Arial"/>
                <w:sz w:val="20"/>
                <w:szCs w:val="20"/>
              </w:rPr>
              <w:t>Consideration of audit results (internal/ external)</w:t>
            </w:r>
          </w:p>
          <w:p>
            <w:pPr>
              <w:numPr>
                <w:ilvl w:val="0"/>
                <w:numId w:val="57"/>
              </w:numPr>
              <w:spacing w:before="0" w:after="19"/>
              <w:ind w:hanging="283" w:left="283" w:right="0"/>
              <w:rPr>
                <w:rFonts w:ascii="Arial" w:hAnsi="Arial" w:cs="Arial"/>
                <w:sz w:val="20"/>
                <w:szCs w:val="20"/>
              </w:rPr>
            </w:pPr>
            <w:r>
              <w:rPr>
                <w:rFonts w:ascii="Arial" w:hAnsi="Arial" w:cs="Arial"/>
                <w:sz w:val="20"/>
                <w:szCs w:val="20"/>
              </w:rPr>
              <w:t>Human resources for centre management (centre coordination)</w:t>
            </w:r>
          </w:p>
          <w:p>
            <w:pPr>
              <w:numPr>
                <w:ilvl w:val="0"/>
                <w:numId w:val="57"/>
              </w:numPr>
              <w:spacing w:before="0" w:after="19"/>
              <w:ind w:hanging="283" w:left="283" w:right="0"/>
              <w:rPr>
                <w:rFonts w:ascii="Arial" w:hAnsi="Arial" w:cs="Arial"/>
                <w:sz w:val="20"/>
                <w:szCs w:val="20"/>
              </w:rPr>
            </w:pPr>
            <w:r>
              <w:rPr>
                <w:rFonts w:ascii="Arial" w:hAnsi="Arial" w:cs="Arial"/>
                <w:sz w:val="20"/>
                <w:szCs w:val="20"/>
              </w:rPr>
              <w:t>Public relations/ patient information</w:t>
            </w:r>
          </w:p>
          <w:p>
            <w:pPr>
              <w:numPr>
                <w:ilvl w:val="0"/>
                <w:numId w:val="57"/>
              </w:numPr>
              <w:spacing w:before="0" w:after="19"/>
              <w:ind w:hanging="283" w:left="283"/>
              <w:rPr>
                <w:rFonts w:ascii="Arial" w:hAnsi="Arial" w:cs="Arial"/>
                <w:sz w:val="20"/>
                <w:szCs w:val="20"/>
                <w:lang w:val="ro-RO" w:bidi="ar-SA"/>
              </w:rPr>
            </w:pPr>
            <w:r>
              <w:rPr>
                <w:rFonts w:ascii="Arial" w:hAnsi="Arial" w:cs="Arial"/>
                <w:sz w:val="20"/>
                <w:szCs w:val="20"/>
              </w:rPr>
              <w:t>Tumour documentation/ quality of results</w:t>
            </w:r>
          </w:p>
        </w:tc>
        <w:tc>
          <w:tcPr>
            <w:tcW w:w="1" w:type="dxa"/>
          </w:tcPr>
          <w:p>
            <w:pPr>
              <w:spacing w:before="0" w:after="19"/>
              <w:rPr>
                <w:rFonts w:ascii="Arial" w:hAnsi="Arial" w:cs="Arial"/>
                <w:sz w:val="20"/>
                <w:szCs w:val="20"/>
                <w:lang w:val="ro-RO" w:bidi="ar-SA"/>
              </w:rPr>
            </w:pPr>
          </w:p>
        </w:tc>
      </w:tr>
    </w:tbl>
    <w:p>
      <w:pPr>
        <w:rPr>
          <w:rFonts w:ascii="Arial" w:hAnsi="Arial" w:cs="Arial"/>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1.2</w:t>
              <w:tab/>
              <w:t xml:space="preserve"> Interdisciplinary cooperation</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1.2.1</w:t>
            </w:r>
          </w:p>
        </w:tc>
        <w:tc>
          <w:tcPr>
            <w:tcW w:w="1" w:type="dxa"/>
          </w:tcPr>
          <w:p>
            <w:pPr>
              <w:spacing w:before="0" w:after="19"/>
              <w:ind w:left="0" w:right="0"/>
              <w:rPr>
                <w:rFonts w:ascii="Arial" w:hAnsi="Arial" w:cs="Arial"/>
                <w:sz w:val="20"/>
                <w:szCs w:val="20"/>
              </w:rPr>
            </w:pPr>
            <w:r>
              <w:rPr>
                <w:rFonts w:ascii="Arial" w:hAnsi="Arial" w:cs="Arial"/>
                <w:sz w:val="20"/>
                <w:szCs w:val="20"/>
              </w:rPr>
              <w:t>Number of patient cases</w:t>
            </w:r>
          </w:p>
          <w:p>
            <w:pPr>
              <w:spacing w:before="0" w:after="19"/>
              <w:ind w:left="0" w:right="0"/>
              <w:rPr>
                <w:rFonts w:ascii="Arial" w:hAnsi="Arial" w:cs="Arial"/>
                <w:sz w:val="20"/>
                <w:szCs w:val="20"/>
              </w:rPr>
            </w:pPr>
            <w:r>
              <w:rPr>
                <w:rFonts w:ascii="Arial" w:hAnsi="Arial" w:cs="Arial"/>
                <w:sz w:val="20"/>
                <w:szCs w:val="20"/>
              </w:rPr>
              <w:t>The centre must treat 75 patients per year with a diagnosis of h</w:t>
            </w:r>
            <w:r>
              <w:rPr>
                <w:rFonts w:ascii="Arial" w:hAnsi="Arial" w:cs="Arial" w:eastAsia="Calibri"/>
                <w:sz w:val="20"/>
                <w:szCs w:val="20"/>
              </w:rPr>
              <w:t>aematological neoplasms</w:t>
            </w:r>
            <w:r>
              <w:rPr>
                <w:rFonts w:ascii="Arial" w:hAnsi="Arial" w:cs="Arial"/>
                <w:sz w:val="20"/>
                <w:szCs w:val="20"/>
              </w:rPr>
              <w:t>.</w:t>
            </w:r>
          </w:p>
          <w:p>
            <w:pPr>
              <w:spacing w:before="0" w:after="19"/>
              <w:ind w:left="0" w:right="0"/>
              <w:rPr>
                <w:rFonts w:ascii="Arial" w:hAnsi="Arial" w:cs="Arial"/>
                <w:sz w:val="20"/>
                <w:szCs w:val="20"/>
              </w:rPr>
            </w:pPr>
            <w:r>
              <w:rPr>
                <w:rFonts w:ascii="Arial" w:hAnsi="Arial" w:cs="Arial"/>
                <w:sz w:val="20"/>
                <w:szCs w:val="20"/>
              </w:rPr>
              <w:t>See ICD-10 list in the Data Sheet.</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Definition Pat. case:</w:t>
            </w:r>
          </w:p>
          <w:p>
            <w:pPr>
              <w:numPr>
                <w:ilvl w:val="0"/>
                <w:numId w:val="58"/>
              </w:numPr>
              <w:spacing w:before="0" w:after="19"/>
              <w:ind w:hanging="283" w:left="283" w:right="0"/>
              <w:rPr>
                <w:rFonts w:ascii="Arial" w:hAnsi="Arial" w:cs="Arial"/>
                <w:sz w:val="20"/>
                <w:szCs w:val="20"/>
              </w:rPr>
            </w:pPr>
            <w:r>
              <w:rPr>
                <w:rFonts w:ascii="Arial" w:hAnsi="Arial" w:cs="Arial"/>
                <w:sz w:val="20"/>
                <w:szCs w:val="20"/>
              </w:rPr>
              <w:t>Patients and not stays</w:t>
            </w:r>
          </w:p>
          <w:p>
            <w:pPr>
              <w:numPr>
                <w:ilvl w:val="0"/>
                <w:numId w:val="58"/>
              </w:numPr>
              <w:spacing w:before="0" w:after="19"/>
              <w:ind w:hanging="283" w:left="283" w:right="0"/>
              <w:rPr>
                <w:rFonts w:ascii="Arial" w:hAnsi="Arial" w:cs="Arial"/>
                <w:sz w:val="20"/>
                <w:szCs w:val="20"/>
              </w:rPr>
            </w:pPr>
            <w:r>
              <w:rPr>
                <w:rFonts w:ascii="Arial" w:hAnsi="Arial" w:cs="Arial"/>
                <w:sz w:val="20"/>
                <w:szCs w:val="20"/>
              </w:rPr>
              <w:t>Patients after the age of 18</w:t>
            </w:r>
          </w:p>
          <w:p>
            <w:pPr>
              <w:numPr>
                <w:ilvl w:val="0"/>
                <w:numId w:val="58"/>
              </w:numPr>
              <w:spacing w:before="0" w:after="19"/>
              <w:ind w:hanging="283" w:left="283" w:right="0"/>
              <w:rPr>
                <w:rFonts w:ascii="Arial" w:hAnsi="Arial" w:cs="Arial"/>
                <w:sz w:val="20"/>
                <w:szCs w:val="20"/>
              </w:rPr>
            </w:pPr>
            <w:r>
              <w:rPr>
                <w:rFonts w:ascii="Arial" w:hAnsi="Arial" w:cs="Arial"/>
                <w:sz w:val="20"/>
                <w:szCs w:val="20"/>
              </w:rPr>
              <w:t>Histological or cytological findings must be available</w:t>
            </w:r>
          </w:p>
          <w:p>
            <w:pPr>
              <w:numPr>
                <w:ilvl w:val="0"/>
                <w:numId w:val="58"/>
              </w:numPr>
              <w:spacing w:before="0" w:after="19"/>
              <w:ind w:hanging="283" w:left="283" w:right="0"/>
              <w:rPr>
                <w:rFonts w:ascii="Arial" w:hAnsi="Arial" w:cs="Arial"/>
                <w:sz w:val="20"/>
                <w:szCs w:val="20"/>
              </w:rPr>
            </w:pPr>
            <w:r>
              <w:rPr>
                <w:rFonts w:ascii="Arial" w:hAnsi="Arial" w:cs="Arial"/>
                <w:sz w:val="20"/>
                <w:szCs w:val="20"/>
              </w:rPr>
              <w:t>Patients with initial diagnosis and all patients with recurrence or progression who are presented at the centre or the tumour board for the first time and receive essential parts of the therapy (systemic therapy, stem cell transplantation, active surveillance/watchful waiting) there</w:t>
            </w:r>
          </w:p>
          <w:p>
            <w:pPr>
              <w:numPr>
                <w:ilvl w:val="0"/>
                <w:numId w:val="58"/>
              </w:numPr>
              <w:spacing w:before="0" w:after="19"/>
              <w:ind w:hanging="283" w:left="283" w:right="0"/>
              <w:rPr>
                <w:rFonts w:ascii="Arial" w:hAnsi="Arial" w:cs="Arial"/>
                <w:sz w:val="20"/>
                <w:szCs w:val="20"/>
              </w:rPr>
            </w:pPr>
            <w:r>
              <w:rPr>
                <w:rFonts w:ascii="Arial" w:hAnsi="Arial" w:cs="Arial"/>
                <w:sz w:val="20"/>
                <w:szCs w:val="20"/>
              </w:rPr>
              <w:t>The counting time is the time of the first presentation at the centre</w:t>
            </w:r>
          </w:p>
          <w:p>
            <w:pPr>
              <w:numPr>
                <w:ilvl w:val="0"/>
                <w:numId w:val="58"/>
              </w:numPr>
              <w:spacing w:before="0" w:after="19"/>
              <w:ind w:hanging="283" w:left="283" w:right="0"/>
              <w:rPr>
                <w:rFonts w:ascii="Arial" w:hAnsi="Arial" w:cs="Arial"/>
                <w:sz w:val="20"/>
                <w:szCs w:val="20"/>
              </w:rPr>
            </w:pPr>
            <w:r>
              <w:rPr>
                <w:rFonts w:ascii="Arial" w:hAnsi="Arial" w:cs="Arial"/>
                <w:sz w:val="20"/>
                <w:szCs w:val="20"/>
              </w:rPr>
              <w:t xml:space="preserve">Patients may only be counted once for the centre regardless of the calendar year (even if another haematological neoplasia is diagnosed later) </w:t>
            </w:r>
            <w:r>
              <w:rPr>
                <w:rFonts w:ascii="Arial" w:hAnsi="Arial" w:cs="Arial"/>
                <w:i w:val="1"/>
                <w:sz w:val="20"/>
                <w:szCs w:val="20"/>
              </w:rPr>
              <w:t>Exception: double counting in cooperation with another certified organ cancer centre/module, see 1.1.5.</w:t>
            </w:r>
          </w:p>
          <w:p>
            <w:pPr>
              <w:numPr>
                <w:ilvl w:val="0"/>
                <w:numId w:val="58"/>
              </w:numPr>
              <w:spacing w:before="0" w:after="19"/>
              <w:ind w:hanging="283" w:left="283" w:right="0"/>
              <w:rPr>
                <w:rFonts w:ascii="Arial" w:hAnsi="Arial" w:cs="Arial"/>
                <w:sz w:val="20"/>
                <w:szCs w:val="20"/>
              </w:rPr>
            </w:pPr>
            <w:r>
              <w:rPr>
                <w:rFonts w:ascii="Arial" w:hAnsi="Arial" w:cs="Arial"/>
                <w:sz w:val="20"/>
                <w:szCs w:val="20"/>
              </w:rPr>
              <w:t>Patients who are only presented for a second opinion or only for consultation are not taken into account</w:t>
            </w:r>
          </w:p>
          <w:p>
            <w:pPr>
              <w:numPr>
                <w:ilvl w:val="0"/>
                <w:numId w:val="58"/>
              </w:numPr>
              <w:spacing w:before="0" w:after="19"/>
              <w:ind w:hanging="283" w:left="283" w:right="0"/>
              <w:rPr>
                <w:rFonts w:ascii="Arial" w:hAnsi="Arial" w:cs="Arial"/>
                <w:sz w:val="20"/>
                <w:szCs w:val="20"/>
              </w:rPr>
            </w:pPr>
            <w:r>
              <w:rPr>
                <w:rFonts w:ascii="Arial" w:hAnsi="Arial" w:cs="Arial"/>
                <w:sz w:val="20"/>
                <w:szCs w:val="20"/>
              </w:rPr>
              <w:t>Complete recording in the tumour documentation system</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Definition of primary case (subset of patient cases):</w:t>
            </w:r>
          </w:p>
          <w:p>
            <w:pPr>
              <w:numPr>
                <w:ilvl w:val="0"/>
                <w:numId w:val="59"/>
              </w:numPr>
              <w:spacing w:before="0" w:after="19"/>
              <w:ind w:hanging="283" w:left="283" w:right="0"/>
              <w:rPr>
                <w:rFonts w:ascii="Arial" w:hAnsi="Arial" w:cs="Arial"/>
                <w:sz w:val="20"/>
                <w:szCs w:val="20"/>
              </w:rPr>
            </w:pPr>
            <w:r>
              <w:rPr>
                <w:rFonts w:ascii="Arial" w:hAnsi="Arial" w:cs="Arial"/>
                <w:sz w:val="20"/>
                <w:szCs w:val="20"/>
              </w:rPr>
              <w:t>Patients with primary disease</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1.2.2.a</w:t>
            </w:r>
          </w:p>
        </w:tc>
        <w:tc>
          <w:tcPr>
            <w:tcW w:w="1" w:type="dxa"/>
          </w:tcPr>
          <w:p>
            <w:pPr>
              <w:spacing w:before="0" w:after="19"/>
              <w:ind w:left="0" w:right="0"/>
              <w:rPr>
                <w:rFonts w:ascii="Arial" w:hAnsi="Arial" w:cs="Arial"/>
                <w:sz w:val="20"/>
                <w:szCs w:val="20"/>
              </w:rPr>
            </w:pPr>
            <w:r>
              <w:rPr>
                <w:rFonts w:ascii="Arial" w:hAnsi="Arial" w:cs="Arial"/>
                <w:sz w:val="20"/>
                <w:szCs w:val="20"/>
              </w:rPr>
              <w:t>Haematology and oncology case discussion</w:t>
            </w:r>
          </w:p>
          <w:p>
            <w:pPr>
              <w:spacing w:before="0" w:after="19"/>
              <w:ind w:left="0" w:right="0"/>
              <w:rPr>
                <w:rFonts w:ascii="Arial" w:hAnsi="Arial" w:cs="Arial"/>
                <w:sz w:val="20"/>
                <w:szCs w:val="20"/>
              </w:rPr>
            </w:pPr>
            <w:r>
              <w:rPr>
                <w:rFonts w:ascii="Arial" w:hAnsi="Arial" w:cs="Arial"/>
                <w:sz w:val="20"/>
                <w:szCs w:val="20"/>
              </w:rPr>
              <w:t> </w:t>
            </w:r>
          </w:p>
          <w:p>
            <w:pPr>
              <w:numPr>
                <w:ilvl w:val="0"/>
                <w:numId w:val="60"/>
              </w:numPr>
              <w:spacing w:before="0" w:after="19"/>
              <w:ind w:hanging="283" w:left="283" w:right="0"/>
              <w:rPr>
                <w:rFonts w:ascii="Arial" w:hAnsi="Arial" w:cs="Arial"/>
                <w:sz w:val="20"/>
                <w:szCs w:val="20"/>
              </w:rPr>
            </w:pPr>
            <w:r>
              <w:rPr>
                <w:rFonts w:ascii="Arial" w:hAnsi="Arial" w:cs="Arial"/>
                <w:sz w:val="20"/>
                <w:szCs w:val="20"/>
              </w:rPr>
              <w:t>Department-internal, pre-therapeutic (or, in the case of emergency indications, earliest possible) discussion of all patients at the centre, if they are not already presented at the interdisciplinary tumour board (see section 1.2.3).</w:t>
            </w:r>
          </w:p>
          <w:p>
            <w:pPr>
              <w:numPr>
                <w:ilvl w:val="0"/>
                <w:numId w:val="60"/>
              </w:numPr>
              <w:spacing w:before="0" w:after="19"/>
              <w:ind w:hanging="283" w:left="283" w:right="0"/>
              <w:rPr>
                <w:rFonts w:ascii="Arial" w:hAnsi="Arial" w:cs="Arial"/>
                <w:sz w:val="20"/>
                <w:szCs w:val="20"/>
              </w:rPr>
            </w:pPr>
            <w:r>
              <w:rPr>
                <w:rFonts w:ascii="Arial" w:hAnsi="Arial" w:cs="Arial"/>
                <w:sz w:val="20"/>
                <w:szCs w:val="20"/>
              </w:rPr>
              <w:t>Participants: at least 2 haematology and oncology specialists.</w:t>
            </w:r>
          </w:p>
          <w:p>
            <w:pPr>
              <w:numPr>
                <w:ilvl w:val="0"/>
                <w:numId w:val="60"/>
              </w:numPr>
              <w:spacing w:before="0" w:after="19"/>
              <w:ind w:hanging="283" w:left="283" w:right="0"/>
              <w:rPr>
                <w:rFonts w:ascii="Arial" w:hAnsi="Arial" w:cs="Arial"/>
                <w:sz w:val="20"/>
                <w:szCs w:val="20"/>
              </w:rPr>
            </w:pPr>
            <w:r>
              <w:rPr>
                <w:rFonts w:ascii="Arial" w:hAnsi="Arial" w:cs="Arial"/>
                <w:sz w:val="20"/>
                <w:szCs w:val="20"/>
              </w:rPr>
              <w:t>Content of the case discussion: e.g. diagnosis (taking into account haematological diagnostics), therapy planning, change of therapy, examination of the indication for stem cell transplantation, suitability for inclusion in clinical trials.</w:t>
            </w:r>
          </w:p>
          <w:p>
            <w:pPr>
              <w:numPr>
                <w:ilvl w:val="0"/>
                <w:numId w:val="60"/>
              </w:numPr>
              <w:spacing w:before="0" w:after="19"/>
              <w:ind w:hanging="283" w:left="283" w:right="0"/>
              <w:rPr>
                <w:rFonts w:ascii="Arial" w:hAnsi="Arial" w:cs="Arial"/>
                <w:sz w:val="20"/>
                <w:szCs w:val="20"/>
              </w:rPr>
            </w:pPr>
            <w:r>
              <w:rPr>
                <w:rFonts w:ascii="Arial" w:hAnsi="Arial" w:cs="Arial"/>
                <w:sz w:val="20"/>
                <w:szCs w:val="20"/>
              </w:rPr>
              <w:t>If necessary, other disciplines should be consulted for the case discussion (e.g. haematological diagnostics (see section 2.2), pathology/ reference pathology, stem cell transplantation, radiation oncology, nuclear medicine, etc.).</w:t>
            </w:r>
          </w:p>
          <w:p>
            <w:pPr>
              <w:numPr>
                <w:ilvl w:val="0"/>
                <w:numId w:val="60"/>
              </w:numPr>
              <w:spacing w:before="0" w:after="19"/>
              <w:ind w:hanging="283" w:left="283"/>
              <w:rPr>
                <w:rFonts w:ascii="Arial" w:hAnsi="Arial" w:cs="Arial"/>
                <w:sz w:val="20"/>
                <w:szCs w:val="20"/>
                <w:lang w:val="ro-RO" w:bidi="ar-SA"/>
              </w:rPr>
            </w:pPr>
            <w:r>
              <w:rPr>
                <w:rFonts w:ascii="Arial" w:hAnsi="Arial" w:cs="Arial"/>
                <w:sz w:val="20"/>
                <w:szCs w:val="20"/>
              </w:rPr>
              <w:t>Patient-related documentation of the outcome of the case discussion.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1.2.2.b</w:t>
            </w:r>
          </w:p>
        </w:tc>
        <w:tc>
          <w:tcPr>
            <w:tcW w:w="1" w:type="dxa"/>
          </w:tcPr>
          <w:p>
            <w:pPr>
              <w:spacing w:before="0" w:after="19"/>
              <w:ind w:left="0" w:right="0"/>
              <w:rPr>
                <w:rFonts w:ascii="Arial" w:hAnsi="Arial" w:cs="Arial"/>
                <w:sz w:val="20"/>
                <w:szCs w:val="20"/>
              </w:rPr>
            </w:pPr>
            <w:r>
              <w:rPr>
                <w:rFonts w:ascii="Arial" w:hAnsi="Arial" w:cs="Arial"/>
                <w:sz w:val="20"/>
                <w:szCs w:val="20"/>
              </w:rPr>
              <w:t>Transplant Meeting</w:t>
            </w:r>
          </w:p>
          <w:p>
            <w:pPr>
              <w:spacing w:before="0" w:after="19"/>
              <w:ind w:left="0" w:right="0"/>
              <w:rPr>
                <w:rFonts w:ascii="Arial" w:hAnsi="Arial" w:cs="Arial"/>
                <w:sz w:val="20"/>
                <w:szCs w:val="20"/>
              </w:rPr>
            </w:pPr>
            <w:r>
              <w:rPr>
                <w:rFonts w:ascii="Arial" w:hAnsi="Arial" w:cs="Arial"/>
                <w:sz w:val="20"/>
                <w:szCs w:val="20"/>
              </w:rPr>
              <w:t> </w:t>
            </w:r>
          </w:p>
          <w:p>
            <w:pPr>
              <w:numPr>
                <w:ilvl w:val="0"/>
                <w:numId w:val="61"/>
              </w:numPr>
              <w:spacing w:before="0" w:after="19"/>
              <w:ind w:hanging="283" w:left="283" w:right="0"/>
              <w:rPr>
                <w:rFonts w:ascii="Arial" w:hAnsi="Arial" w:cs="Arial"/>
                <w:sz w:val="20"/>
                <w:szCs w:val="20"/>
              </w:rPr>
            </w:pPr>
            <w:r>
              <w:rPr>
                <w:rFonts w:ascii="Arial" w:hAnsi="Arial" w:cs="Arial"/>
                <w:sz w:val="20"/>
                <w:szCs w:val="20"/>
              </w:rPr>
              <w:t xml:space="preserve">If allogeneic stem cell transplantation is performed at the patient's own site, no separately recognised transplantation conference is required, see Data Sheet figures </w:t>
            </w:r>
            <w:r>
              <w:rPr>
                <w:rFonts w:ascii="Arial" w:hAnsi="Arial" w:cs="Arial"/>
                <w:strike w:val="1"/>
                <w:sz w:val="20"/>
                <w:szCs w:val="20"/>
                <w:shd w:val="clear" w:color="auto" w:fill="00FE00"/>
              </w:rPr>
              <w:t>5 and</w:t>
            </w:r>
            <w:r>
              <w:rPr>
                <w:rFonts w:ascii="Arial" w:hAnsi="Arial" w:cs="Arial"/>
                <w:sz w:val="20"/>
                <w:szCs w:val="20"/>
              </w:rPr>
              <w:t xml:space="preserve"> 6:</w:t>
            </w:r>
          </w:p>
          <w:p>
            <w:pPr>
              <w:numPr>
                <w:ilvl w:val="0"/>
                <w:numId w:val="61"/>
              </w:numPr>
              <w:spacing w:before="0" w:after="19"/>
              <w:ind w:hanging="283" w:left="283" w:right="0"/>
              <w:rPr>
                <w:rFonts w:ascii="Arial" w:hAnsi="Arial" w:cs="Arial"/>
                <w:sz w:val="20"/>
                <w:szCs w:val="20"/>
              </w:rPr>
            </w:pPr>
            <w:r>
              <w:rPr>
                <w:rFonts w:ascii="Arial" w:hAnsi="Arial" w:cs="Arial"/>
                <w:sz w:val="20"/>
                <w:szCs w:val="20"/>
              </w:rPr>
              <w:t xml:space="preserve">Participants: at least </w:t>
            </w:r>
            <w:r>
              <w:rPr>
                <w:rFonts w:ascii="Arial" w:hAnsi="Arial" w:cs="Arial"/>
                <w:strike w:val="1"/>
                <w:sz w:val="20"/>
                <w:szCs w:val="20"/>
                <w:shd w:val="clear" w:color="auto" w:fill="00FE00"/>
              </w:rPr>
              <w:t xml:space="preserve">2 </w:t>
            </w:r>
            <w:r>
              <w:rPr>
                <w:rFonts w:ascii="Arial" w:hAnsi="Arial" w:cs="Arial"/>
                <w:sz w:val="20"/>
                <w:szCs w:val="20"/>
                <w:shd w:val="clear" w:color="auto" w:fill="00FF00"/>
              </w:rPr>
              <w:t>1</w:t>
            </w:r>
            <w:r>
              <w:rPr>
                <w:rFonts w:ascii="Arial" w:hAnsi="Arial" w:cs="Arial"/>
                <w:sz w:val="20"/>
                <w:szCs w:val="20"/>
              </w:rPr>
              <w:t xml:space="preserve"> haematology and oncology specialists from the site, plus at least 1 haematology and oncology specialist from the transplanting institution</w:t>
            </w:r>
          </w:p>
          <w:p>
            <w:pPr>
              <w:numPr>
                <w:ilvl w:val="0"/>
                <w:numId w:val="61"/>
              </w:numPr>
              <w:spacing w:before="0" w:after="19"/>
              <w:ind w:hanging="283" w:left="283"/>
              <w:rPr>
                <w:rFonts w:ascii="Arial" w:hAnsi="Arial" w:cs="Arial"/>
                <w:sz w:val="20"/>
                <w:szCs w:val="20"/>
                <w:lang w:val="ro-RO" w:bidi="ar-SA"/>
              </w:rPr>
            </w:pPr>
            <w:r>
              <w:rPr>
                <w:rFonts w:ascii="Arial" w:hAnsi="Arial" w:cs="Arial"/>
                <w:sz w:val="20"/>
                <w:szCs w:val="20"/>
              </w:rPr>
              <w:t>Content of the tanslational meetings: prompt (3 weeks after initial/ relapse diagnosis) discussion of the indication for allogeneic stem cell transplantation in patients with acute leukaemia &lt; 70 years of age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1.2.3.a</w:t>
            </w:r>
          </w:p>
        </w:tc>
        <w:tc>
          <w:tcPr>
            <w:tcW w:w="1" w:type="dxa"/>
          </w:tcPr>
          <w:p>
            <w:pPr>
              <w:spacing w:before="0" w:after="19"/>
              <w:ind w:left="0" w:right="0"/>
              <w:rPr>
                <w:rFonts w:ascii="Arial" w:hAnsi="Arial" w:cs="Arial"/>
                <w:sz w:val="20"/>
                <w:szCs w:val="20"/>
              </w:rPr>
            </w:pPr>
            <w:r>
              <w:rPr>
                <w:rFonts w:ascii="Arial" w:hAnsi="Arial" w:cs="Arial"/>
                <w:sz w:val="20"/>
                <w:szCs w:val="20"/>
              </w:rPr>
              <w:t>Interdisciplinary tumour board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Cycle</w:t>
            </w:r>
          </w:p>
          <w:p>
            <w:pPr>
              <w:spacing w:before="0" w:after="19"/>
              <w:ind w:left="0" w:right="0"/>
              <w:rPr>
                <w:rFonts w:ascii="Arial" w:hAnsi="Arial" w:cs="Arial"/>
                <w:sz w:val="20"/>
                <w:szCs w:val="20"/>
              </w:rPr>
            </w:pPr>
            <w:r>
              <w:rPr>
                <w:rFonts w:ascii="Arial" w:hAnsi="Arial" w:cs="Arial"/>
                <w:sz w:val="20"/>
                <w:szCs w:val="20"/>
              </w:rPr>
              <w:t>A tumour board must be held at least once a week.</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Participants (at specialist level):</w:t>
            </w:r>
          </w:p>
          <w:p>
            <w:pPr>
              <w:spacing w:before="0" w:after="19"/>
              <w:ind w:left="0" w:right="0"/>
              <w:rPr>
                <w:rFonts w:ascii="Arial" w:hAnsi="Arial" w:cs="Arial"/>
                <w:sz w:val="20"/>
                <w:szCs w:val="20"/>
              </w:rPr>
            </w:pPr>
            <w:r>
              <w:rPr>
                <w:rFonts w:ascii="Arial" w:hAnsi="Arial" w:cs="Arial"/>
                <w:sz w:val="20"/>
                <w:szCs w:val="20"/>
              </w:rPr>
              <w:t>Haematology and oncology, radiology, radio-oncology, pathology</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Participation depending on the issue: e.g. surgical disciplines, nuclear medicine, nephrology, palliative medicine, oncological care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Patient presentation:</w:t>
            </w:r>
          </w:p>
          <w:p>
            <w:pPr>
              <w:numPr>
                <w:ilvl w:val="0"/>
                <w:numId w:val="62"/>
              </w:numPr>
              <w:spacing w:before="0" w:after="19"/>
              <w:ind w:hanging="283" w:left="283" w:right="0"/>
              <w:rPr>
                <w:rFonts w:ascii="Arial" w:hAnsi="Arial" w:cs="Arial"/>
                <w:sz w:val="20"/>
                <w:szCs w:val="20"/>
              </w:rPr>
            </w:pPr>
            <w:r>
              <w:rPr>
                <w:rFonts w:ascii="Arial" w:hAnsi="Arial" w:cs="Arial"/>
                <w:sz w:val="20"/>
                <w:szCs w:val="20"/>
              </w:rPr>
              <w:t xml:space="preserve">All patients with Hodgkin's lymphoma, non-Hodgkin's lymphoma, Burkitt's ALL, Burkitt's lymphoma or </w:t>
            </w:r>
            <w:r>
              <w:rPr>
                <w:rFonts w:ascii="Arial" w:hAnsi="Arial" w:cs="Arial" w:eastAsia="Calibri"/>
                <w:sz w:val="20"/>
                <w:szCs w:val="20"/>
              </w:rPr>
              <w:t>plasma cell neoplasms</w:t>
            </w:r>
            <w:r>
              <w:rPr>
                <w:rFonts w:ascii="Arial" w:hAnsi="Arial" w:cs="Arial"/>
                <w:sz w:val="20"/>
                <w:szCs w:val="20"/>
              </w:rPr>
              <w:t xml:space="preserve"> must be presented pre-therapeutically (exception: emergency therapy initiation).</w:t>
            </w:r>
          </w:p>
          <w:p>
            <w:pPr>
              <w:numPr>
                <w:ilvl w:val="0"/>
                <w:numId w:val="62"/>
              </w:numPr>
              <w:spacing w:before="0" w:after="19"/>
              <w:ind w:hanging="283" w:left="283" w:right="0"/>
              <w:rPr>
                <w:rFonts w:ascii="Arial" w:hAnsi="Arial" w:cs="Arial"/>
                <w:sz w:val="20"/>
                <w:szCs w:val="20"/>
              </w:rPr>
            </w:pPr>
            <w:r>
              <w:rPr>
                <w:rFonts w:ascii="Arial" w:hAnsi="Arial" w:cs="Arial"/>
                <w:sz w:val="20"/>
                <w:szCs w:val="20"/>
              </w:rPr>
              <w:t xml:space="preserve">Recurrent/ refractory patients with Hodgkin's lymphoma, non-Hodgkin's lymphoma, Burkitt's ALL, Burkitt's lymphoma or </w:t>
            </w:r>
            <w:r>
              <w:rPr>
                <w:rFonts w:ascii="Arial" w:hAnsi="Arial" w:cs="Arial" w:eastAsia="Calibri"/>
                <w:sz w:val="20"/>
                <w:szCs w:val="20"/>
              </w:rPr>
              <w:t>plasma cell neoplasms</w:t>
            </w:r>
            <w:r>
              <w:rPr>
                <w:rFonts w:ascii="Arial" w:hAnsi="Arial" w:cs="Arial"/>
                <w:sz w:val="20"/>
                <w:szCs w:val="20"/>
              </w:rPr>
              <w:t xml:space="preserve"> as well as other complex cases with h</w:t>
            </w:r>
            <w:r>
              <w:rPr>
                <w:rFonts w:ascii="Arial" w:hAnsi="Arial" w:cs="Arial" w:eastAsia="Calibri"/>
                <w:sz w:val="20"/>
                <w:szCs w:val="20"/>
              </w:rPr>
              <w:t>aematological neoplasms</w:t>
            </w:r>
            <w:r>
              <w:rPr>
                <w:rFonts w:ascii="Arial" w:hAnsi="Arial" w:cs="Arial"/>
                <w:sz w:val="20"/>
                <w:szCs w:val="20"/>
              </w:rPr>
              <w:t xml:space="preserve"> should be presented as required.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 xml:space="preserve">Extent of primary cases discussed with Hodgkin's lymphoma, non-Hodgkin's lymphoma, Burkitt's ALL, Burkitt's lymphoma or </w:t>
            </w:r>
            <w:r>
              <w:rPr>
                <w:rFonts w:ascii="Arial" w:hAnsi="Arial" w:cs="Arial" w:eastAsia="Calibri"/>
                <w:sz w:val="20"/>
                <w:szCs w:val="20"/>
              </w:rPr>
              <w:t xml:space="preserve">plasma cell neoplasms </w:t>
            </w:r>
            <w:r>
              <w:rPr>
                <w:rFonts w:ascii="Arial" w:hAnsi="Arial" w:cs="Arial"/>
                <w:sz w:val="20"/>
                <w:szCs w:val="20"/>
              </w:rPr>
              <w:t>: ≥95%</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1.2.3.b</w:t>
            </w:r>
          </w:p>
        </w:tc>
        <w:tc>
          <w:tcPr>
            <w:tcW w:w="1" w:type="dxa"/>
          </w:tcPr>
          <w:p>
            <w:pPr>
              <w:spacing w:before="0" w:after="19"/>
              <w:ind w:left="0" w:right="0"/>
              <w:rPr>
                <w:rFonts w:ascii="Arial" w:hAnsi="Arial" w:cs="Arial"/>
                <w:sz w:val="20"/>
                <w:szCs w:val="20"/>
              </w:rPr>
            </w:pPr>
            <w:r>
              <w:rPr>
                <w:rFonts w:ascii="Arial" w:hAnsi="Arial" w:cs="Arial"/>
                <w:sz w:val="20"/>
                <w:szCs w:val="20"/>
              </w:rPr>
              <w:t>General requirements for tumour boards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Several co-operation partners</w:t>
            </w:r>
          </w:p>
          <w:p>
            <w:pPr>
              <w:spacing w:before="0" w:after="19"/>
              <w:ind w:left="0" w:right="0"/>
              <w:rPr>
                <w:rFonts w:ascii="Arial" w:hAnsi="Arial" w:cs="Arial"/>
                <w:sz w:val="20"/>
                <w:szCs w:val="20"/>
              </w:rPr>
            </w:pPr>
            <w:r>
              <w:rPr>
                <w:rFonts w:ascii="Arial" w:hAnsi="Arial" w:cs="Arial"/>
                <w:sz w:val="20"/>
                <w:szCs w:val="20"/>
              </w:rPr>
              <w:t>If several cooperation partners are named for a specialisation, the presence of a representative is sufficient if a regulated exchange of information has been established between them (e.g. via quality circles).</w:t>
            </w:r>
          </w:p>
          <w:p>
            <w:pPr>
              <w:spacing w:before="0" w:after="19"/>
              <w:rPr>
                <w:rFonts w:ascii="Arial" w:hAnsi="Arial" w:cs="Arial"/>
                <w:sz w:val="20"/>
                <w:szCs w:val="20"/>
                <w:lang w:val="ro-RO" w:bidi="ar-SA"/>
              </w:rPr>
            </w:pPr>
            <w:r>
              <w:rPr>
                <w:rFonts w:ascii="Arial" w:hAnsi="Arial" w:cs="Arial"/>
                <w:sz w:val="20"/>
                <w:szCs w:val="20"/>
              </w:rPr>
              <w:t>Each cooperation partner must participate in at least 30% of the tumour boards.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1.2.3.c</w:t>
            </w:r>
          </w:p>
        </w:tc>
        <w:tc>
          <w:tcPr>
            <w:tcW w:w="1" w:type="dxa"/>
          </w:tcPr>
          <w:p>
            <w:pPr>
              <w:spacing w:before="0" w:after="19"/>
              <w:ind w:left="0" w:right="0"/>
              <w:rPr>
                <w:rFonts w:ascii="Arial" w:hAnsi="Arial" w:cs="Arial"/>
                <w:sz w:val="20"/>
                <w:szCs w:val="20"/>
              </w:rPr>
            </w:pPr>
            <w:r>
              <w:rPr>
                <w:rFonts w:ascii="Arial" w:hAnsi="Arial" w:cs="Arial"/>
                <w:sz w:val="20"/>
                <w:szCs w:val="20"/>
              </w:rPr>
              <w:t>Web/ online tumour board</w:t>
            </w:r>
          </w:p>
          <w:p>
            <w:pPr>
              <w:spacing w:before="0" w:after="19"/>
              <w:rPr>
                <w:rFonts w:ascii="Arial" w:hAnsi="Arial" w:cs="Arial"/>
                <w:sz w:val="20"/>
                <w:szCs w:val="20"/>
                <w:lang w:val="ro-RO" w:bidi="ar-SA"/>
              </w:rPr>
            </w:pPr>
            <w:r>
              <w:rPr>
                <w:rFonts w:ascii="Arial" w:hAnsi="Arial" w:cs="Arial"/>
                <w:sz w:val="20"/>
                <w:szCs w:val="20"/>
              </w:rPr>
              <w:t>If web tumour board are used, it must be possible to transmit the sound and documents presented. It must be possible for each main cooperation partner to present its own documents/ imaging material. Telephone tumour board with no imaging material are not an option.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1.2.3.d</w:t>
            </w:r>
          </w:p>
        </w:tc>
        <w:tc>
          <w:tcPr>
            <w:tcW w:w="1" w:type="dxa"/>
          </w:tcPr>
          <w:p>
            <w:pPr>
              <w:spacing w:before="0" w:after="19"/>
              <w:ind w:left="0" w:right="0"/>
              <w:rPr>
                <w:rFonts w:ascii="Arial" w:hAnsi="Arial" w:cs="Arial"/>
                <w:sz w:val="20"/>
                <w:szCs w:val="20"/>
              </w:rPr>
            </w:pPr>
            <w:r>
              <w:rPr>
                <w:rFonts w:ascii="Arial" w:hAnsi="Arial" w:cs="Arial"/>
                <w:sz w:val="20"/>
                <w:szCs w:val="20"/>
              </w:rPr>
              <w:t>Tumour board process description</w:t>
            </w:r>
          </w:p>
          <w:p>
            <w:pPr>
              <w:spacing w:before="0" w:after="19"/>
              <w:rPr>
                <w:rFonts w:ascii="Arial" w:hAnsi="Arial" w:cs="Arial"/>
                <w:sz w:val="20"/>
                <w:szCs w:val="20"/>
                <w:lang w:val="ro-RO" w:bidi="ar-SA"/>
              </w:rPr>
            </w:pPr>
            <w:r>
              <w:rPr>
                <w:rFonts w:ascii="Arial" w:hAnsi="Arial" w:cs="Arial"/>
                <w:sz w:val="20"/>
                <w:szCs w:val="20"/>
              </w:rPr>
              <w:t>The process of registration, preparation, implementation and recording of the tumour board must be described in a procedural instruction.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1.2.3.e</w:t>
            </w:r>
          </w:p>
        </w:tc>
        <w:tc>
          <w:tcPr>
            <w:tcW w:w="1" w:type="dxa"/>
          </w:tcPr>
          <w:p>
            <w:pPr>
              <w:spacing w:before="0" w:after="19"/>
              <w:ind w:left="0" w:right="0"/>
              <w:rPr>
                <w:rFonts w:ascii="Arial" w:hAnsi="Arial" w:cs="Arial"/>
                <w:sz w:val="20"/>
                <w:szCs w:val="20"/>
              </w:rPr>
            </w:pPr>
            <w:r>
              <w:rPr>
                <w:rFonts w:ascii="Arial" w:hAnsi="Arial" w:cs="Arial"/>
                <w:sz w:val="20"/>
                <w:szCs w:val="20"/>
              </w:rPr>
              <w:t>Demonstration imaging material</w:t>
            </w:r>
          </w:p>
          <w:p>
            <w:pPr>
              <w:spacing w:before="0" w:after="19"/>
              <w:rPr>
                <w:rFonts w:ascii="Arial" w:hAnsi="Arial" w:cs="Arial"/>
                <w:sz w:val="20"/>
                <w:szCs w:val="20"/>
                <w:lang w:val="ro-RO" w:bidi="ar-SA"/>
              </w:rPr>
            </w:pPr>
            <w:r>
              <w:rPr>
                <w:rFonts w:ascii="Arial" w:hAnsi="Arial" w:cs="Arial"/>
                <w:sz w:val="20"/>
                <w:szCs w:val="20"/>
              </w:rPr>
              <w:t>Patient-related image material (e.g. pathology, radiology) must be available at the tumour board and suitable technical equipment must be available for displaying the image material. Computerised presentation is sufficient.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1.2.3.f</w:t>
            </w:r>
          </w:p>
        </w:tc>
        <w:tc>
          <w:tcPr>
            <w:tcW w:w="1" w:type="dxa"/>
          </w:tcPr>
          <w:p>
            <w:pPr>
              <w:spacing w:before="0" w:after="19"/>
              <w:ind w:left="0" w:right="0"/>
              <w:rPr>
                <w:rFonts w:ascii="Arial" w:hAnsi="Arial" w:cs="Arial"/>
                <w:sz w:val="20"/>
                <w:szCs w:val="20"/>
              </w:rPr>
            </w:pPr>
            <w:r>
              <w:rPr>
                <w:rFonts w:ascii="Arial" w:hAnsi="Arial" w:cs="Arial"/>
                <w:sz w:val="20"/>
                <w:szCs w:val="20"/>
              </w:rPr>
              <w:t>Preparation for tumour board</w:t>
            </w:r>
          </w:p>
          <w:p>
            <w:pPr>
              <w:spacing w:before="0" w:after="19"/>
              <w:rPr>
                <w:rFonts w:ascii="Arial" w:hAnsi="Arial" w:cs="Arial"/>
                <w:sz w:val="20"/>
                <w:szCs w:val="20"/>
                <w:lang w:val="ro-RO" w:bidi="ar-SA"/>
              </w:rPr>
            </w:pPr>
            <w:r>
              <w:rPr>
                <w:rFonts w:ascii="Arial" w:hAnsi="Arial" w:cs="Arial"/>
                <w:sz w:val="20"/>
                <w:szCs w:val="20"/>
              </w:rPr>
              <w:t>The main patient and treatment data are to be compiled in writing beforehand and made available to the participants at the tumour board. A pre-appraisal of suitable study patients is to be undertaken.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1.2.3.g</w:t>
            </w:r>
          </w:p>
        </w:tc>
        <w:tc>
          <w:tcPr>
            <w:tcW w:w="1" w:type="dxa"/>
          </w:tcPr>
          <w:p>
            <w:pPr>
              <w:spacing w:before="0" w:after="19"/>
              <w:ind w:left="0" w:right="0"/>
              <w:rPr>
                <w:rFonts w:ascii="Arial" w:hAnsi="Arial" w:cs="Arial"/>
                <w:sz w:val="20"/>
                <w:szCs w:val="20"/>
              </w:rPr>
            </w:pPr>
            <w:r>
              <w:rPr>
                <w:rFonts w:ascii="Arial" w:hAnsi="Arial" w:cs="Arial"/>
                <w:sz w:val="20"/>
                <w:szCs w:val="20"/>
              </w:rPr>
              <w:t>Minutes of the tumour board</w:t>
            </w:r>
          </w:p>
          <w:p>
            <w:pPr>
              <w:numPr>
                <w:ilvl w:val="0"/>
                <w:numId w:val="63"/>
              </w:numPr>
              <w:spacing w:before="0" w:after="19"/>
              <w:ind w:hanging="283" w:left="283" w:right="0"/>
              <w:rPr>
                <w:rFonts w:ascii="Arial" w:hAnsi="Arial" w:cs="Arial"/>
                <w:sz w:val="20"/>
                <w:szCs w:val="20"/>
              </w:rPr>
            </w:pPr>
            <w:r>
              <w:rPr>
                <w:rFonts w:ascii="Arial" w:hAnsi="Arial" w:cs="Arial"/>
                <w:sz w:val="20"/>
                <w:szCs w:val="20"/>
              </w:rPr>
              <w:t>The results of the tumour board include a written, interdisciplinary treatment plan ("tumour board protocol").</w:t>
            </w:r>
          </w:p>
          <w:p>
            <w:pPr>
              <w:numPr>
                <w:ilvl w:val="0"/>
                <w:numId w:val="63"/>
              </w:numPr>
              <w:spacing w:before="0" w:after="19"/>
              <w:ind w:hanging="283" w:left="283" w:right="0"/>
              <w:rPr>
                <w:rFonts w:ascii="Arial" w:hAnsi="Arial" w:cs="Arial"/>
                <w:sz w:val="20"/>
                <w:szCs w:val="20"/>
              </w:rPr>
            </w:pPr>
            <w:r>
              <w:rPr>
                <w:rFonts w:ascii="Arial" w:hAnsi="Arial" w:cs="Arial"/>
                <w:sz w:val="20"/>
                <w:szCs w:val="20"/>
              </w:rPr>
              <w:t>The minutes of the tumour board must be part of the patient file and</w:t>
            </w:r>
          </w:p>
          <w:p>
            <w:pPr>
              <w:numPr>
                <w:ilvl w:val="0"/>
                <w:numId w:val="63"/>
              </w:numPr>
              <w:spacing w:before="0" w:after="19"/>
              <w:ind w:hanging="283" w:left="283" w:right="0"/>
              <w:rPr>
                <w:rFonts w:ascii="Arial" w:hAnsi="Arial" w:cs="Arial"/>
                <w:sz w:val="20"/>
                <w:szCs w:val="20"/>
              </w:rPr>
            </w:pPr>
            <w:r>
              <w:rPr>
                <w:rFonts w:ascii="Arial" w:hAnsi="Arial" w:cs="Arial"/>
                <w:sz w:val="20"/>
                <w:szCs w:val="20"/>
              </w:rPr>
              <w:t>The recommendation of the tumour board should also form part of the doctor's letter.</w:t>
            </w:r>
          </w:p>
          <w:p>
            <w:pPr>
              <w:numPr>
                <w:ilvl w:val="0"/>
                <w:numId w:val="63"/>
              </w:numPr>
              <w:spacing w:before="0" w:after="19"/>
              <w:ind w:hanging="283" w:left="283" w:right="0"/>
              <w:rPr>
                <w:rFonts w:ascii="Arial" w:hAnsi="Arial" w:cs="Arial"/>
                <w:sz w:val="20"/>
                <w:szCs w:val="20"/>
              </w:rPr>
            </w:pPr>
            <w:r>
              <w:rPr>
                <w:rFonts w:ascii="Arial" w:hAnsi="Arial" w:cs="Arial"/>
                <w:sz w:val="20"/>
                <w:szCs w:val="20"/>
              </w:rPr>
              <w:t>The "Tumour board minutes" should be generated automatically from the tumour documentation system.</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Result of tumour board</w:t>
            </w:r>
          </w:p>
          <w:p>
            <w:pPr>
              <w:spacing w:before="0" w:after="19"/>
              <w:rPr>
                <w:rFonts w:ascii="Arial" w:hAnsi="Arial" w:cs="Arial"/>
                <w:sz w:val="20"/>
                <w:szCs w:val="20"/>
                <w:lang w:val="ro-RO" w:bidi="ar-SA"/>
              </w:rPr>
            </w:pPr>
            <w:r>
              <w:rPr>
                <w:rFonts w:ascii="Arial" w:hAnsi="Arial" w:cs="Arial"/>
                <w:sz w:val="20"/>
                <w:szCs w:val="20"/>
              </w:rPr>
              <w:t>The patient must be informed about the recommendations of the tumour board.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1.2.3.h</w:t>
            </w:r>
          </w:p>
        </w:tc>
        <w:tc>
          <w:tcPr>
            <w:tcW w:w="1" w:type="dxa"/>
          </w:tcPr>
          <w:p>
            <w:pPr>
              <w:spacing w:before="0" w:after="19"/>
              <w:ind w:left="0" w:right="0"/>
              <w:rPr>
                <w:rFonts w:ascii="Arial" w:hAnsi="Arial" w:cs="Arial"/>
                <w:sz w:val="20"/>
                <w:szCs w:val="20"/>
              </w:rPr>
            </w:pPr>
            <w:r>
              <w:rPr>
                <w:rFonts w:ascii="Arial" w:hAnsi="Arial" w:cs="Arial"/>
                <w:sz w:val="20"/>
                <w:szCs w:val="20"/>
                <w:shd w:val="clear" w:color="auto" w:fill="00FF00"/>
              </w:rPr>
              <w:t>For patients with advanced cancer who</w:t>
            </w:r>
          </w:p>
          <w:p>
            <w:pPr>
              <w:numPr>
                <w:ilvl w:val="0"/>
                <w:numId w:val="64"/>
              </w:numPr>
              <w:spacing w:before="0" w:after="19"/>
              <w:ind w:hanging="283" w:left="283" w:right="0"/>
              <w:rPr>
                <w:rFonts w:ascii="Arial" w:hAnsi="Arial" w:cs="Arial"/>
                <w:sz w:val="20"/>
                <w:szCs w:val="20"/>
              </w:rPr>
            </w:pPr>
            <w:r>
              <w:rPr>
                <w:rFonts w:ascii="Arial" w:hAnsi="Arial" w:cs="Arial"/>
                <w:sz w:val="20"/>
                <w:szCs w:val="20"/>
                <w:shd w:val="clear" w:color="auto" w:fill="00FF00"/>
              </w:rPr>
              <w:t>have completed the guideline-based therapy and</w:t>
            </w:r>
          </w:p>
          <w:p>
            <w:pPr>
              <w:numPr>
                <w:ilvl w:val="0"/>
                <w:numId w:val="64"/>
              </w:numPr>
              <w:spacing w:before="0" w:after="19"/>
              <w:ind w:hanging="283" w:left="283" w:right="0"/>
              <w:rPr>
                <w:rFonts w:ascii="Arial" w:hAnsi="Arial" w:cs="Arial"/>
                <w:sz w:val="20"/>
                <w:szCs w:val="20"/>
              </w:rPr>
            </w:pPr>
            <w:r>
              <w:rPr>
                <w:rFonts w:ascii="Arial" w:hAnsi="Arial" w:cs="Arial"/>
                <w:sz w:val="20"/>
                <w:szCs w:val="20"/>
                <w:shd w:val="clear" w:color="auto" w:fill="00FF00"/>
              </w:rPr>
              <w:t>who, according to the clinical parameters, are able to receive a molecular-based therapy and</w:t>
            </w:r>
          </w:p>
          <w:p>
            <w:pPr>
              <w:numPr>
                <w:ilvl w:val="0"/>
                <w:numId w:val="64"/>
              </w:numPr>
              <w:spacing w:before="0" w:after="19"/>
              <w:ind w:hanging="283" w:left="283" w:right="0"/>
              <w:rPr>
                <w:rFonts w:ascii="Arial" w:hAnsi="Arial" w:cs="Arial"/>
                <w:sz w:val="20"/>
                <w:szCs w:val="20"/>
              </w:rPr>
            </w:pPr>
            <w:r>
              <w:rPr>
                <w:rFonts w:ascii="Arial" w:hAnsi="Arial" w:cs="Arial"/>
                <w:sz w:val="20"/>
                <w:szCs w:val="20"/>
                <w:shd w:val="clear" w:color="auto" w:fill="00FF00"/>
              </w:rPr>
              <w:t>who, in principle, agree to possible therapy based on the molecular findings,</w:t>
            </w:r>
          </w:p>
          <w:p>
            <w:pPr>
              <w:spacing w:before="0" w:after="19"/>
              <w:ind w:left="0" w:right="0"/>
              <w:rPr>
                <w:rFonts w:ascii="Arial" w:hAnsi="Arial" w:cs="Arial"/>
                <w:sz w:val="20"/>
                <w:szCs w:val="20"/>
              </w:rPr>
            </w:pPr>
            <w:r>
              <w:rPr>
                <w:rFonts w:ascii="Arial" w:hAnsi="Arial" w:cs="Arial"/>
                <w:sz w:val="20"/>
                <w:szCs w:val="20"/>
                <w:shd w:val="clear" w:color="auto" w:fill="00FF00"/>
              </w:rPr>
              <w:t xml:space="preserve">a presentation at a </w:t>
            </w:r>
            <w:r>
              <w:rPr>
                <w:rFonts w:ascii="Arial" w:hAnsi="Arial" w:cs="Arial" w:eastAsia="Aptos"/>
                <w:sz w:val="20"/>
                <w:szCs w:val="20"/>
                <w:shd w:val="clear" w:color="auto" w:fill="00FF00"/>
              </w:rPr>
              <w:t>Centres for Personalised Medicine</w:t>
            </w:r>
            <w:r>
              <w:rPr>
                <w:rFonts w:ascii="Arial" w:hAnsi="Arial" w:cs="Arial" w:eastAsia="Aptos"/>
                <w:sz w:val="20"/>
                <w:szCs w:val="20"/>
              </w:rPr>
              <w:t xml:space="preserve"> </w:t>
            </w:r>
            <w:r>
              <w:rPr>
                <w:rFonts w:ascii="Arial" w:hAnsi="Arial" w:cs="Arial"/>
                <w:sz w:val="20"/>
                <w:szCs w:val="20"/>
                <w:shd w:val="clear" w:color="auto" w:fill="00FF00"/>
              </w:rPr>
              <w:t>should be sought.</w:t>
              <w:br w:type="textWrapping"/>
            </w:r>
          </w:p>
          <w:p>
            <w:pPr>
              <w:spacing w:before="0" w:after="19"/>
              <w:rPr>
                <w:rFonts w:ascii="Arial" w:hAnsi="Arial" w:cs="Arial"/>
                <w:sz w:val="20"/>
                <w:szCs w:val="20"/>
                <w:lang w:val="ro-RO" w:bidi="ar-SA"/>
              </w:rPr>
            </w:pPr>
            <w:r>
              <w:rPr>
                <w:rFonts w:ascii="Arial" w:hAnsi="Arial" w:cs="Arial"/>
                <w:sz w:val="20"/>
                <w:szCs w:val="20"/>
                <w:shd w:val="clear" w:color="auto" w:fill="00FF00"/>
              </w:rPr>
              <w:t>A prerequisite is the existence of a tumour board decision from an organ-specific centre (HC). The MTB recommendation is provided to the referring centre.</w:t>
            </w:r>
            <w:r>
              <w:rPr>
                <w:rFonts w:ascii="Arial" w:hAnsi="Arial" w:cs="Arial"/>
                <w:sz w:val="20"/>
                <w:szCs w:val="20"/>
              </w:rPr>
              <w:br w:type="textWrapping"/>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1.2.3.i</w:t>
            </w:r>
          </w:p>
        </w:tc>
        <w:tc>
          <w:tcPr>
            <w:tcW w:w="1" w:type="dxa"/>
          </w:tcPr>
          <w:p>
            <w:pPr>
              <w:spacing w:before="0" w:after="19"/>
              <w:ind w:left="0" w:right="0"/>
              <w:rPr>
                <w:rFonts w:ascii="Arial" w:hAnsi="Arial" w:cs="Arial"/>
                <w:sz w:val="20"/>
                <w:szCs w:val="20"/>
              </w:rPr>
            </w:pPr>
            <w:r>
              <w:rPr>
                <w:rFonts w:ascii="Arial" w:hAnsi="Arial" w:cs="Arial"/>
                <w:sz w:val="20"/>
                <w:szCs w:val="20"/>
              </w:rPr>
              <w:t>Participation tumour board as continuing education</w:t>
            </w:r>
          </w:p>
          <w:p>
            <w:pPr>
              <w:spacing w:before="0" w:after="19"/>
              <w:ind w:left="0" w:right="0"/>
              <w:rPr>
                <w:rFonts w:ascii="Arial" w:hAnsi="Arial" w:cs="Arial"/>
                <w:sz w:val="20"/>
                <w:szCs w:val="20"/>
              </w:rPr>
            </w:pPr>
            <w:r>
              <w:rPr>
                <w:rFonts w:ascii="Arial" w:hAnsi="Arial" w:cs="Arial"/>
                <w:sz w:val="20"/>
                <w:szCs w:val="20"/>
              </w:rPr>
              <w:t xml:space="preserve">For the following functions/ professional groups, a one-time </w:t>
            </w:r>
            <w:r>
              <w:rPr>
                <w:rFonts w:ascii="Arial" w:hAnsi="Arial" w:cs="Arial"/>
                <w:strike w:val="1"/>
                <w:sz w:val="20"/>
                <w:szCs w:val="20"/>
                <w:shd w:val="clear" w:color="auto" w:fill="00FE00"/>
              </w:rPr>
              <w:t xml:space="preserve">mandatory </w:t>
            </w:r>
            <w:r>
              <w:rPr>
                <w:rFonts w:ascii="Arial" w:hAnsi="Arial" w:cs="Arial"/>
                <w:sz w:val="20"/>
                <w:szCs w:val="20"/>
              </w:rPr>
              <w:t xml:space="preserve">participation in the tumour board should be made </w:t>
            </w:r>
            <w:r>
              <w:rPr>
                <w:rFonts w:ascii="Arial" w:hAnsi="Arial" w:cs="Arial"/>
                <w:strike w:val="1"/>
                <w:sz w:val="20"/>
                <w:szCs w:val="20"/>
                <w:shd w:val="clear" w:color="auto" w:fill="00FE00"/>
              </w:rPr>
              <w:t>is to be made</w:t>
            </w:r>
            <w:r>
              <w:rPr>
                <w:rFonts w:ascii="Arial" w:hAnsi="Arial" w:cs="Arial"/>
                <w:sz w:val="20"/>
                <w:szCs w:val="20"/>
              </w:rPr>
              <w:t xml:space="preserve"> possible (refresher every 3 years):</w:t>
            </w:r>
          </w:p>
          <w:p>
            <w:pPr>
              <w:numPr>
                <w:ilvl w:val="0"/>
                <w:numId w:val="65"/>
              </w:numPr>
              <w:spacing w:before="0" w:after="19"/>
              <w:ind w:hanging="283" w:left="283" w:right="0"/>
              <w:rPr>
                <w:rFonts w:ascii="Arial" w:hAnsi="Arial" w:cs="Arial"/>
                <w:sz w:val="20"/>
                <w:szCs w:val="20"/>
              </w:rPr>
            </w:pPr>
            <w:r>
              <w:rPr>
                <w:rFonts w:ascii="Arial" w:hAnsi="Arial" w:cs="Arial"/>
                <w:sz w:val="20"/>
                <w:szCs w:val="20"/>
              </w:rPr>
              <w:t xml:space="preserve">Assistants (MTA, TRA, ...) from the fields of radiology, nuclear medicine </w:t>
            </w:r>
            <w:r>
              <w:rPr>
                <w:rFonts w:ascii="Arial" w:hAnsi="Arial" w:cs="Arial"/>
                <w:strike w:val="1"/>
                <w:sz w:val="20"/>
                <w:szCs w:val="20"/>
                <w:shd w:val="clear" w:color="auto" w:fill="00FE00"/>
              </w:rPr>
              <w:t>and radiooncology</w:t>
            </w:r>
          </w:p>
          <w:p>
            <w:pPr>
              <w:numPr>
                <w:ilvl w:val="0"/>
                <w:numId w:val="65"/>
              </w:numPr>
              <w:spacing w:before="0" w:after="19"/>
              <w:ind w:hanging="283" w:left="283" w:right="0"/>
              <w:rPr>
                <w:rFonts w:ascii="Arial" w:hAnsi="Arial" w:cs="Arial"/>
                <w:sz w:val="20"/>
                <w:szCs w:val="20"/>
              </w:rPr>
            </w:pPr>
            <w:r>
              <w:rPr>
                <w:rFonts w:ascii="Arial" w:hAnsi="Arial" w:cs="Arial"/>
                <w:strike w:val="1"/>
                <w:sz w:val="20"/>
                <w:szCs w:val="20"/>
                <w:shd w:val="clear" w:color="auto" w:fill="00FE00"/>
              </w:rPr>
              <w:t>Social services,</w:t>
            </w:r>
            <w:r>
              <w:rPr>
                <w:rFonts w:ascii="Arial" w:hAnsi="Arial" w:cs="Arial"/>
                <w:sz w:val="20"/>
                <w:szCs w:val="20"/>
              </w:rPr>
              <w:t xml:space="preserve"> Psycho-oncology and pharmacy staff</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Participation in the tumour board is recognised as continuing education for the afore-mentioned functions/ professional groups.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1.2.4</w:t>
            </w:r>
          </w:p>
        </w:tc>
        <w:tc>
          <w:tcPr>
            <w:tcW w:w="1" w:type="dxa"/>
          </w:tcPr>
          <w:p>
            <w:pPr>
              <w:spacing w:before="0" w:after="19"/>
              <w:ind w:left="0" w:right="0"/>
              <w:rPr>
                <w:rFonts w:ascii="Arial" w:hAnsi="Arial" w:cs="Arial"/>
                <w:sz w:val="20"/>
                <w:szCs w:val="20"/>
              </w:rPr>
            </w:pPr>
            <w:r>
              <w:rPr>
                <w:rFonts w:ascii="Arial" w:hAnsi="Arial" w:cs="Arial"/>
                <w:sz w:val="20"/>
                <w:szCs w:val="20"/>
              </w:rPr>
              <w:t>Treatment plan</w:t>
            </w:r>
          </w:p>
          <w:p>
            <w:pPr>
              <w:numPr>
                <w:ilvl w:val="0"/>
                <w:numId w:val="66"/>
              </w:numPr>
              <w:spacing w:before="0" w:after="19"/>
              <w:ind w:hanging="283" w:left="283" w:right="0"/>
              <w:rPr>
                <w:rFonts w:ascii="Arial" w:hAnsi="Arial" w:cs="Arial"/>
                <w:sz w:val="20"/>
                <w:szCs w:val="20"/>
              </w:rPr>
            </w:pPr>
            <w:r>
              <w:rPr>
                <w:rFonts w:ascii="Arial" w:hAnsi="Arial" w:cs="Arial"/>
                <w:sz w:val="20"/>
                <w:szCs w:val="20"/>
              </w:rPr>
              <w:t>An individualised interdisciplinary treatment plan must be drawn up for all patients. This also applies to patients who are not presented to a tumour board.</w:t>
            </w:r>
          </w:p>
          <w:p>
            <w:pPr>
              <w:numPr>
                <w:ilvl w:val="0"/>
                <w:numId w:val="66"/>
              </w:numPr>
              <w:spacing w:before="0" w:after="19"/>
              <w:ind w:hanging="283" w:left="283"/>
              <w:rPr>
                <w:rFonts w:ascii="Arial" w:hAnsi="Arial" w:cs="Arial"/>
                <w:sz w:val="20"/>
                <w:szCs w:val="20"/>
                <w:lang w:val="ro-RO" w:bidi="ar-SA"/>
              </w:rPr>
            </w:pPr>
            <w:r>
              <w:rPr>
                <w:rFonts w:ascii="Arial" w:hAnsi="Arial" w:cs="Arial"/>
                <w:sz w:val="20"/>
                <w:szCs w:val="20"/>
              </w:rPr>
              <w:t>A standardised documentation template for the treatment plan and tumour board protocol is recommended.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1.2.5</w:t>
            </w:r>
          </w:p>
        </w:tc>
        <w:tc>
          <w:tcPr>
            <w:tcW w:w="1" w:type="dxa"/>
          </w:tcPr>
          <w:p>
            <w:pPr>
              <w:spacing w:before="0" w:after="19"/>
              <w:ind w:left="0" w:right="0"/>
              <w:rPr>
                <w:rFonts w:ascii="Arial" w:hAnsi="Arial" w:cs="Arial"/>
                <w:sz w:val="20"/>
                <w:szCs w:val="20"/>
              </w:rPr>
            </w:pPr>
            <w:r>
              <w:rPr>
                <w:rFonts w:ascii="Arial" w:hAnsi="Arial" w:cs="Arial"/>
                <w:sz w:val="20"/>
                <w:szCs w:val="20"/>
              </w:rPr>
              <w:t>Therapy deviation</w:t>
            </w:r>
          </w:p>
          <w:p>
            <w:pPr>
              <w:numPr>
                <w:ilvl w:val="0"/>
                <w:numId w:val="67"/>
              </w:numPr>
              <w:spacing w:before="0" w:after="19"/>
              <w:ind w:hanging="283" w:left="283" w:right="0"/>
              <w:rPr>
                <w:rFonts w:ascii="Arial" w:hAnsi="Arial" w:cs="Arial"/>
                <w:sz w:val="20"/>
                <w:szCs w:val="20"/>
              </w:rPr>
            </w:pPr>
            <w:r>
              <w:rPr>
                <w:rFonts w:ascii="Arial" w:hAnsi="Arial" w:cs="Arial"/>
                <w:sz w:val="20"/>
                <w:szCs w:val="20"/>
              </w:rPr>
              <w:t>In principle, treatment plans and recommendations from the tumour board are binding.</w:t>
            </w:r>
          </w:p>
          <w:p>
            <w:pPr>
              <w:numPr>
                <w:ilvl w:val="0"/>
                <w:numId w:val="67"/>
              </w:numPr>
              <w:spacing w:before="0" w:after="19"/>
              <w:ind w:hanging="283" w:left="283" w:right="0"/>
              <w:rPr>
                <w:rFonts w:ascii="Arial" w:hAnsi="Arial" w:cs="Arial"/>
                <w:sz w:val="20"/>
                <w:szCs w:val="20"/>
              </w:rPr>
            </w:pPr>
            <w:r>
              <w:rPr>
                <w:rFonts w:ascii="Arial" w:hAnsi="Arial" w:cs="Arial"/>
                <w:sz w:val="20"/>
                <w:szCs w:val="20"/>
              </w:rPr>
              <w:t>If deviations from the original treatment plan or deviations from the guidelines are identified, these must be recorded and evaluated. Depending on the cause, measures must be taken to avoid deviations.</w:t>
            </w:r>
          </w:p>
          <w:p>
            <w:pPr>
              <w:numPr>
                <w:ilvl w:val="0"/>
                <w:numId w:val="67"/>
              </w:numPr>
              <w:spacing w:before="0" w:after="19"/>
              <w:ind w:hanging="283" w:left="283"/>
              <w:rPr>
                <w:rFonts w:ascii="Arial" w:hAnsi="Arial" w:cs="Arial"/>
                <w:sz w:val="20"/>
                <w:szCs w:val="20"/>
                <w:lang w:val="ro-RO" w:bidi="ar-SA"/>
              </w:rPr>
            </w:pPr>
            <w:r>
              <w:rPr>
                <w:rFonts w:ascii="Arial" w:hAnsi="Arial" w:cs="Arial"/>
                <w:sz w:val="20"/>
                <w:szCs w:val="20"/>
              </w:rPr>
              <w:t>If a therapy is not started at the patient's request (despite an existing indication) or is cancelled prematurely, this must also be recorded.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1.2.6</w:t>
            </w:r>
          </w:p>
        </w:tc>
        <w:tc>
          <w:tcPr>
            <w:tcW w:w="1" w:type="dxa"/>
          </w:tcPr>
          <w:p>
            <w:pPr>
              <w:spacing w:before="0" w:after="19"/>
              <w:ind w:left="0" w:right="0"/>
              <w:rPr>
                <w:rFonts w:ascii="Arial" w:hAnsi="Arial" w:cs="Arial"/>
                <w:sz w:val="20"/>
                <w:szCs w:val="20"/>
              </w:rPr>
            </w:pPr>
            <w:r>
              <w:rPr>
                <w:rFonts w:ascii="Arial" w:hAnsi="Arial" w:cs="Arial"/>
                <w:sz w:val="20"/>
                <w:szCs w:val="20"/>
              </w:rPr>
              <w:t>Care according to the current state of medical knowledge</w:t>
            </w:r>
          </w:p>
          <w:p>
            <w:pPr>
              <w:numPr>
                <w:ilvl w:val="0"/>
                <w:numId w:val="68"/>
              </w:numPr>
              <w:spacing w:before="0" w:after="19"/>
              <w:ind w:hanging="283" w:left="283" w:right="0"/>
              <w:rPr>
                <w:rFonts w:ascii="Arial" w:hAnsi="Arial" w:cs="Arial"/>
                <w:sz w:val="20"/>
                <w:szCs w:val="20"/>
              </w:rPr>
            </w:pPr>
            <w:r>
              <w:rPr>
                <w:rFonts w:ascii="Arial" w:hAnsi="Arial" w:cs="Arial"/>
                <w:sz w:val="20"/>
                <w:szCs w:val="20"/>
              </w:rPr>
              <w:t>The current information from the S3 guidelines and Onkopedia guidelines should be translated into SOPs (definition of the standard for diagnostics, therapy and aftercare, specifying responsibilities). In addition to general diagnostic and therapeutic algorithms, more complex, recurring or cross-entity situations (e.g. emergency radiotherapy) should be addressed in particular.</w:t>
            </w:r>
          </w:p>
          <w:p>
            <w:pPr>
              <w:numPr>
                <w:ilvl w:val="0"/>
                <w:numId w:val="68"/>
              </w:numPr>
              <w:spacing w:before="0" w:after="19"/>
              <w:ind w:hanging="283" w:left="283" w:right="0"/>
              <w:rPr>
                <w:rFonts w:ascii="Arial" w:hAnsi="Arial" w:cs="Arial"/>
                <w:sz w:val="20"/>
                <w:szCs w:val="20"/>
              </w:rPr>
            </w:pPr>
            <w:r>
              <w:rPr>
                <w:rFonts w:ascii="Arial" w:hAnsi="Arial" w:cs="Arial"/>
                <w:sz w:val="20"/>
                <w:szCs w:val="20"/>
              </w:rPr>
              <w:t>For haematological neoplasms for which no guidelines exist, SOPs must be defined in internal processes (e.g. as part of a quality circle).</w:t>
            </w:r>
          </w:p>
          <w:p>
            <w:pPr>
              <w:numPr>
                <w:ilvl w:val="0"/>
                <w:numId w:val="68"/>
              </w:numPr>
              <w:spacing w:before="0" w:after="19"/>
              <w:ind w:hanging="283" w:left="283" w:right="0"/>
              <w:rPr>
                <w:rFonts w:ascii="Arial" w:hAnsi="Arial" w:cs="Arial"/>
                <w:sz w:val="20"/>
                <w:szCs w:val="20"/>
              </w:rPr>
            </w:pPr>
            <w:r>
              <w:rPr>
                <w:rFonts w:ascii="Arial" w:hAnsi="Arial" w:cs="Arial"/>
                <w:sz w:val="20"/>
                <w:szCs w:val="20"/>
              </w:rPr>
              <w:t>For rare entities, a general care plan must be provided that defines the basic processes for determining diagnostics and therapy.</w:t>
            </w:r>
          </w:p>
          <w:p>
            <w:pPr>
              <w:numPr>
                <w:ilvl w:val="0"/>
                <w:numId w:val="68"/>
              </w:numPr>
              <w:spacing w:before="0" w:after="19"/>
              <w:ind w:hanging="283" w:left="283" w:right="0"/>
              <w:rPr>
                <w:rFonts w:ascii="Arial" w:hAnsi="Arial" w:cs="Arial"/>
                <w:sz w:val="20"/>
                <w:szCs w:val="20"/>
              </w:rPr>
            </w:pPr>
            <w:r>
              <w:rPr>
                <w:rFonts w:ascii="Arial" w:hAnsi="Arial" w:cs="Arial"/>
                <w:sz w:val="20"/>
                <w:szCs w:val="20"/>
              </w:rPr>
              <w:t>The standards and SOPs must be updated and publicised by the person responsible for the guidelines (see section 1.2.7). Implementation must be checked by means of suitable measures. The process must be described.</w:t>
            </w:r>
          </w:p>
          <w:p>
            <w:pPr>
              <w:numPr>
                <w:ilvl w:val="0"/>
                <w:numId w:val="68"/>
              </w:numPr>
              <w:spacing w:before="0" w:after="19"/>
              <w:ind w:hanging="283" w:left="283" w:right="0"/>
              <w:rPr>
                <w:rFonts w:ascii="Arial" w:hAnsi="Arial" w:cs="Arial"/>
                <w:sz w:val="20"/>
                <w:szCs w:val="20"/>
              </w:rPr>
            </w:pPr>
            <w:r>
              <w:rPr>
                <w:rFonts w:ascii="Arial" w:hAnsi="Arial" w:cs="Arial"/>
                <w:sz w:val="20"/>
                <w:szCs w:val="20"/>
              </w:rPr>
              <w:t xml:space="preserve">For patients with myelon compression and neurological symptoms, an SOP </w:t>
            </w:r>
            <w:r>
              <w:rPr>
                <w:rFonts w:ascii="Arial" w:hAnsi="Arial" w:cs="Arial"/>
                <w:sz w:val="20"/>
                <w:szCs w:val="20"/>
                <w:shd w:val="clear" w:color="auto" w:fill="00FF00"/>
              </w:rPr>
              <w:t>"</w:t>
            </w:r>
            <w:r>
              <w:rPr>
                <w:rFonts w:ascii="Arial" w:hAnsi="Arial" w:cs="Arial"/>
                <w:sz w:val="20"/>
                <w:szCs w:val="20"/>
              </w:rPr>
              <w:t>for treatment must be drawn up within 24 hours of the suspected diagnosis</w:t>
            </w:r>
            <w:r>
              <w:rPr>
                <w:rFonts w:ascii="Arial" w:hAnsi="Arial" w:cs="Arial"/>
                <w:sz w:val="20"/>
                <w:szCs w:val="20"/>
                <w:shd w:val="clear" w:color="auto" w:fill="00FF00"/>
              </w:rPr>
              <w:t>"</w:t>
            </w:r>
            <w:r>
              <w:rPr>
                <w:rFonts w:ascii="Arial" w:hAnsi="Arial" w:cs="Arial"/>
                <w:sz w:val="20"/>
                <w:szCs w:val="20"/>
              </w:rPr>
              <w:t>.</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1.2.7</w:t>
            </w:r>
          </w:p>
        </w:tc>
        <w:tc>
          <w:tcPr>
            <w:tcW w:w="1" w:type="dxa"/>
          </w:tcPr>
          <w:p>
            <w:pPr>
              <w:spacing w:before="0" w:after="19"/>
              <w:ind w:left="0" w:right="0"/>
              <w:rPr>
                <w:rFonts w:ascii="Arial" w:hAnsi="Arial" w:cs="Arial"/>
                <w:sz w:val="20"/>
                <w:szCs w:val="20"/>
              </w:rPr>
            </w:pPr>
            <w:r>
              <w:rPr>
                <w:rFonts w:ascii="Arial" w:hAnsi="Arial" w:cs="Arial"/>
                <w:sz w:val="20"/>
                <w:szCs w:val="20"/>
              </w:rPr>
              <w:t>Tasks of the person responsible for the guidelines</w:t>
            </w:r>
          </w:p>
          <w:p>
            <w:pPr>
              <w:numPr>
                <w:ilvl w:val="0"/>
                <w:numId w:val="69"/>
              </w:numPr>
              <w:spacing w:before="0" w:after="19"/>
              <w:ind w:hanging="283" w:left="283" w:right="0"/>
              <w:rPr>
                <w:rFonts w:ascii="Arial" w:hAnsi="Arial" w:cs="Arial"/>
                <w:sz w:val="20"/>
                <w:szCs w:val="20"/>
              </w:rPr>
            </w:pPr>
            <w:r>
              <w:rPr>
                <w:rFonts w:ascii="Arial" w:hAnsi="Arial" w:cs="Arial"/>
                <w:sz w:val="20"/>
                <w:szCs w:val="20"/>
              </w:rPr>
              <w:t>Monitoring of up-to-dateness and further development.</w:t>
            </w:r>
          </w:p>
          <w:p>
            <w:pPr>
              <w:numPr>
                <w:ilvl w:val="0"/>
                <w:numId w:val="69"/>
              </w:numPr>
              <w:spacing w:before="0" w:after="19"/>
              <w:ind w:hanging="283" w:left="283" w:right="0"/>
              <w:rPr>
                <w:rFonts w:ascii="Arial" w:hAnsi="Arial" w:cs="Arial"/>
                <w:sz w:val="20"/>
                <w:szCs w:val="20"/>
              </w:rPr>
            </w:pPr>
            <w:r>
              <w:rPr>
                <w:rFonts w:ascii="Arial" w:hAnsi="Arial" w:cs="Arial"/>
                <w:sz w:val="20"/>
                <w:szCs w:val="20"/>
              </w:rPr>
              <w:t>Announcement of the contents of the guidelines to new employees (description of the type of announcement and recording).</w:t>
            </w:r>
          </w:p>
          <w:p>
            <w:pPr>
              <w:numPr>
                <w:ilvl w:val="0"/>
                <w:numId w:val="69"/>
              </w:numPr>
              <w:spacing w:before="0" w:after="19"/>
              <w:ind w:hanging="283" w:left="283" w:right="0"/>
              <w:rPr>
                <w:rFonts w:ascii="Arial" w:hAnsi="Arial" w:cs="Arial"/>
                <w:sz w:val="20"/>
                <w:szCs w:val="20"/>
              </w:rPr>
            </w:pPr>
            <w:r>
              <w:rPr>
                <w:rFonts w:ascii="Arial" w:hAnsi="Arial" w:cs="Arial"/>
                <w:sz w:val="20"/>
                <w:szCs w:val="20"/>
              </w:rPr>
              <w:t>Monitoring of guideline implementation (e.g. guideline audit, data monitoring).</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In the event of a change in guidelines</w:t>
            </w:r>
          </w:p>
          <w:p>
            <w:pPr>
              <w:numPr>
                <w:ilvl w:val="0"/>
                <w:numId w:val="70"/>
              </w:numPr>
              <w:spacing w:before="0" w:after="19"/>
              <w:ind w:hanging="283" w:left="283" w:right="0"/>
              <w:rPr>
                <w:rFonts w:ascii="Arial" w:hAnsi="Arial" w:cs="Arial"/>
                <w:sz w:val="20"/>
                <w:szCs w:val="20"/>
              </w:rPr>
            </w:pPr>
            <w:r>
              <w:rPr>
                <w:rFonts w:ascii="Arial" w:hAnsi="Arial" w:cs="Arial"/>
                <w:sz w:val="20"/>
                <w:szCs w:val="20"/>
              </w:rPr>
              <w:t>Systematic, prompt and verifiable notification of changes (recorded e.g. in the form of training courses, Q-circles).</w:t>
            </w:r>
          </w:p>
          <w:p>
            <w:pPr>
              <w:numPr>
                <w:ilvl w:val="0"/>
                <w:numId w:val="70"/>
              </w:numPr>
              <w:spacing w:before="0" w:after="19"/>
              <w:ind w:hanging="283" w:left="283"/>
              <w:rPr>
                <w:rFonts w:ascii="Arial" w:hAnsi="Arial" w:cs="Arial"/>
                <w:sz w:val="20"/>
                <w:szCs w:val="20"/>
                <w:lang w:val="ro-RO" w:bidi="ar-SA"/>
              </w:rPr>
            </w:pPr>
            <w:r>
              <w:rPr>
                <w:rFonts w:ascii="Arial" w:hAnsi="Arial" w:cs="Arial"/>
                <w:sz w:val="20"/>
                <w:szCs w:val="20"/>
              </w:rPr>
              <w:t>Changes to internal processes/ guidelines due to the amended guidelines.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1.2.8</w:t>
            </w:r>
          </w:p>
        </w:tc>
        <w:tc>
          <w:tcPr>
            <w:tcW w:w="1" w:type="dxa"/>
          </w:tcPr>
          <w:p>
            <w:pPr>
              <w:spacing w:before="0" w:after="19"/>
              <w:ind w:left="0" w:right="0"/>
              <w:rPr>
                <w:rFonts w:ascii="Arial" w:hAnsi="Arial" w:cs="Arial"/>
                <w:sz w:val="20"/>
                <w:szCs w:val="20"/>
              </w:rPr>
            </w:pPr>
            <w:r>
              <w:rPr>
                <w:rFonts w:ascii="Arial" w:hAnsi="Arial" w:cs="Arial"/>
                <w:sz w:val="20"/>
                <w:szCs w:val="20"/>
              </w:rPr>
              <w:t>Quality circle</w:t>
            </w:r>
          </w:p>
          <w:p>
            <w:pPr>
              <w:numPr>
                <w:ilvl w:val="0"/>
                <w:numId w:val="71"/>
              </w:numPr>
              <w:spacing w:before="0" w:after="19"/>
              <w:ind w:hanging="283" w:left="283" w:right="0"/>
              <w:rPr>
                <w:rFonts w:ascii="Arial" w:hAnsi="Arial" w:cs="Arial"/>
                <w:sz w:val="20"/>
                <w:szCs w:val="20"/>
              </w:rPr>
            </w:pPr>
            <w:r>
              <w:rPr>
                <w:rFonts w:ascii="Arial" w:hAnsi="Arial" w:cs="Arial"/>
                <w:sz w:val="20"/>
                <w:szCs w:val="20"/>
              </w:rPr>
              <w:t>The tasks, participants and content of the quality circles must be defined.</w:t>
            </w:r>
          </w:p>
          <w:p>
            <w:pPr>
              <w:numPr>
                <w:ilvl w:val="0"/>
                <w:numId w:val="71"/>
              </w:numPr>
              <w:spacing w:before="0" w:after="19"/>
              <w:ind w:hanging="283" w:left="283" w:right="0"/>
              <w:rPr>
                <w:rFonts w:ascii="Arial" w:hAnsi="Arial" w:cs="Arial"/>
                <w:sz w:val="20"/>
                <w:szCs w:val="20"/>
              </w:rPr>
            </w:pPr>
            <w:r>
              <w:rPr>
                <w:rFonts w:ascii="Arial" w:hAnsi="Arial" w:cs="Arial"/>
                <w:sz w:val="20"/>
                <w:szCs w:val="20"/>
              </w:rPr>
              <w:t>Quality circles must be organised at least three times a year.</w:t>
            </w:r>
          </w:p>
          <w:p>
            <w:pPr>
              <w:numPr>
                <w:ilvl w:val="0"/>
                <w:numId w:val="71"/>
              </w:numPr>
              <w:spacing w:before="0" w:after="19"/>
              <w:ind w:hanging="283" w:left="283" w:right="0"/>
              <w:rPr>
                <w:rFonts w:ascii="Arial" w:hAnsi="Arial" w:cs="Arial"/>
                <w:sz w:val="20"/>
                <w:szCs w:val="20"/>
              </w:rPr>
            </w:pPr>
            <w:r>
              <w:rPr>
                <w:rFonts w:ascii="Arial" w:hAnsi="Arial" w:cs="Arial"/>
                <w:sz w:val="20"/>
                <w:szCs w:val="20"/>
              </w:rPr>
              <w:t>A list of participants is kept.</w:t>
            </w:r>
          </w:p>
          <w:p>
            <w:pPr>
              <w:numPr>
                <w:ilvl w:val="0"/>
                <w:numId w:val="71"/>
              </w:numPr>
              <w:spacing w:before="0" w:after="19"/>
              <w:ind w:hanging="283" w:left="283" w:right="0"/>
              <w:rPr>
                <w:rFonts w:ascii="Arial" w:hAnsi="Arial" w:cs="Arial"/>
                <w:sz w:val="20"/>
                <w:szCs w:val="20"/>
              </w:rPr>
            </w:pPr>
            <w:r>
              <w:rPr>
                <w:rFonts w:ascii="Arial" w:hAnsi="Arial" w:cs="Arial"/>
                <w:sz w:val="20"/>
                <w:szCs w:val="20"/>
              </w:rPr>
              <w:t>Morbidity/mortality conferences are also recognised as quality circles.</w:t>
            </w:r>
          </w:p>
          <w:p>
            <w:pPr>
              <w:numPr>
                <w:ilvl w:val="0"/>
                <w:numId w:val="71"/>
              </w:numPr>
              <w:spacing w:before="0" w:after="19"/>
              <w:ind w:hanging="283" w:left="283" w:right="0"/>
              <w:rPr>
                <w:rFonts w:ascii="Arial" w:hAnsi="Arial" w:cs="Arial"/>
                <w:sz w:val="20"/>
                <w:szCs w:val="20"/>
              </w:rPr>
            </w:pPr>
            <w:r>
              <w:rPr>
                <w:rFonts w:ascii="Arial" w:hAnsi="Arial" w:cs="Arial"/>
                <w:sz w:val="20"/>
                <w:szCs w:val="20"/>
              </w:rPr>
              <w:t xml:space="preserve">The quality circles must produce clear results (actions, decisions) that appear suitable for a significant further development/improvement of the </w:t>
            </w:r>
            <w:r>
              <w:rPr>
                <w:rFonts w:ascii="Arial" w:hAnsi="Arial" w:cs="Arial" w:eastAsia="Calibri"/>
                <w:sz w:val="20"/>
                <w:szCs w:val="20"/>
              </w:rPr>
              <w:t>Haematological Neoplasms</w:t>
            </w:r>
            <w:r>
              <w:rPr>
                <w:rFonts w:ascii="Arial" w:hAnsi="Arial" w:cs="Arial"/>
                <w:sz w:val="20"/>
                <w:szCs w:val="20"/>
              </w:rPr>
              <w:t xml:space="preserve"> Centre.</w:t>
            </w:r>
          </w:p>
          <w:p>
            <w:pPr>
              <w:numPr>
                <w:ilvl w:val="0"/>
                <w:numId w:val="71"/>
              </w:numPr>
              <w:spacing w:before="0" w:after="19"/>
              <w:ind w:hanging="283" w:left="283" w:right="0"/>
              <w:rPr>
                <w:rFonts w:ascii="Arial" w:hAnsi="Arial" w:cs="Arial"/>
                <w:sz w:val="20"/>
                <w:szCs w:val="20"/>
              </w:rPr>
            </w:pPr>
            <w:r>
              <w:rPr>
                <w:rFonts w:ascii="Arial" w:hAnsi="Arial" w:cs="Arial"/>
                <w:sz w:val="20"/>
                <w:szCs w:val="20"/>
              </w:rPr>
              <w:t>The outcome of the quality circle must be recorded.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Possible topics:</w:t>
            </w:r>
          </w:p>
          <w:p>
            <w:pPr>
              <w:numPr>
                <w:ilvl w:val="0"/>
                <w:numId w:val="72"/>
              </w:numPr>
              <w:spacing w:before="0" w:after="19"/>
              <w:ind w:hanging="283" w:left="283" w:right="0"/>
              <w:rPr>
                <w:rFonts w:ascii="Arial" w:hAnsi="Arial" w:cs="Arial"/>
                <w:sz w:val="20"/>
                <w:szCs w:val="20"/>
              </w:rPr>
            </w:pPr>
            <w:r>
              <w:rPr>
                <w:rFonts w:ascii="Arial" w:hAnsi="Arial" w:cs="Arial"/>
                <w:sz w:val="20"/>
                <w:szCs w:val="20"/>
              </w:rPr>
              <w:t>Analysing the quality of results (benchmarking)</w:t>
            </w:r>
          </w:p>
          <w:p>
            <w:pPr>
              <w:numPr>
                <w:ilvl w:val="0"/>
                <w:numId w:val="72"/>
              </w:numPr>
              <w:spacing w:before="0" w:after="19"/>
              <w:ind w:hanging="283" w:left="283" w:right="0"/>
              <w:rPr>
                <w:rFonts w:ascii="Arial" w:hAnsi="Arial" w:cs="Arial"/>
                <w:sz w:val="20"/>
                <w:szCs w:val="20"/>
              </w:rPr>
            </w:pPr>
            <w:r>
              <w:rPr>
                <w:rFonts w:ascii="Arial" w:hAnsi="Arial" w:cs="Arial"/>
                <w:sz w:val="20"/>
                <w:szCs w:val="20"/>
              </w:rPr>
              <w:t>Interdisciplinary continuing education</w:t>
            </w:r>
          </w:p>
          <w:p>
            <w:pPr>
              <w:numPr>
                <w:ilvl w:val="0"/>
                <w:numId w:val="72"/>
              </w:numPr>
              <w:spacing w:before="0" w:after="19"/>
              <w:ind w:hanging="283" w:left="283" w:right="0"/>
              <w:rPr>
                <w:rFonts w:ascii="Arial" w:hAnsi="Arial" w:cs="Arial"/>
                <w:sz w:val="20"/>
                <w:szCs w:val="20"/>
              </w:rPr>
            </w:pPr>
            <w:r>
              <w:rPr>
                <w:rFonts w:ascii="Arial" w:hAnsi="Arial" w:cs="Arial"/>
                <w:sz w:val="20"/>
                <w:szCs w:val="20"/>
              </w:rPr>
              <w:t>Interdisciplinary case reviews</w:t>
            </w:r>
          </w:p>
          <w:p>
            <w:pPr>
              <w:numPr>
                <w:ilvl w:val="0"/>
                <w:numId w:val="72"/>
              </w:numPr>
              <w:spacing w:before="0" w:after="19"/>
              <w:ind w:hanging="283" w:left="283" w:right="0"/>
              <w:rPr>
                <w:rFonts w:ascii="Arial" w:hAnsi="Arial" w:cs="Arial"/>
                <w:sz w:val="20"/>
                <w:szCs w:val="20"/>
              </w:rPr>
            </w:pPr>
            <w:r>
              <w:rPr>
                <w:rFonts w:ascii="Arial" w:hAnsi="Arial" w:cs="Arial"/>
                <w:sz w:val="20"/>
                <w:szCs w:val="20"/>
              </w:rPr>
              <w:t>Structural improvements to the centre</w:t>
            </w:r>
          </w:p>
          <w:p>
            <w:pPr>
              <w:numPr>
                <w:ilvl w:val="0"/>
                <w:numId w:val="72"/>
              </w:numPr>
              <w:spacing w:before="0" w:after="19"/>
              <w:ind w:hanging="283" w:left="283" w:right="0"/>
              <w:rPr>
                <w:rFonts w:ascii="Arial" w:hAnsi="Arial" w:cs="Arial"/>
                <w:sz w:val="20"/>
                <w:szCs w:val="20"/>
              </w:rPr>
            </w:pPr>
            <w:r>
              <w:rPr>
                <w:rFonts w:ascii="Arial" w:hAnsi="Arial" w:cs="Arial"/>
                <w:sz w:val="20"/>
                <w:szCs w:val="20"/>
              </w:rPr>
              <w:t>Public relations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A quality circle must have taken place at the time of initial certification. The result of the quality circle must be recorded.</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1.2.9</w:t>
            </w:r>
          </w:p>
        </w:tc>
        <w:tc>
          <w:tcPr>
            <w:tcW w:w="1" w:type="dxa"/>
          </w:tcPr>
          <w:p>
            <w:pPr>
              <w:spacing w:before="0" w:after="19"/>
              <w:ind w:left="0" w:right="0"/>
              <w:rPr>
                <w:rFonts w:ascii="Arial" w:hAnsi="Arial" w:cs="Arial"/>
                <w:sz w:val="20"/>
                <w:szCs w:val="20"/>
              </w:rPr>
            </w:pPr>
            <w:r>
              <w:rPr>
                <w:rFonts w:ascii="Arial" w:hAnsi="Arial" w:cs="Arial"/>
                <w:sz w:val="20"/>
                <w:szCs w:val="20"/>
              </w:rPr>
              <w:t>Morbidity/ mortality conferences (M&amp;M conference)</w:t>
            </w:r>
          </w:p>
          <w:p>
            <w:pPr>
              <w:numPr>
                <w:ilvl w:val="0"/>
                <w:numId w:val="73"/>
              </w:numPr>
              <w:spacing w:before="0" w:after="19"/>
              <w:ind w:hanging="283" w:left="283" w:right="0"/>
              <w:rPr>
                <w:rFonts w:ascii="Arial" w:hAnsi="Arial" w:cs="Arial"/>
                <w:sz w:val="20"/>
                <w:szCs w:val="20"/>
              </w:rPr>
            </w:pPr>
            <w:r>
              <w:rPr>
                <w:rFonts w:ascii="Arial" w:hAnsi="Arial" w:cs="Arial"/>
                <w:sz w:val="20"/>
                <w:szCs w:val="20"/>
              </w:rPr>
              <w:t>Invited participants are the participants of the tumour board and the referring physicians</w:t>
            </w:r>
          </w:p>
          <w:p>
            <w:pPr>
              <w:numPr>
                <w:ilvl w:val="0"/>
                <w:numId w:val="73"/>
              </w:numPr>
              <w:spacing w:before="0" w:after="19"/>
              <w:ind w:hanging="283" w:left="283" w:right="0"/>
              <w:rPr>
                <w:rFonts w:ascii="Arial" w:hAnsi="Arial" w:cs="Arial"/>
                <w:sz w:val="20"/>
                <w:szCs w:val="20"/>
              </w:rPr>
            </w:pPr>
            <w:r>
              <w:rPr>
                <w:rFonts w:ascii="Arial" w:hAnsi="Arial" w:cs="Arial"/>
                <w:sz w:val="20"/>
                <w:szCs w:val="20"/>
              </w:rPr>
              <w:t>Conference can be scheduled to coincide with the tumour board or with events for referring physicians</w:t>
            </w:r>
          </w:p>
          <w:p>
            <w:pPr>
              <w:numPr>
                <w:ilvl w:val="0"/>
                <w:numId w:val="73"/>
              </w:numPr>
              <w:spacing w:before="0" w:after="19"/>
              <w:ind w:hanging="283" w:left="283" w:right="0"/>
              <w:rPr>
                <w:rFonts w:ascii="Arial" w:hAnsi="Arial" w:cs="Arial"/>
                <w:sz w:val="20"/>
                <w:szCs w:val="20"/>
              </w:rPr>
            </w:pPr>
            <w:r>
              <w:rPr>
                <w:rFonts w:ascii="Arial" w:hAnsi="Arial" w:cs="Arial"/>
                <w:sz w:val="20"/>
                <w:szCs w:val="20"/>
              </w:rPr>
              <w:t>Both negative and positive cases must be presented. M&amp;M conferences must be held twice a year.</w:t>
            </w:r>
          </w:p>
          <w:p>
            <w:pPr>
              <w:numPr>
                <w:ilvl w:val="0"/>
                <w:numId w:val="73"/>
              </w:numPr>
              <w:spacing w:before="0" w:after="19"/>
              <w:ind w:hanging="283" w:left="283"/>
              <w:rPr>
                <w:rFonts w:ascii="Arial" w:hAnsi="Arial" w:cs="Arial"/>
                <w:sz w:val="20"/>
                <w:szCs w:val="20"/>
                <w:lang w:val="ro-RO" w:bidi="ar-SA"/>
              </w:rPr>
            </w:pPr>
            <w:r>
              <w:rPr>
                <w:rFonts w:ascii="Arial" w:hAnsi="Arial" w:cs="Arial"/>
                <w:sz w:val="20"/>
                <w:szCs w:val="20"/>
              </w:rPr>
              <w:t>M&amp;M conferences must be recorded.</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1.3</w:t>
              <w:tab/>
              <w:t xml:space="preserve"> Cooperation referrers and providers of aftercare treatment</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1.3.1</w:t>
            </w:r>
          </w:p>
        </w:tc>
        <w:tc>
          <w:tcPr>
            <w:tcW w:w="1" w:type="dxa"/>
          </w:tcPr>
          <w:p>
            <w:pPr>
              <w:spacing w:before="0" w:after="19"/>
              <w:ind w:left="0" w:right="0"/>
              <w:rPr>
                <w:rFonts w:ascii="Arial" w:hAnsi="Arial" w:cs="Arial"/>
                <w:sz w:val="20"/>
                <w:szCs w:val="20"/>
              </w:rPr>
            </w:pPr>
            <w:r>
              <w:rPr>
                <w:rFonts w:ascii="Arial" w:hAnsi="Arial" w:cs="Arial"/>
                <w:sz w:val="20"/>
                <w:szCs w:val="20"/>
              </w:rPr>
              <w:t>Cooperating referrers</w:t>
            </w:r>
          </w:p>
          <w:p>
            <w:pPr>
              <w:spacing w:before="0" w:after="19"/>
              <w:ind w:left="0" w:right="0"/>
              <w:rPr>
                <w:rFonts w:ascii="Arial" w:hAnsi="Arial" w:cs="Arial"/>
                <w:sz w:val="20"/>
                <w:szCs w:val="20"/>
              </w:rPr>
            </w:pPr>
            <w:r>
              <w:rPr>
                <w:rFonts w:ascii="Arial" w:hAnsi="Arial" w:cs="Arial"/>
                <w:sz w:val="20"/>
                <w:szCs w:val="20"/>
              </w:rPr>
              <w:t>An up-to-date list is to be kept of the cooperating referrers. The referrers are to be informed about cooperation within the Centre with regard to the following details: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Duties of the centre:</w:t>
            </w:r>
          </w:p>
          <w:p>
            <w:pPr>
              <w:numPr>
                <w:ilvl w:val="0"/>
                <w:numId w:val="74"/>
              </w:numPr>
              <w:spacing w:before="0" w:after="19"/>
              <w:ind w:hanging="283" w:left="283" w:right="0"/>
              <w:rPr>
                <w:rFonts w:ascii="Arial" w:hAnsi="Arial" w:cs="Arial"/>
                <w:sz w:val="20"/>
                <w:szCs w:val="20"/>
              </w:rPr>
            </w:pPr>
            <w:r>
              <w:rPr>
                <w:rFonts w:ascii="Arial" w:hAnsi="Arial" w:cs="Arial"/>
                <w:sz w:val="20"/>
                <w:szCs w:val="20"/>
              </w:rPr>
              <w:t>Referrers are entitled to attend the tumour board when their patients are presented.</w:t>
            </w:r>
          </w:p>
          <w:p>
            <w:pPr>
              <w:numPr>
                <w:ilvl w:val="0"/>
                <w:numId w:val="74"/>
              </w:numPr>
              <w:spacing w:before="0" w:after="19"/>
              <w:ind w:hanging="283" w:left="283"/>
              <w:rPr>
                <w:rFonts w:ascii="Arial" w:hAnsi="Arial" w:cs="Arial"/>
                <w:sz w:val="20"/>
                <w:szCs w:val="20"/>
                <w:lang w:val="ro-RO" w:bidi="ar-SA"/>
              </w:rPr>
            </w:pPr>
            <w:r>
              <w:rPr>
                <w:rFonts w:ascii="Arial" w:hAnsi="Arial" w:cs="Arial"/>
                <w:sz w:val="20"/>
                <w:szCs w:val="20"/>
              </w:rPr>
              <w:t>Referrers are to be given the opportunity to present patients in the tumour board.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1.3.2</w:t>
            </w:r>
          </w:p>
        </w:tc>
        <w:tc>
          <w:tcPr>
            <w:tcW w:w="1" w:type="dxa"/>
          </w:tcPr>
          <w:p>
            <w:pPr>
              <w:spacing w:before="0" w:after="19"/>
              <w:ind w:left="0" w:right="0"/>
              <w:rPr>
                <w:rFonts w:ascii="Arial" w:hAnsi="Arial" w:cs="Arial"/>
                <w:sz w:val="20"/>
                <w:szCs w:val="20"/>
              </w:rPr>
            </w:pPr>
            <w:r>
              <w:rPr>
                <w:rFonts w:ascii="Arial" w:hAnsi="Arial" w:cs="Arial"/>
                <w:sz w:val="20"/>
                <w:szCs w:val="20"/>
              </w:rPr>
              <w:t>Contacts</w:t>
            </w:r>
          </w:p>
          <w:p>
            <w:pPr>
              <w:spacing w:before="0" w:after="19"/>
              <w:rPr>
                <w:rFonts w:ascii="Arial" w:hAnsi="Arial" w:cs="Arial"/>
                <w:sz w:val="20"/>
                <w:szCs w:val="20"/>
                <w:lang w:val="ro-RO" w:bidi="ar-SA"/>
              </w:rPr>
            </w:pPr>
            <w:r>
              <w:rPr>
                <w:rFonts w:ascii="Arial" w:hAnsi="Arial" w:cs="Arial"/>
                <w:sz w:val="20"/>
                <w:szCs w:val="20"/>
              </w:rPr>
              <w:t>The Centre's contacts are to be given to the re-ferrers in line with their function (e.g. telephone number, email). This can be done with the re-quired publication of the cooperation partners.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1.3.3</w:t>
            </w:r>
          </w:p>
        </w:tc>
        <w:tc>
          <w:tcPr>
            <w:tcW w:w="1" w:type="dxa"/>
          </w:tcPr>
          <w:p>
            <w:pPr>
              <w:spacing w:before="0" w:after="19"/>
              <w:ind w:left="0" w:right="0"/>
              <w:rPr>
                <w:rFonts w:ascii="Arial" w:hAnsi="Arial" w:cs="Arial"/>
                <w:sz w:val="20"/>
                <w:szCs w:val="20"/>
              </w:rPr>
            </w:pPr>
            <w:r>
              <w:rPr>
                <w:rFonts w:ascii="Arial" w:hAnsi="Arial" w:cs="Arial"/>
                <w:sz w:val="20"/>
                <w:szCs w:val="20"/>
              </w:rPr>
              <w:t>Provision of documents</w:t>
            </w:r>
          </w:p>
          <w:p>
            <w:pPr>
              <w:spacing w:before="0" w:after="19"/>
              <w:ind w:left="0" w:right="0"/>
              <w:rPr>
                <w:rFonts w:ascii="Arial" w:hAnsi="Arial" w:cs="Arial"/>
                <w:sz w:val="20"/>
                <w:szCs w:val="20"/>
              </w:rPr>
            </w:pPr>
            <w:r>
              <w:rPr>
                <w:rFonts w:ascii="Arial" w:hAnsi="Arial" w:cs="Arial"/>
                <w:sz w:val="20"/>
                <w:szCs w:val="20"/>
              </w:rPr>
              <w:t>The following documents must be provided promptly to the person making the referral:</w:t>
            </w:r>
          </w:p>
          <w:p>
            <w:pPr>
              <w:numPr>
                <w:ilvl w:val="0"/>
                <w:numId w:val="75"/>
              </w:numPr>
              <w:spacing w:before="0" w:after="19"/>
              <w:ind w:hanging="283" w:left="283" w:right="0"/>
              <w:rPr>
                <w:rFonts w:ascii="Arial" w:hAnsi="Arial" w:cs="Arial"/>
                <w:sz w:val="20"/>
                <w:szCs w:val="20"/>
              </w:rPr>
            </w:pPr>
            <w:r>
              <w:rPr>
                <w:rFonts w:ascii="Arial" w:hAnsi="Arial" w:cs="Arial"/>
                <w:sz w:val="20"/>
                <w:szCs w:val="20"/>
              </w:rPr>
              <w:t>Histology</w:t>
            </w:r>
          </w:p>
          <w:p>
            <w:pPr>
              <w:numPr>
                <w:ilvl w:val="0"/>
                <w:numId w:val="75"/>
              </w:numPr>
              <w:spacing w:before="0" w:after="19"/>
              <w:ind w:hanging="283" w:left="283" w:right="0"/>
              <w:rPr>
                <w:rFonts w:ascii="Arial" w:hAnsi="Arial" w:cs="Arial"/>
                <w:sz w:val="20"/>
                <w:szCs w:val="20"/>
              </w:rPr>
            </w:pPr>
            <w:r>
              <w:rPr>
                <w:rFonts w:ascii="Arial" w:hAnsi="Arial" w:cs="Arial"/>
                <w:sz w:val="20"/>
                <w:szCs w:val="20"/>
              </w:rPr>
              <w:t>Tumour board protocol/ treatment plan</w:t>
            </w:r>
          </w:p>
          <w:p>
            <w:pPr>
              <w:numPr>
                <w:ilvl w:val="0"/>
                <w:numId w:val="75"/>
              </w:numPr>
              <w:spacing w:before="0" w:after="19"/>
              <w:ind w:hanging="283" w:left="283" w:right="0"/>
              <w:rPr>
                <w:rFonts w:ascii="Arial" w:hAnsi="Arial" w:cs="Arial"/>
                <w:sz w:val="20"/>
                <w:szCs w:val="20"/>
              </w:rPr>
            </w:pPr>
            <w:r>
              <w:rPr>
                <w:rFonts w:ascii="Arial" w:hAnsi="Arial" w:cs="Arial"/>
                <w:sz w:val="20"/>
                <w:szCs w:val="20"/>
              </w:rPr>
              <w:t>Surgical report (optional)</w:t>
            </w:r>
          </w:p>
          <w:p>
            <w:pPr>
              <w:numPr>
                <w:ilvl w:val="0"/>
                <w:numId w:val="75"/>
              </w:numPr>
              <w:spacing w:before="0" w:after="19"/>
              <w:ind w:hanging="283" w:left="283" w:right="0"/>
              <w:rPr>
                <w:rFonts w:ascii="Arial" w:hAnsi="Arial" w:cs="Arial"/>
                <w:sz w:val="20"/>
                <w:szCs w:val="20"/>
              </w:rPr>
            </w:pPr>
            <w:r>
              <w:rPr>
                <w:rFonts w:ascii="Arial" w:hAnsi="Arial" w:cs="Arial"/>
                <w:sz w:val="20"/>
                <w:szCs w:val="20"/>
              </w:rPr>
              <w:t>Doctor's letter/ discharge letter</w:t>
            </w:r>
          </w:p>
          <w:p>
            <w:pPr>
              <w:numPr>
                <w:ilvl w:val="0"/>
                <w:numId w:val="75"/>
              </w:numPr>
              <w:spacing w:before="0" w:after="19"/>
              <w:ind w:hanging="283" w:left="283"/>
              <w:rPr>
                <w:rFonts w:ascii="Arial" w:hAnsi="Arial" w:cs="Arial"/>
                <w:sz w:val="20"/>
                <w:szCs w:val="20"/>
                <w:lang w:val="ro-RO" w:bidi="ar-SA"/>
              </w:rPr>
            </w:pPr>
            <w:r>
              <w:rPr>
                <w:rFonts w:ascii="Arial" w:hAnsi="Arial" w:cs="Arial"/>
                <w:sz w:val="20"/>
                <w:szCs w:val="20"/>
              </w:rPr>
              <w:t>Changes to therapy</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1.3.4</w:t>
            </w:r>
          </w:p>
        </w:tc>
        <w:tc>
          <w:tcPr>
            <w:tcW w:w="1" w:type="dxa"/>
          </w:tcPr>
          <w:p>
            <w:pPr>
              <w:spacing w:before="0" w:after="19"/>
              <w:ind w:left="0" w:right="0"/>
              <w:rPr>
                <w:rFonts w:ascii="Arial" w:hAnsi="Arial" w:cs="Arial"/>
                <w:sz w:val="20"/>
                <w:szCs w:val="20"/>
              </w:rPr>
            </w:pPr>
            <w:r>
              <w:rPr>
                <w:rFonts w:ascii="Arial" w:hAnsi="Arial" w:cs="Arial"/>
                <w:sz w:val="20"/>
                <w:szCs w:val="20"/>
              </w:rPr>
              <w:t>Feedback system</w:t>
            </w:r>
          </w:p>
          <w:p>
            <w:pPr>
              <w:spacing w:before="0" w:after="19"/>
              <w:rPr>
                <w:rFonts w:ascii="Arial" w:hAnsi="Arial" w:cs="Arial"/>
                <w:sz w:val="20"/>
                <w:szCs w:val="20"/>
                <w:lang w:val="ro-RO" w:bidi="ar-SA"/>
              </w:rPr>
            </w:pPr>
            <w:r>
              <w:rPr>
                <w:rFonts w:ascii="Arial" w:hAnsi="Arial" w:cs="Arial"/>
                <w:sz w:val="20"/>
                <w:szCs w:val="20"/>
              </w:rPr>
              <w:t>A written procedure must be set up for the recording, processing and feedback of general and case-related concerns/ questions/ complications from referring physicians.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1.3.5</w:t>
            </w:r>
          </w:p>
        </w:tc>
        <w:tc>
          <w:tcPr>
            <w:tcW w:w="1" w:type="dxa"/>
          </w:tcPr>
          <w:p>
            <w:pPr>
              <w:spacing w:before="0" w:after="19"/>
              <w:ind w:left="0" w:right="0"/>
              <w:rPr>
                <w:rFonts w:ascii="Arial" w:hAnsi="Arial" w:cs="Arial"/>
                <w:sz w:val="20"/>
                <w:szCs w:val="20"/>
              </w:rPr>
            </w:pPr>
            <w:r>
              <w:rPr>
                <w:rFonts w:ascii="Arial" w:hAnsi="Arial" w:cs="Arial"/>
                <w:sz w:val="20"/>
                <w:szCs w:val="20"/>
              </w:rPr>
              <w:t>Referrer satisfaction Catalogue of Requirements</w:t>
            </w:r>
          </w:p>
          <w:p>
            <w:pPr>
              <w:numPr>
                <w:ilvl w:val="0"/>
                <w:numId w:val="76"/>
              </w:numPr>
              <w:spacing w:before="0" w:after="19"/>
              <w:ind w:hanging="283" w:left="283" w:right="0"/>
              <w:rPr>
                <w:rFonts w:ascii="Arial" w:hAnsi="Arial" w:cs="Arial"/>
                <w:sz w:val="20"/>
                <w:szCs w:val="20"/>
              </w:rPr>
            </w:pPr>
            <w:r>
              <w:rPr>
                <w:rFonts w:ascii="Arial" w:hAnsi="Arial" w:cs="Arial"/>
                <w:sz w:val="20"/>
                <w:szCs w:val="20"/>
              </w:rPr>
              <w:t>Every three years a referrer satisfaction survey must be conducted. The results of this survey are to be evaluated and analysed. A cross-department survey can be recognised.</w:t>
            </w:r>
          </w:p>
          <w:p>
            <w:pPr>
              <w:numPr>
                <w:ilvl w:val="0"/>
                <w:numId w:val="76"/>
              </w:numPr>
              <w:spacing w:before="0" w:after="19"/>
              <w:ind w:hanging="283" w:left="283"/>
              <w:rPr>
                <w:rFonts w:ascii="Arial" w:hAnsi="Arial" w:cs="Arial"/>
                <w:sz w:val="20"/>
                <w:szCs w:val="20"/>
                <w:lang w:val="ro-RO" w:bidi="ar-SA"/>
              </w:rPr>
            </w:pPr>
            <w:r>
              <w:rPr>
                <w:rFonts w:ascii="Arial" w:hAnsi="Arial" w:cs="Arial"/>
                <w:sz w:val="20"/>
                <w:szCs w:val="20"/>
              </w:rPr>
              <w:t>The referrer satisfaction survey must be available for the first time for the first surveillance audit (1 year after initial certification).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1.3.6</w:t>
            </w:r>
          </w:p>
        </w:tc>
        <w:tc>
          <w:tcPr>
            <w:tcW w:w="1" w:type="dxa"/>
          </w:tcPr>
          <w:p>
            <w:pPr>
              <w:spacing w:before="0" w:after="19"/>
              <w:ind w:left="0" w:right="0"/>
              <w:rPr>
                <w:rFonts w:ascii="Arial" w:hAnsi="Arial" w:cs="Arial"/>
                <w:sz w:val="20"/>
                <w:szCs w:val="20"/>
              </w:rPr>
            </w:pPr>
            <w:r>
              <w:rPr>
                <w:rFonts w:ascii="Arial" w:hAnsi="Arial" w:cs="Arial"/>
                <w:sz w:val="20"/>
                <w:szCs w:val="20"/>
              </w:rPr>
              <w:t>Continuing education</w:t>
            </w:r>
          </w:p>
          <w:p>
            <w:pPr>
              <w:spacing w:before="0" w:after="19"/>
              <w:rPr>
                <w:rFonts w:ascii="Arial" w:hAnsi="Arial" w:cs="Arial"/>
                <w:sz w:val="20"/>
                <w:szCs w:val="20"/>
                <w:lang w:val="ro-RO" w:bidi="ar-SA"/>
              </w:rPr>
            </w:pPr>
            <w:r>
              <w:rPr>
                <w:rFonts w:ascii="Arial" w:hAnsi="Arial" w:cs="Arial"/>
                <w:sz w:val="20"/>
                <w:szCs w:val="20"/>
              </w:rPr>
              <w:t>Events for the exchange of experience and continuing education events are to be proposed at least twice a year by the Centre. Contents/ results and participation are to be recorded.</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1.4</w:t>
              <w:tab/>
              <w:t xml:space="preserve"> Psycho-oncology</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1.4.1</w:t>
            </w:r>
          </w:p>
        </w:tc>
        <w:tc>
          <w:tcPr>
            <w:tcW w:w="1" w:type="dxa"/>
          </w:tcPr>
          <w:p>
            <w:pPr>
              <w:spacing w:before="0" w:after="19"/>
              <w:ind w:left="0" w:right="0"/>
              <w:rPr>
                <w:rFonts w:ascii="Arial" w:hAnsi="Arial" w:cs="Arial"/>
                <w:sz w:val="20"/>
                <w:szCs w:val="20"/>
              </w:rPr>
            </w:pPr>
            <w:r>
              <w:rPr>
                <w:rFonts w:ascii="Arial" w:hAnsi="Arial" w:cs="Arial"/>
                <w:sz w:val="20"/>
                <w:szCs w:val="20"/>
              </w:rPr>
              <w:t>Psycho-oncology qualification</w:t>
            </w:r>
          </w:p>
          <w:p>
            <w:pPr>
              <w:numPr>
                <w:ilvl w:val="0"/>
                <w:numId w:val="77"/>
              </w:numPr>
              <w:spacing w:before="0" w:after="19"/>
              <w:ind w:hanging="283" w:left="283" w:right="0"/>
              <w:rPr>
                <w:rFonts w:ascii="Arial" w:hAnsi="Arial" w:cs="Arial"/>
                <w:sz w:val="20"/>
                <w:szCs w:val="20"/>
              </w:rPr>
            </w:pPr>
            <w:r>
              <w:rPr>
                <w:rFonts w:ascii="Arial" w:hAnsi="Arial" w:cs="Arial"/>
                <w:sz w:val="20"/>
                <w:szCs w:val="20"/>
              </w:rPr>
              <w:t>Diploma/ Master's degree in psychology that qualifies for a scientifically recognised psychotherapy method,</w:t>
            </w:r>
          </w:p>
          <w:p>
            <w:pPr>
              <w:numPr>
                <w:ilvl w:val="0"/>
                <w:numId w:val="77"/>
              </w:numPr>
              <w:spacing w:before="0" w:after="19"/>
              <w:ind w:hanging="283" w:left="283" w:right="0"/>
              <w:rPr>
                <w:rFonts w:ascii="Arial" w:hAnsi="Arial" w:cs="Arial"/>
                <w:sz w:val="20"/>
                <w:szCs w:val="20"/>
              </w:rPr>
            </w:pPr>
            <w:r>
              <w:rPr>
                <w:rFonts w:ascii="Arial" w:hAnsi="Arial" w:cs="Arial"/>
                <w:sz w:val="20"/>
                <w:szCs w:val="20"/>
              </w:rPr>
              <w:t>Physicians,</w:t>
            </w:r>
          </w:p>
          <w:p>
            <w:pPr>
              <w:numPr>
                <w:ilvl w:val="0"/>
                <w:numId w:val="77"/>
              </w:numPr>
              <w:spacing w:before="0" w:after="19"/>
              <w:ind w:hanging="283" w:left="283" w:right="0"/>
              <w:rPr>
                <w:rFonts w:ascii="Arial" w:hAnsi="Arial" w:cs="Arial"/>
                <w:sz w:val="20"/>
                <w:szCs w:val="20"/>
              </w:rPr>
            </w:pPr>
            <w:r>
              <w:rPr>
                <w:rFonts w:ascii="Arial" w:hAnsi="Arial" w:cs="Arial"/>
                <w:sz w:val="20"/>
                <w:szCs w:val="20"/>
              </w:rPr>
              <w:t>Diploma/ Master's degree in social pedagogy, qualified for a scientifically recognised psychotherapy method,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with at least 1 psychotherapeutic specialty training : behavioural therapy, psychodynamic psychotherapy (analytical psychotherapy and depth psychology-based psychotherapy), systemic therapy, neuropsychological therapy (for psychological disorders caused by brain injuries), interpersonal therapy (IPT; for affective disorders and eating disorders), EMDR for the treatment of post-traumatic stress disorders, hypnotherapy for addiction disorders and for the psychotherapeutic co-treatment of somatic diseases and psycho-oncological training (DKG-recognised)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Grandfathering for all those who are currently recognised and those who have started DKG-recognised psycho-oncological training by 31 December 2019.</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Licence to practise: At least 1 person in the psycho-oncological team of the network (inpatient or outpatient) must be licensed (psychological or medical psychotherapist).</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Representatives of other psychosocial professions may be authorised if they can provide proof of the above-mentioned additional qualifications. A case-by-case assessment is required for this.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1.4.2</w:t>
            </w:r>
          </w:p>
        </w:tc>
        <w:tc>
          <w:tcPr>
            <w:tcW w:w="1" w:type="dxa"/>
          </w:tcPr>
          <w:p>
            <w:pPr>
              <w:spacing w:before="0" w:after="19"/>
              <w:ind w:left="0" w:right="0"/>
              <w:rPr>
                <w:rFonts w:ascii="Arial" w:hAnsi="Arial" w:cs="Arial"/>
                <w:sz w:val="20"/>
                <w:szCs w:val="20"/>
              </w:rPr>
            </w:pPr>
            <w:r>
              <w:rPr>
                <w:rFonts w:ascii="Arial" w:hAnsi="Arial" w:cs="Arial"/>
                <w:sz w:val="20"/>
                <w:szCs w:val="20"/>
              </w:rPr>
              <w:t>Offer and access</w:t>
            </w:r>
          </w:p>
          <w:p>
            <w:pPr>
              <w:spacing w:before="0" w:after="19"/>
              <w:ind w:left="0" w:right="0"/>
              <w:rPr>
                <w:rFonts w:ascii="Arial" w:hAnsi="Arial" w:cs="Arial"/>
                <w:sz w:val="20"/>
                <w:szCs w:val="20"/>
              </w:rPr>
            </w:pPr>
            <w:r>
              <w:rPr>
                <w:rFonts w:ascii="Arial" w:hAnsi="Arial" w:cs="Arial"/>
                <w:sz w:val="20"/>
                <w:szCs w:val="20"/>
              </w:rPr>
              <w:t>Each patient must be offered the option of psycho-oncological counselling in a timely manner in the vicinity. The offer must be made in a low-threshold manner.</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Documentation and evaluation</w:t>
            </w:r>
          </w:p>
          <w:p>
            <w:pPr>
              <w:spacing w:before="0" w:after="19"/>
              <w:ind w:left="0" w:right="0"/>
              <w:rPr>
                <w:rFonts w:ascii="Arial" w:hAnsi="Arial" w:cs="Arial"/>
                <w:sz w:val="20"/>
                <w:szCs w:val="20"/>
              </w:rPr>
            </w:pPr>
            <w:r>
              <w:rPr>
                <w:rFonts w:ascii="Arial" w:hAnsi="Arial" w:cs="Arial"/>
                <w:sz w:val="20"/>
                <w:szCs w:val="20"/>
              </w:rPr>
              <w:t>To identify treatment needs it is necessary to conduct standardised screening for mental strain (see Indicator "Psycho-oncological distress screening"), and to document the result. The proportion of patients subjected to distress over-threshold screening should be reported.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Psycho-oncological counselling</w:t>
            </w:r>
          </w:p>
          <w:p>
            <w:pPr>
              <w:spacing w:before="0" w:after="19"/>
              <w:ind w:left="0" w:right="0"/>
              <w:rPr>
                <w:rFonts w:ascii="Arial" w:hAnsi="Arial" w:cs="Arial"/>
                <w:sz w:val="20"/>
                <w:szCs w:val="20"/>
              </w:rPr>
            </w:pPr>
            <w:r>
              <w:rPr>
                <w:rFonts w:ascii="Arial" w:hAnsi="Arial" w:cs="Arial"/>
                <w:sz w:val="20"/>
                <w:szCs w:val="20"/>
              </w:rPr>
              <w:t>Psycho-oncological care, in particular for patients with excessive stress in the distress screening, must be presented.</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1.4.3</w:t>
            </w:r>
          </w:p>
        </w:tc>
        <w:tc>
          <w:tcPr>
            <w:tcW w:w="1" w:type="dxa"/>
          </w:tcPr>
          <w:p>
            <w:pPr>
              <w:spacing w:before="0" w:after="19"/>
              <w:ind w:left="0" w:right="0"/>
              <w:rPr>
                <w:rFonts w:ascii="Arial" w:hAnsi="Arial" w:cs="Arial"/>
                <w:sz w:val="20"/>
                <w:szCs w:val="20"/>
              </w:rPr>
            </w:pPr>
            <w:r>
              <w:rPr>
                <w:rFonts w:ascii="Arial" w:hAnsi="Arial" w:cs="Arial"/>
                <w:sz w:val="20"/>
                <w:szCs w:val="20"/>
              </w:rPr>
              <w:t>Psycho-oncology resources</w:t>
            </w:r>
          </w:p>
          <w:p>
            <w:pPr>
              <w:spacing w:before="0" w:after="19"/>
              <w:rPr>
                <w:rFonts w:ascii="Arial" w:hAnsi="Arial" w:cs="Arial"/>
                <w:sz w:val="20"/>
                <w:szCs w:val="20"/>
                <w:lang w:val="ro-RO" w:bidi="ar-SA"/>
              </w:rPr>
            </w:pPr>
            <w:r>
              <w:rPr>
                <w:rFonts w:ascii="Arial" w:hAnsi="Arial" w:cs="Arial"/>
                <w:sz w:val="20"/>
                <w:szCs w:val="20"/>
              </w:rPr>
              <w:t>At least 1 psycho-oncologist with the above-mentioned qualifications is available to the centre (by name).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1.4.4</w:t>
            </w:r>
          </w:p>
        </w:tc>
        <w:tc>
          <w:tcPr>
            <w:tcW w:w="1" w:type="dxa"/>
          </w:tcPr>
          <w:p>
            <w:pPr>
              <w:spacing w:before="0" w:after="19"/>
              <w:ind w:left="0" w:right="0"/>
              <w:rPr>
                <w:rFonts w:ascii="Arial" w:hAnsi="Arial" w:cs="Arial"/>
                <w:sz w:val="20"/>
                <w:szCs w:val="20"/>
              </w:rPr>
            </w:pPr>
            <w:r>
              <w:rPr>
                <w:rFonts w:ascii="Arial" w:hAnsi="Arial" w:cs="Arial"/>
                <w:sz w:val="20"/>
                <w:szCs w:val="20"/>
              </w:rPr>
              <w:t>Scope of supply</w:t>
            </w:r>
          </w:p>
          <w:p>
            <w:pPr>
              <w:numPr>
                <w:ilvl w:val="0"/>
                <w:numId w:val="78"/>
              </w:numPr>
              <w:spacing w:before="0" w:after="19"/>
              <w:ind w:hanging="283" w:left="283" w:right="0"/>
              <w:rPr>
                <w:rFonts w:ascii="Arial" w:hAnsi="Arial" w:cs="Arial"/>
                <w:sz w:val="20"/>
                <w:szCs w:val="20"/>
              </w:rPr>
            </w:pPr>
            <w:r>
              <w:rPr>
                <w:rFonts w:ascii="Arial" w:hAnsi="Arial" w:cs="Arial"/>
                <w:sz w:val="20"/>
                <w:szCs w:val="20"/>
              </w:rPr>
              <w:t>The number of patients who have received psycho-oncological care must be recorded.</w:t>
            </w:r>
          </w:p>
          <w:p>
            <w:pPr>
              <w:numPr>
                <w:ilvl w:val="0"/>
                <w:numId w:val="78"/>
              </w:numPr>
              <w:spacing w:before="0" w:after="19"/>
              <w:ind w:hanging="283" w:left="283"/>
              <w:rPr>
                <w:rFonts w:ascii="Arial" w:hAnsi="Arial" w:cs="Arial"/>
                <w:sz w:val="20"/>
                <w:szCs w:val="20"/>
                <w:lang w:val="ro-RO" w:bidi="ar-SA"/>
              </w:rPr>
            </w:pPr>
            <w:r>
              <w:rPr>
                <w:rFonts w:ascii="Arial" w:hAnsi="Arial" w:cs="Arial"/>
                <w:sz w:val="20"/>
                <w:szCs w:val="20"/>
              </w:rPr>
              <w:t>The frequency and duration of the conversations must be recorded.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1.4.5</w:t>
            </w:r>
          </w:p>
        </w:tc>
        <w:tc>
          <w:tcPr>
            <w:tcW w:w="1" w:type="dxa"/>
          </w:tcPr>
          <w:p>
            <w:pPr>
              <w:spacing w:before="0" w:after="19"/>
              <w:ind w:left="0" w:right="0"/>
              <w:rPr>
                <w:rFonts w:ascii="Arial" w:hAnsi="Arial" w:cs="Arial"/>
                <w:sz w:val="20"/>
                <w:szCs w:val="20"/>
              </w:rPr>
            </w:pPr>
            <w:r>
              <w:rPr>
                <w:rFonts w:ascii="Arial" w:hAnsi="Arial" w:cs="Arial"/>
                <w:sz w:val="20"/>
                <w:szCs w:val="20"/>
              </w:rPr>
              <w:t>Premises</w:t>
            </w:r>
          </w:p>
          <w:p>
            <w:pPr>
              <w:spacing w:before="0" w:after="19"/>
              <w:rPr>
                <w:rFonts w:ascii="Arial" w:hAnsi="Arial" w:cs="Arial"/>
                <w:sz w:val="20"/>
                <w:szCs w:val="20"/>
                <w:lang w:val="ro-RO" w:bidi="ar-SA"/>
              </w:rPr>
            </w:pPr>
            <w:r>
              <w:rPr>
                <w:rFonts w:ascii="Arial" w:hAnsi="Arial" w:cs="Arial"/>
                <w:sz w:val="20"/>
                <w:szCs w:val="20"/>
              </w:rPr>
              <w:t>A suitable room must be provided for psycho-oncological patient consultations.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1.4.6</w:t>
            </w:r>
          </w:p>
        </w:tc>
        <w:tc>
          <w:tcPr>
            <w:tcW w:w="1" w:type="dxa"/>
          </w:tcPr>
          <w:p>
            <w:pPr>
              <w:spacing w:before="0" w:after="19"/>
              <w:ind w:left="0" w:right="0"/>
              <w:rPr>
                <w:rFonts w:ascii="Arial" w:hAnsi="Arial" w:cs="Arial"/>
                <w:sz w:val="20"/>
                <w:szCs w:val="20"/>
              </w:rPr>
            </w:pPr>
            <w:r>
              <w:rPr>
                <w:rFonts w:ascii="Arial" w:hAnsi="Arial" w:cs="Arial"/>
                <w:sz w:val="20"/>
                <w:szCs w:val="20"/>
              </w:rPr>
              <w:t>Organisation plan</w:t>
            </w:r>
          </w:p>
          <w:p>
            <w:pPr>
              <w:spacing w:before="0" w:after="19"/>
              <w:rPr>
                <w:rFonts w:ascii="Arial" w:hAnsi="Arial" w:cs="Arial"/>
                <w:sz w:val="20"/>
                <w:szCs w:val="20"/>
                <w:lang w:val="ro-RO" w:bidi="ar-SA"/>
              </w:rPr>
            </w:pPr>
            <w:r>
              <w:rPr>
                <w:rFonts w:ascii="Arial" w:hAnsi="Arial" w:cs="Arial"/>
                <w:sz w:val="20"/>
                <w:szCs w:val="20"/>
              </w:rPr>
              <w:t>The performance of tasks is to be regulated by an organisational plan in which, among other things, the availability of resources and the local presence can be seen.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1.4.7.a</w:t>
            </w:r>
          </w:p>
        </w:tc>
        <w:tc>
          <w:tcPr>
            <w:tcW w:w="1" w:type="dxa"/>
          </w:tcPr>
          <w:p>
            <w:pPr>
              <w:spacing w:before="0" w:after="19"/>
              <w:ind w:left="0" w:right="0"/>
              <w:rPr>
                <w:rFonts w:ascii="Arial" w:hAnsi="Arial" w:cs="Arial"/>
                <w:sz w:val="20"/>
                <w:szCs w:val="20"/>
              </w:rPr>
            </w:pPr>
            <w:r>
              <w:rPr>
                <w:rFonts w:ascii="Arial" w:hAnsi="Arial" w:cs="Arial"/>
                <w:sz w:val="20"/>
                <w:szCs w:val="20"/>
              </w:rPr>
              <w:t>Psycho-oncology - task profile</w:t>
            </w:r>
          </w:p>
          <w:p>
            <w:pPr>
              <w:spacing w:before="0" w:after="19"/>
              <w:rPr>
                <w:rFonts w:ascii="Arial" w:hAnsi="Arial" w:cs="Arial"/>
                <w:sz w:val="20"/>
                <w:szCs w:val="20"/>
                <w:lang w:val="ro-RO" w:bidi="ar-SA"/>
              </w:rPr>
            </w:pPr>
            <w:r>
              <w:rPr>
                <w:rFonts w:ascii="Arial" w:hAnsi="Arial" w:cs="Arial"/>
                <w:sz w:val="20"/>
                <w:szCs w:val="20"/>
              </w:rPr>
              <w:t>Psycho-oncological care for patients must be offered in all phases of care (diagnosis, inpatient, post-inpatient).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1.4.7.b</w:t>
            </w:r>
          </w:p>
        </w:tc>
        <w:tc>
          <w:tcPr>
            <w:tcW w:w="1" w:type="dxa"/>
          </w:tcPr>
          <w:p>
            <w:pPr>
              <w:spacing w:before="0" w:after="19"/>
              <w:ind w:left="0" w:right="0"/>
              <w:rPr>
                <w:rFonts w:ascii="Arial" w:hAnsi="Arial" w:cs="Arial"/>
                <w:sz w:val="20"/>
                <w:szCs w:val="20"/>
              </w:rPr>
            </w:pPr>
            <w:r>
              <w:rPr>
                <w:rFonts w:ascii="Arial" w:hAnsi="Arial" w:cs="Arial"/>
                <w:sz w:val="20"/>
                <w:szCs w:val="20"/>
              </w:rPr>
              <w:t>Goals and tasks of care:</w:t>
            </w:r>
          </w:p>
          <w:p>
            <w:pPr>
              <w:numPr>
                <w:ilvl w:val="0"/>
                <w:numId w:val="79"/>
              </w:numPr>
              <w:spacing w:before="0" w:after="19"/>
              <w:ind w:hanging="283" w:left="283" w:right="0"/>
              <w:rPr>
                <w:rFonts w:ascii="Arial" w:hAnsi="Arial" w:cs="Arial"/>
                <w:sz w:val="20"/>
                <w:szCs w:val="20"/>
              </w:rPr>
            </w:pPr>
            <w:r>
              <w:rPr>
                <w:rFonts w:ascii="Arial" w:hAnsi="Arial" w:cs="Arial"/>
                <w:sz w:val="20"/>
                <w:szCs w:val="20"/>
              </w:rPr>
              <w:t>Diagnostic clarification after positive screening</w:t>
            </w:r>
          </w:p>
          <w:p>
            <w:pPr>
              <w:numPr>
                <w:ilvl w:val="0"/>
                <w:numId w:val="79"/>
              </w:numPr>
              <w:spacing w:before="0" w:after="19"/>
              <w:ind w:hanging="283" w:left="283" w:right="0"/>
              <w:rPr>
                <w:rFonts w:ascii="Arial" w:hAnsi="Arial" w:cs="Arial"/>
                <w:sz w:val="20"/>
                <w:szCs w:val="20"/>
              </w:rPr>
            </w:pPr>
            <w:r>
              <w:rPr>
                <w:rFonts w:ascii="Arial" w:hAnsi="Arial" w:cs="Arial"/>
                <w:sz w:val="20"/>
                <w:szCs w:val="20"/>
              </w:rPr>
              <w:t>Prevention/ treatment of secondary psychosocial problems</w:t>
            </w:r>
          </w:p>
          <w:p>
            <w:pPr>
              <w:numPr>
                <w:ilvl w:val="0"/>
                <w:numId w:val="79"/>
              </w:numPr>
              <w:spacing w:before="0" w:after="19"/>
              <w:ind w:hanging="283" w:left="283" w:right="0"/>
              <w:rPr>
                <w:rFonts w:ascii="Arial" w:hAnsi="Arial" w:cs="Arial"/>
                <w:sz w:val="20"/>
                <w:szCs w:val="20"/>
              </w:rPr>
            </w:pPr>
            <w:r>
              <w:rPr>
                <w:rFonts w:ascii="Arial" w:hAnsi="Arial" w:cs="Arial"/>
                <w:sz w:val="20"/>
                <w:szCs w:val="20"/>
              </w:rPr>
              <w:t>Activation of personal coping resources</w:t>
            </w:r>
          </w:p>
          <w:p>
            <w:pPr>
              <w:numPr>
                <w:ilvl w:val="0"/>
                <w:numId w:val="79"/>
              </w:numPr>
              <w:spacing w:before="0" w:after="19"/>
              <w:ind w:hanging="283" w:left="283" w:right="0"/>
              <w:rPr>
                <w:rFonts w:ascii="Arial" w:hAnsi="Arial" w:cs="Arial"/>
                <w:sz w:val="20"/>
                <w:szCs w:val="20"/>
              </w:rPr>
            </w:pPr>
            <w:r>
              <w:rPr>
                <w:rFonts w:ascii="Arial" w:hAnsi="Arial" w:cs="Arial"/>
                <w:sz w:val="20"/>
                <w:szCs w:val="20"/>
              </w:rPr>
              <w:t>Maintaining the quality of life</w:t>
            </w:r>
          </w:p>
          <w:p>
            <w:pPr>
              <w:numPr>
                <w:ilvl w:val="0"/>
                <w:numId w:val="79"/>
              </w:numPr>
              <w:spacing w:before="0" w:after="19"/>
              <w:ind w:hanging="283" w:left="283" w:right="0"/>
              <w:rPr>
                <w:rFonts w:ascii="Arial" w:hAnsi="Arial" w:cs="Arial"/>
                <w:sz w:val="20"/>
                <w:szCs w:val="20"/>
              </w:rPr>
            </w:pPr>
            <w:r>
              <w:rPr>
                <w:rFonts w:ascii="Arial" w:hAnsi="Arial" w:cs="Arial"/>
                <w:sz w:val="20"/>
                <w:szCs w:val="20"/>
              </w:rPr>
              <w:t>Consideration of the social environment</w:t>
            </w:r>
          </w:p>
          <w:p>
            <w:pPr>
              <w:numPr>
                <w:ilvl w:val="0"/>
                <w:numId w:val="79"/>
              </w:numPr>
              <w:spacing w:before="0" w:after="19"/>
              <w:ind w:hanging="283" w:left="283" w:right="0"/>
              <w:rPr>
                <w:rFonts w:ascii="Arial" w:hAnsi="Arial" w:cs="Arial"/>
                <w:sz w:val="20"/>
                <w:szCs w:val="20"/>
              </w:rPr>
            </w:pPr>
            <w:r>
              <w:rPr>
                <w:rFonts w:ascii="Arial" w:hAnsi="Arial" w:cs="Arial"/>
                <w:sz w:val="20"/>
                <w:szCs w:val="20"/>
              </w:rPr>
              <w:t>Organisation of further outpatient care through cooperation with outpatient psycho-oncological service providers</w:t>
            </w:r>
          </w:p>
          <w:p>
            <w:pPr>
              <w:numPr>
                <w:ilvl w:val="0"/>
                <w:numId w:val="79"/>
              </w:numPr>
              <w:spacing w:before="0" w:after="19"/>
              <w:ind w:hanging="283" w:left="283" w:right="0"/>
              <w:rPr>
                <w:rFonts w:ascii="Arial" w:hAnsi="Arial" w:cs="Arial"/>
                <w:sz w:val="20"/>
                <w:szCs w:val="20"/>
              </w:rPr>
            </w:pPr>
            <w:r>
              <w:rPr>
                <w:rFonts w:ascii="Arial" w:hAnsi="Arial" w:cs="Arial"/>
                <w:sz w:val="20"/>
                <w:szCs w:val="20"/>
              </w:rPr>
              <w:t>Public relations work (patient event, etc.)</w:t>
            </w:r>
          </w:p>
          <w:p>
            <w:pPr>
              <w:numPr>
                <w:ilvl w:val="0"/>
                <w:numId w:val="79"/>
              </w:numPr>
              <w:spacing w:before="0" w:after="19"/>
              <w:ind w:hanging="283" w:left="283"/>
              <w:rPr>
                <w:rFonts w:ascii="Arial" w:hAnsi="Arial" w:cs="Arial"/>
                <w:sz w:val="20"/>
                <w:szCs w:val="20"/>
                <w:lang w:val="ro-RO" w:bidi="ar-SA"/>
              </w:rPr>
            </w:pPr>
            <w:r>
              <w:rPr>
                <w:rFonts w:ascii="Arial" w:hAnsi="Arial" w:cs="Arial"/>
                <w:sz w:val="20"/>
                <w:szCs w:val="20"/>
              </w:rPr>
              <w:t>Management of the psychosocial quality circle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1.4.7.c</w:t>
            </w:r>
          </w:p>
        </w:tc>
        <w:tc>
          <w:tcPr>
            <w:tcW w:w="1" w:type="dxa"/>
          </w:tcPr>
          <w:p>
            <w:pPr>
              <w:spacing w:before="0" w:after="19"/>
              <w:ind w:left="0" w:right="0"/>
              <w:rPr>
                <w:rFonts w:ascii="Arial" w:hAnsi="Arial" w:cs="Arial"/>
                <w:sz w:val="20"/>
                <w:szCs w:val="20"/>
              </w:rPr>
            </w:pPr>
            <w:r>
              <w:rPr>
                <w:rFonts w:ascii="Arial" w:hAnsi="Arial" w:cs="Arial"/>
                <w:sz w:val="20"/>
                <w:szCs w:val="20"/>
              </w:rPr>
              <w:t>Recommended:</w:t>
            </w:r>
          </w:p>
          <w:p>
            <w:pPr>
              <w:numPr>
                <w:ilvl w:val="0"/>
                <w:numId w:val="80"/>
              </w:numPr>
              <w:spacing w:before="0" w:after="19"/>
              <w:ind w:hanging="283" w:left="283" w:right="0"/>
              <w:rPr>
                <w:rFonts w:ascii="Arial" w:hAnsi="Arial" w:cs="Arial"/>
                <w:sz w:val="20"/>
                <w:szCs w:val="20"/>
              </w:rPr>
            </w:pPr>
            <w:r>
              <w:rPr>
                <w:rFonts w:ascii="Arial" w:hAnsi="Arial" w:cs="Arial"/>
                <w:sz w:val="20"/>
                <w:szCs w:val="20"/>
              </w:rPr>
              <w:t>To offer and coordinate the implementation of supervision, further education and training programmes for employees.</w:t>
            </w:r>
          </w:p>
          <w:p>
            <w:pPr>
              <w:numPr>
                <w:ilvl w:val="0"/>
                <w:numId w:val="80"/>
              </w:numPr>
              <w:spacing w:before="0" w:after="19"/>
              <w:ind w:hanging="283" w:left="283" w:right="0"/>
              <w:rPr>
                <w:rFonts w:ascii="Arial" w:hAnsi="Arial" w:cs="Arial"/>
                <w:sz w:val="20"/>
                <w:szCs w:val="20"/>
              </w:rPr>
            </w:pPr>
            <w:r>
              <w:rPr>
                <w:rFonts w:ascii="Arial" w:hAnsi="Arial" w:cs="Arial"/>
                <w:sz w:val="20"/>
                <w:szCs w:val="20"/>
              </w:rPr>
              <w:t>A twice-yearly meeting between psycho-oncologists and the nursing and medical staff.</w:t>
            </w:r>
          </w:p>
          <w:p>
            <w:pPr>
              <w:numPr>
                <w:ilvl w:val="0"/>
                <w:numId w:val="80"/>
              </w:numPr>
              <w:spacing w:before="0" w:after="19"/>
              <w:ind w:hanging="283" w:left="283" w:right="0"/>
              <w:rPr>
                <w:rFonts w:ascii="Arial" w:hAnsi="Arial" w:cs="Arial"/>
                <w:sz w:val="20"/>
                <w:szCs w:val="20"/>
              </w:rPr>
            </w:pPr>
            <w:r>
              <w:rPr>
                <w:rFonts w:ascii="Arial" w:hAnsi="Arial" w:cs="Arial"/>
                <w:sz w:val="20"/>
                <w:szCs w:val="20"/>
              </w:rPr>
              <w:t>Regular written and, if necessary, verbal feedback on psycho-oncological activities to the medical practitioners (e.g. consultation report or documentation in the medical file).</w:t>
            </w:r>
          </w:p>
          <w:p>
            <w:pPr>
              <w:numPr>
                <w:ilvl w:val="0"/>
                <w:numId w:val="80"/>
              </w:numPr>
              <w:spacing w:before="0" w:after="19"/>
              <w:ind w:hanging="283" w:left="283" w:right="0"/>
              <w:rPr>
                <w:rFonts w:ascii="Arial" w:hAnsi="Arial" w:cs="Arial"/>
                <w:sz w:val="20"/>
                <w:szCs w:val="20"/>
              </w:rPr>
            </w:pPr>
            <w:r>
              <w:rPr>
                <w:rFonts w:ascii="Arial" w:hAnsi="Arial" w:cs="Arial"/>
                <w:sz w:val="20"/>
                <w:szCs w:val="20"/>
              </w:rPr>
              <w:t>Regular participation in ward conferences and tumour boards.</w:t>
            </w:r>
          </w:p>
          <w:p>
            <w:pPr>
              <w:numPr>
                <w:ilvl w:val="0"/>
                <w:numId w:val="80"/>
              </w:numPr>
              <w:spacing w:before="0" w:after="19"/>
              <w:ind w:hanging="283" w:left="283" w:right="0"/>
              <w:rPr>
                <w:rFonts w:ascii="Arial" w:hAnsi="Arial" w:cs="Arial"/>
                <w:sz w:val="20"/>
                <w:szCs w:val="20"/>
              </w:rPr>
            </w:pPr>
            <w:r>
              <w:rPr>
                <w:rFonts w:ascii="Arial" w:hAnsi="Arial" w:cs="Arial"/>
                <w:sz w:val="20"/>
                <w:szCs w:val="20"/>
              </w:rPr>
              <w:t>Cooperation with social services and other centres.</w:t>
            </w:r>
          </w:p>
          <w:p>
            <w:pPr>
              <w:numPr>
                <w:ilvl w:val="0"/>
                <w:numId w:val="80"/>
              </w:numPr>
              <w:spacing w:before="0" w:after="19"/>
              <w:ind w:hanging="283" w:left="283" w:right="0"/>
              <w:rPr>
                <w:rFonts w:ascii="Arial" w:hAnsi="Arial" w:cs="Arial"/>
                <w:sz w:val="20"/>
                <w:szCs w:val="20"/>
              </w:rPr>
            </w:pPr>
            <w:r>
              <w:rPr>
                <w:rFonts w:ascii="Arial" w:hAnsi="Arial" w:cs="Arial"/>
                <w:sz w:val="20"/>
                <w:szCs w:val="20"/>
              </w:rPr>
              <w:t>Offer or coordinate interdisciplinary intervention programmes.</w:t>
            </w:r>
          </w:p>
          <w:p>
            <w:pPr>
              <w:numPr>
                <w:ilvl w:val="0"/>
                <w:numId w:val="80"/>
              </w:numPr>
              <w:spacing w:before="0" w:after="19"/>
              <w:ind w:hanging="283" w:left="283"/>
              <w:rPr>
                <w:rFonts w:ascii="Arial" w:hAnsi="Arial" w:cs="Arial"/>
                <w:sz w:val="20"/>
                <w:szCs w:val="20"/>
                <w:lang w:val="ro-RO" w:bidi="ar-SA"/>
              </w:rPr>
            </w:pPr>
            <w:r>
              <w:rPr>
                <w:rFonts w:ascii="Arial" w:hAnsi="Arial" w:cs="Arial"/>
                <w:sz w:val="20"/>
                <w:szCs w:val="20"/>
              </w:rPr>
              <w:t>The psycho-oncologists should present their work at least twice a year at the tumour board.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1.4.8</w:t>
            </w:r>
          </w:p>
        </w:tc>
        <w:tc>
          <w:tcPr>
            <w:tcW w:w="1" w:type="dxa"/>
          </w:tcPr>
          <w:p>
            <w:pPr>
              <w:spacing w:before="0" w:after="19"/>
              <w:ind w:left="0" w:right="0"/>
              <w:rPr>
                <w:rFonts w:ascii="Arial" w:hAnsi="Arial" w:cs="Arial"/>
                <w:sz w:val="20"/>
                <w:szCs w:val="20"/>
              </w:rPr>
            </w:pPr>
            <w:r>
              <w:rPr>
                <w:rFonts w:ascii="Arial" w:hAnsi="Arial" w:cs="Arial"/>
                <w:sz w:val="20"/>
                <w:szCs w:val="20"/>
              </w:rPr>
              <w:t>Documentation and evaluation</w:t>
            </w:r>
          </w:p>
          <w:p>
            <w:pPr>
              <w:spacing w:before="0" w:after="19"/>
              <w:ind w:left="0" w:right="0"/>
              <w:rPr>
                <w:rFonts w:ascii="Arial" w:hAnsi="Arial" w:cs="Arial"/>
                <w:sz w:val="20"/>
                <w:szCs w:val="20"/>
              </w:rPr>
            </w:pPr>
            <w:r>
              <w:rPr>
                <w:rFonts w:ascii="Arial" w:hAnsi="Arial" w:cs="Arial"/>
                <w:sz w:val="20"/>
                <w:szCs w:val="20"/>
              </w:rPr>
              <w:t>To identify the need for treatment, it is necessary to carry out a screening for psychological stress (see S3 guideline on psycho-oncology).</w:t>
            </w:r>
          </w:p>
          <w:p>
            <w:pPr>
              <w:spacing w:before="0" w:after="19"/>
              <w:rPr>
                <w:rFonts w:ascii="Arial" w:hAnsi="Arial" w:cs="Arial"/>
                <w:sz w:val="20"/>
                <w:szCs w:val="20"/>
                <w:lang w:val="ro-RO" w:bidi="ar-SA"/>
              </w:rPr>
            </w:pPr>
            <w:r>
              <w:rPr>
                <w:rFonts w:ascii="Arial" w:hAnsi="Arial" w:cs="Arial"/>
                <w:sz w:val="20"/>
                <w:szCs w:val="20"/>
              </w:rPr>
              <w:t>Psycho-oncological care must be documented and evaluated on an ongoing basis using suitable instruments.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1.4.9</w:t>
            </w:r>
          </w:p>
        </w:tc>
        <w:tc>
          <w:tcPr>
            <w:tcW w:w="1" w:type="dxa"/>
          </w:tcPr>
          <w:p>
            <w:pPr>
              <w:spacing w:before="0" w:after="19"/>
              <w:ind w:left="0" w:right="0"/>
              <w:rPr>
                <w:rFonts w:ascii="Arial" w:hAnsi="Arial" w:cs="Arial"/>
                <w:sz w:val="20"/>
                <w:szCs w:val="20"/>
              </w:rPr>
            </w:pPr>
            <w:r>
              <w:rPr>
                <w:rFonts w:ascii="Arial" w:hAnsi="Arial" w:cs="Arial"/>
                <w:sz w:val="20"/>
                <w:szCs w:val="20"/>
              </w:rPr>
              <w:t>Training/ further training/ supervision</w:t>
            </w:r>
          </w:p>
          <w:p>
            <w:pPr>
              <w:numPr>
                <w:ilvl w:val="0"/>
                <w:numId w:val="81"/>
              </w:numPr>
              <w:spacing w:before="0" w:after="19"/>
              <w:ind w:hanging="283" w:left="283" w:right="0"/>
              <w:rPr>
                <w:rFonts w:ascii="Arial" w:hAnsi="Arial" w:cs="Arial"/>
                <w:sz w:val="20"/>
                <w:szCs w:val="20"/>
              </w:rPr>
            </w:pPr>
            <w:r>
              <w:rPr>
                <w:rFonts w:ascii="Arial" w:hAnsi="Arial" w:cs="Arial"/>
                <w:sz w:val="20"/>
                <w:szCs w:val="20"/>
              </w:rPr>
              <w:t>At least 1 specific training programme per employee per year (at least 1 day per year).</w:t>
            </w:r>
          </w:p>
          <w:p>
            <w:pPr>
              <w:numPr>
                <w:ilvl w:val="0"/>
                <w:numId w:val="81"/>
              </w:numPr>
              <w:spacing w:before="0" w:after="19"/>
              <w:ind w:hanging="283" w:left="283"/>
              <w:rPr>
                <w:rFonts w:ascii="Arial" w:hAnsi="Arial" w:cs="Arial"/>
                <w:sz w:val="20"/>
                <w:szCs w:val="20"/>
                <w:lang w:val="ro-RO" w:bidi="ar-SA"/>
              </w:rPr>
            </w:pPr>
            <w:r>
              <w:rPr>
                <w:rFonts w:ascii="Arial" w:hAnsi="Arial" w:cs="Arial"/>
                <w:sz w:val="20"/>
                <w:szCs w:val="20"/>
              </w:rPr>
              <w:t>External supervision must be provided on a regular basis (recommendation: twice a month).</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1.5</w:t>
              <w:tab/>
              <w:t xml:space="preserve"> Social work and rehabilitation</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1.5.1</w:t>
            </w:r>
          </w:p>
        </w:tc>
        <w:tc>
          <w:tcPr>
            <w:tcW w:w="1" w:type="dxa"/>
          </w:tcPr>
          <w:p>
            <w:pPr>
              <w:spacing w:before="0" w:after="19"/>
              <w:ind w:left="0" w:right="0"/>
              <w:rPr>
                <w:rFonts w:ascii="Arial" w:hAnsi="Arial" w:cs="Arial"/>
                <w:sz w:val="20"/>
                <w:szCs w:val="20"/>
              </w:rPr>
            </w:pPr>
            <w:r>
              <w:rPr>
                <w:rFonts w:ascii="Arial" w:hAnsi="Arial" w:cs="Arial"/>
                <w:sz w:val="20"/>
                <w:szCs w:val="20"/>
              </w:rPr>
              <w:t>Social work - qualification</w:t>
            </w:r>
          </w:p>
          <w:p>
            <w:pPr>
              <w:numPr>
                <w:ilvl w:val="0"/>
                <w:numId w:val="82"/>
              </w:numPr>
              <w:spacing w:before="0" w:after="19"/>
              <w:ind w:hanging="283" w:left="283" w:right="0"/>
              <w:rPr>
                <w:rFonts w:ascii="Arial" w:hAnsi="Arial" w:cs="Arial"/>
                <w:sz w:val="20"/>
                <w:szCs w:val="20"/>
              </w:rPr>
            </w:pPr>
            <w:r>
              <w:rPr>
                <w:rFonts w:ascii="Arial" w:hAnsi="Arial" w:cs="Arial"/>
                <w:sz w:val="20"/>
                <w:szCs w:val="20"/>
              </w:rPr>
              <w:t>Social worker/ social pedagogue</w:t>
            </w:r>
          </w:p>
          <w:p>
            <w:pPr>
              <w:numPr>
                <w:ilvl w:val="0"/>
                <w:numId w:val="82"/>
              </w:numPr>
              <w:spacing w:before="0" w:after="19"/>
              <w:ind w:hanging="283" w:left="283" w:right="0"/>
              <w:rPr>
                <w:rFonts w:ascii="Arial" w:hAnsi="Arial" w:cs="Arial"/>
                <w:sz w:val="20"/>
                <w:szCs w:val="20"/>
              </w:rPr>
            </w:pPr>
            <w:r>
              <w:rPr>
                <w:rFonts w:ascii="Arial" w:hAnsi="Arial" w:cs="Arial"/>
                <w:sz w:val="20"/>
                <w:szCs w:val="20"/>
              </w:rPr>
              <w:t>Individual case reviews in accordance with the guidelines of the professional association are possible</w:t>
            </w:r>
          </w:p>
          <w:p>
            <w:pPr>
              <w:numPr>
                <w:ilvl w:val="0"/>
                <w:numId w:val="82"/>
              </w:numPr>
              <w:spacing w:before="0" w:after="19"/>
              <w:ind w:hanging="283" w:left="283"/>
              <w:rPr>
                <w:rFonts w:ascii="Arial" w:hAnsi="Arial" w:cs="Arial"/>
                <w:sz w:val="20"/>
                <w:szCs w:val="20"/>
                <w:lang w:val="ro-RO" w:bidi="ar-SA"/>
              </w:rPr>
            </w:pPr>
            <w:r>
              <w:rPr>
                <w:rFonts w:ascii="Arial" w:hAnsi="Arial" w:cs="Arial"/>
                <w:strike w:val="1"/>
                <w:sz w:val="20"/>
                <w:szCs w:val="20"/>
                <w:shd w:val="clear" w:color="auto" w:fill="00FE00"/>
              </w:rPr>
              <w:t>Additional qualification: Experience in medical/ oncological professional field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1.5.2</w:t>
            </w:r>
          </w:p>
        </w:tc>
        <w:tc>
          <w:tcPr>
            <w:tcW w:w="1" w:type="dxa"/>
          </w:tcPr>
          <w:p>
            <w:pPr>
              <w:spacing w:before="0" w:after="19"/>
              <w:ind w:left="0" w:right="0"/>
              <w:rPr>
                <w:rFonts w:ascii="Arial" w:hAnsi="Arial" w:cs="Arial"/>
                <w:sz w:val="20"/>
                <w:szCs w:val="20"/>
              </w:rPr>
            </w:pPr>
            <w:r>
              <w:rPr>
                <w:rFonts w:ascii="Arial" w:hAnsi="Arial" w:cs="Arial"/>
                <w:sz w:val="20"/>
                <w:szCs w:val="20"/>
              </w:rPr>
              <w:t>Offer and access</w:t>
            </w:r>
          </w:p>
          <w:p>
            <w:pPr>
              <w:spacing w:before="0" w:after="19"/>
              <w:rPr>
                <w:rFonts w:ascii="Arial" w:hAnsi="Arial" w:cs="Arial"/>
                <w:sz w:val="20"/>
                <w:szCs w:val="20"/>
                <w:lang w:val="ro-RO" w:bidi="ar-SA"/>
              </w:rPr>
            </w:pPr>
            <w:r>
              <w:rPr>
                <w:rFonts w:ascii="Arial" w:hAnsi="Arial" w:cs="Arial"/>
                <w:sz w:val="20"/>
                <w:szCs w:val="20"/>
              </w:rPr>
              <w:t>Every patient must be offered the possibility of counselling by the social service in all phases of the disease, locally and promptly (proof required). The offer must be made without any barriers.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1.5.3</w:t>
            </w:r>
          </w:p>
        </w:tc>
        <w:tc>
          <w:tcPr>
            <w:tcW w:w="1" w:type="dxa"/>
          </w:tcPr>
          <w:p>
            <w:pPr>
              <w:spacing w:before="0" w:after="19"/>
              <w:ind w:left="0" w:right="0"/>
              <w:rPr>
                <w:rFonts w:ascii="Arial" w:hAnsi="Arial" w:cs="Arial"/>
                <w:sz w:val="20"/>
                <w:szCs w:val="20"/>
              </w:rPr>
            </w:pPr>
            <w:r>
              <w:rPr>
                <w:rFonts w:ascii="Arial" w:hAnsi="Arial" w:cs="Arial"/>
                <w:sz w:val="20"/>
                <w:szCs w:val="20"/>
              </w:rPr>
              <w:t>Resources</w:t>
            </w:r>
          </w:p>
          <w:p>
            <w:pPr>
              <w:spacing w:before="0" w:after="19"/>
              <w:rPr>
                <w:rFonts w:ascii="Arial" w:hAnsi="Arial" w:cs="Arial"/>
                <w:sz w:val="20"/>
                <w:szCs w:val="20"/>
                <w:lang w:val="ro-RO" w:bidi="ar-SA"/>
              </w:rPr>
            </w:pPr>
            <w:r>
              <w:rPr>
                <w:rFonts w:ascii="Arial" w:hAnsi="Arial" w:cs="Arial"/>
                <w:sz w:val="20"/>
                <w:szCs w:val="20"/>
              </w:rPr>
              <w:t>At least 1 staff member is available to advise patients in the centre for 400 patients (not cases) advised in the centre (= primary cases, secondary metastases, recurrences). The personnel resources can be provided centrally; an organisational plan must be available.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1.5.4</w:t>
            </w:r>
          </w:p>
        </w:tc>
        <w:tc>
          <w:tcPr>
            <w:tcW w:w="1" w:type="dxa"/>
          </w:tcPr>
          <w:p>
            <w:pPr>
              <w:spacing w:before="0" w:after="19"/>
              <w:ind w:left="0" w:right="0"/>
              <w:rPr>
                <w:rFonts w:ascii="Arial" w:hAnsi="Arial" w:cs="Arial"/>
                <w:sz w:val="20"/>
                <w:szCs w:val="20"/>
              </w:rPr>
            </w:pPr>
            <w:r>
              <w:rPr>
                <w:rFonts w:ascii="Arial" w:hAnsi="Arial" w:cs="Arial"/>
                <w:sz w:val="20"/>
                <w:szCs w:val="20"/>
              </w:rPr>
              <w:t>Scope of patient care</w:t>
            </w:r>
          </w:p>
          <w:p>
            <w:pPr>
              <w:spacing w:before="0" w:after="19"/>
              <w:rPr>
                <w:rFonts w:ascii="Arial" w:hAnsi="Arial" w:cs="Arial"/>
                <w:sz w:val="20"/>
                <w:szCs w:val="20"/>
                <w:lang w:val="ro-RO" w:bidi="ar-SA"/>
              </w:rPr>
            </w:pPr>
            <w:r>
              <w:rPr>
                <w:rFonts w:ascii="Arial" w:hAnsi="Arial" w:cs="Arial"/>
                <w:sz w:val="20"/>
                <w:szCs w:val="20"/>
              </w:rPr>
              <w:t>The number of patients who have received care from social services must be documented and analysed.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1.5.5</w:t>
            </w:r>
          </w:p>
        </w:tc>
        <w:tc>
          <w:tcPr>
            <w:tcW w:w="1" w:type="dxa"/>
          </w:tcPr>
          <w:p>
            <w:pPr>
              <w:spacing w:before="0" w:after="19"/>
              <w:ind w:left="0" w:right="0"/>
              <w:rPr>
                <w:rFonts w:ascii="Arial" w:hAnsi="Arial" w:cs="Arial"/>
                <w:sz w:val="20"/>
                <w:szCs w:val="20"/>
              </w:rPr>
            </w:pPr>
            <w:r>
              <w:rPr>
                <w:rFonts w:ascii="Arial" w:hAnsi="Arial" w:cs="Arial"/>
                <w:sz w:val="20"/>
                <w:szCs w:val="20"/>
              </w:rPr>
              <w:t>Premises</w:t>
            </w:r>
          </w:p>
          <w:p>
            <w:pPr>
              <w:spacing w:before="0" w:after="19"/>
              <w:rPr>
                <w:rFonts w:ascii="Arial" w:hAnsi="Arial" w:cs="Arial"/>
                <w:sz w:val="20"/>
                <w:szCs w:val="20"/>
                <w:lang w:val="ro-RO" w:bidi="ar-SA"/>
              </w:rPr>
            </w:pPr>
            <w:r>
              <w:rPr>
                <w:rFonts w:ascii="Arial" w:hAnsi="Arial" w:cs="Arial"/>
                <w:sz w:val="20"/>
                <w:szCs w:val="20"/>
              </w:rPr>
              <w:t>A suitable room must be provided for social counselling work.</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1.5.6</w:t>
            </w:r>
          </w:p>
        </w:tc>
        <w:tc>
          <w:tcPr>
            <w:tcW w:w="1" w:type="dxa"/>
          </w:tcPr>
          <w:p>
            <w:pPr>
              <w:spacing w:before="0" w:after="19"/>
              <w:ind w:left="0" w:right="0"/>
              <w:rPr>
                <w:rFonts w:ascii="Arial" w:hAnsi="Arial" w:cs="Arial"/>
                <w:sz w:val="20"/>
                <w:szCs w:val="20"/>
              </w:rPr>
            </w:pPr>
            <w:r>
              <w:rPr>
                <w:rFonts w:ascii="Arial" w:hAnsi="Arial" w:cs="Arial"/>
                <w:sz w:val="20"/>
                <w:szCs w:val="20"/>
              </w:rPr>
              <w:t>Organisation plan</w:t>
            </w:r>
          </w:p>
          <w:p>
            <w:pPr>
              <w:spacing w:before="0" w:after="19"/>
              <w:rPr>
                <w:rFonts w:ascii="Arial" w:hAnsi="Arial" w:cs="Arial"/>
                <w:sz w:val="20"/>
                <w:szCs w:val="20"/>
                <w:lang w:val="ro-RO" w:bidi="ar-SA"/>
              </w:rPr>
            </w:pPr>
            <w:r>
              <w:rPr>
                <w:rFonts w:ascii="Arial" w:hAnsi="Arial" w:cs="Arial"/>
                <w:sz w:val="20"/>
                <w:szCs w:val="20"/>
              </w:rPr>
              <w:t>The performance of tasks is to be regulated by an organisational plan in which, among other things, the availability of resources and the local presence can be seen.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1.5.7</w:t>
            </w:r>
          </w:p>
        </w:tc>
        <w:tc>
          <w:tcPr>
            <w:tcW w:w="1" w:type="dxa"/>
          </w:tcPr>
          <w:p>
            <w:pPr>
              <w:spacing w:before="0" w:after="19"/>
              <w:ind w:left="0" w:right="0"/>
              <w:rPr>
                <w:rFonts w:ascii="Arial" w:hAnsi="Arial" w:cs="Arial"/>
                <w:sz w:val="20"/>
                <w:szCs w:val="20"/>
              </w:rPr>
            </w:pPr>
            <w:r>
              <w:rPr>
                <w:rFonts w:ascii="Arial" w:hAnsi="Arial" w:cs="Arial"/>
                <w:sz w:val="20"/>
                <w:szCs w:val="20"/>
              </w:rPr>
              <w:t>Contents of the counselling:</w:t>
            </w:r>
          </w:p>
          <w:p>
            <w:pPr>
              <w:spacing w:before="0" w:after="19"/>
              <w:ind w:left="0" w:right="0"/>
              <w:rPr>
                <w:rFonts w:ascii="Arial" w:hAnsi="Arial" w:cs="Arial"/>
                <w:sz w:val="20"/>
                <w:szCs w:val="20"/>
              </w:rPr>
            </w:pPr>
            <w:r>
              <w:rPr>
                <w:rFonts w:ascii="Arial" w:hAnsi="Arial" w:cs="Arial"/>
                <w:sz w:val="20"/>
                <w:szCs w:val="20"/>
              </w:rPr>
              <w:t>using the DVSG service catalogue and the expert standard PEOPSA (initial psychosocial counselling of oncological patients by social work):</w:t>
            </w:r>
          </w:p>
          <w:p>
            <w:pPr>
              <w:numPr>
                <w:ilvl w:val="0"/>
                <w:numId w:val="83"/>
              </w:numPr>
              <w:spacing w:before="0" w:after="19"/>
              <w:ind w:hanging="283" w:left="283" w:right="0"/>
              <w:rPr>
                <w:rFonts w:ascii="Arial" w:hAnsi="Arial" w:cs="Arial"/>
                <w:sz w:val="20"/>
                <w:szCs w:val="20"/>
              </w:rPr>
            </w:pPr>
            <w:r>
              <w:rPr>
                <w:rFonts w:ascii="Arial" w:hAnsi="Arial" w:cs="Arial"/>
                <w:sz w:val="20"/>
                <w:szCs w:val="20"/>
              </w:rPr>
              <w:t>Identification of social, economic and psychological emergencies.</w:t>
            </w:r>
          </w:p>
          <w:p>
            <w:pPr>
              <w:numPr>
                <w:ilvl w:val="0"/>
                <w:numId w:val="83"/>
              </w:numPr>
              <w:spacing w:before="0" w:after="19"/>
              <w:ind w:hanging="283" w:left="283" w:right="0"/>
              <w:rPr>
                <w:rFonts w:ascii="Arial" w:hAnsi="Arial" w:cs="Arial"/>
                <w:sz w:val="20"/>
                <w:szCs w:val="20"/>
              </w:rPr>
            </w:pPr>
            <w:r>
              <w:rPr>
                <w:rFonts w:ascii="Arial" w:hAnsi="Arial" w:cs="Arial"/>
                <w:sz w:val="20"/>
                <w:szCs w:val="20"/>
              </w:rPr>
              <w:t>Initiation of medical rehabilitation measures.</w:t>
            </w:r>
          </w:p>
          <w:p>
            <w:pPr>
              <w:numPr>
                <w:ilvl w:val="0"/>
                <w:numId w:val="83"/>
              </w:numPr>
              <w:spacing w:before="0" w:after="19"/>
              <w:ind w:hanging="283" w:left="283" w:right="0"/>
              <w:rPr>
                <w:rFonts w:ascii="Arial" w:hAnsi="Arial" w:cs="Arial"/>
                <w:sz w:val="20"/>
                <w:szCs w:val="20"/>
              </w:rPr>
            </w:pPr>
            <w:r>
              <w:rPr>
                <w:rFonts w:ascii="Arial" w:hAnsi="Arial" w:cs="Arial"/>
                <w:sz w:val="20"/>
                <w:szCs w:val="20"/>
              </w:rPr>
              <w:t>Advice on social law and economic issues (e.g. law on severely disabled persons, wage replacement, pensions, benefit requirements, personal contributions, etc.).</w:t>
            </w:r>
          </w:p>
          <w:p>
            <w:pPr>
              <w:numPr>
                <w:ilvl w:val="0"/>
                <w:numId w:val="83"/>
              </w:numPr>
              <w:spacing w:before="0" w:after="19"/>
              <w:ind w:hanging="283" w:left="283" w:right="0"/>
              <w:rPr>
                <w:rFonts w:ascii="Arial" w:hAnsi="Arial" w:cs="Arial"/>
                <w:sz w:val="20"/>
                <w:szCs w:val="20"/>
              </w:rPr>
            </w:pPr>
            <w:r>
              <w:rPr>
                <w:rFonts w:ascii="Arial" w:hAnsi="Arial" w:cs="Arial"/>
                <w:sz w:val="20"/>
                <w:szCs w:val="20"/>
              </w:rPr>
              <w:t>Support with application procedures.</w:t>
            </w:r>
          </w:p>
          <w:p>
            <w:pPr>
              <w:numPr>
                <w:ilvl w:val="0"/>
                <w:numId w:val="83"/>
              </w:numPr>
              <w:spacing w:before="0" w:after="19"/>
              <w:ind w:hanging="283" w:left="283" w:right="0"/>
              <w:rPr>
                <w:rFonts w:ascii="Arial" w:hAnsi="Arial" w:cs="Arial"/>
                <w:sz w:val="20"/>
                <w:szCs w:val="20"/>
              </w:rPr>
            </w:pPr>
            <w:r>
              <w:rPr>
                <w:rFonts w:ascii="Arial" w:hAnsi="Arial" w:cs="Arial"/>
                <w:sz w:val="20"/>
                <w:szCs w:val="20"/>
              </w:rPr>
              <w:t>Advice on outpatient and inpatient care options and referral to support services and specialist services.</w:t>
            </w:r>
          </w:p>
          <w:p>
            <w:pPr>
              <w:numPr>
                <w:ilvl w:val="0"/>
                <w:numId w:val="83"/>
              </w:numPr>
              <w:spacing w:before="0" w:after="19"/>
              <w:ind w:hanging="283" w:left="283" w:right="0"/>
              <w:rPr>
                <w:rFonts w:ascii="Arial" w:hAnsi="Arial" w:cs="Arial"/>
                <w:sz w:val="20"/>
                <w:szCs w:val="20"/>
              </w:rPr>
            </w:pPr>
            <w:r>
              <w:rPr>
                <w:rFonts w:ascii="Arial" w:hAnsi="Arial" w:cs="Arial"/>
                <w:sz w:val="20"/>
                <w:szCs w:val="20"/>
              </w:rPr>
              <w:t>Support with professional and social reintegration.</w:t>
            </w:r>
          </w:p>
          <w:p>
            <w:pPr>
              <w:numPr>
                <w:ilvl w:val="0"/>
                <w:numId w:val="83"/>
              </w:numPr>
              <w:spacing w:before="0" w:after="19"/>
              <w:ind w:hanging="283" w:left="283" w:right="0"/>
              <w:rPr>
                <w:rFonts w:ascii="Arial" w:hAnsi="Arial" w:cs="Arial"/>
                <w:sz w:val="20"/>
                <w:szCs w:val="20"/>
              </w:rPr>
            </w:pPr>
            <w:r>
              <w:rPr>
                <w:rFonts w:ascii="Arial" w:hAnsi="Arial" w:cs="Arial"/>
                <w:sz w:val="20"/>
                <w:szCs w:val="20"/>
              </w:rPr>
              <w:t>Co-operation with service providers and service providers.</w:t>
            </w:r>
          </w:p>
          <w:p>
            <w:pPr>
              <w:numPr>
                <w:ilvl w:val="0"/>
                <w:numId w:val="83"/>
              </w:numPr>
              <w:spacing w:before="0" w:after="19"/>
              <w:ind w:hanging="283" w:left="283" w:right="0"/>
              <w:rPr>
                <w:rFonts w:ascii="Arial" w:hAnsi="Arial" w:cs="Arial"/>
                <w:sz w:val="20"/>
                <w:szCs w:val="20"/>
              </w:rPr>
            </w:pPr>
            <w:r>
              <w:rPr>
                <w:rFonts w:ascii="Arial" w:hAnsi="Arial" w:cs="Arial"/>
                <w:sz w:val="20"/>
                <w:szCs w:val="20"/>
              </w:rPr>
              <w:t>Discharge management.</w:t>
            </w:r>
          </w:p>
          <w:p>
            <w:pPr>
              <w:numPr>
                <w:ilvl w:val="0"/>
                <w:numId w:val="83"/>
              </w:numPr>
              <w:spacing w:before="0" w:after="19"/>
              <w:ind w:hanging="283" w:left="283"/>
              <w:rPr>
                <w:rFonts w:ascii="Arial" w:hAnsi="Arial" w:cs="Arial"/>
                <w:sz w:val="20"/>
                <w:szCs w:val="20"/>
                <w:lang w:val="ro-RO" w:bidi="ar-SA"/>
              </w:rPr>
            </w:pPr>
            <w:r>
              <w:rPr>
                <w:rFonts w:ascii="Arial" w:hAnsi="Arial" w:cs="Arial"/>
                <w:sz w:val="20"/>
                <w:szCs w:val="20"/>
              </w:rPr>
              <w:t>Intervention in emergencies.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1.5.8</w:t>
            </w:r>
          </w:p>
        </w:tc>
        <w:tc>
          <w:tcPr>
            <w:tcW w:w="1" w:type="dxa"/>
          </w:tcPr>
          <w:p>
            <w:pPr>
              <w:spacing w:before="0" w:after="19"/>
              <w:ind w:left="0" w:right="0"/>
              <w:rPr>
                <w:rFonts w:ascii="Arial" w:hAnsi="Arial" w:cs="Arial"/>
                <w:sz w:val="20"/>
                <w:szCs w:val="20"/>
              </w:rPr>
            </w:pPr>
            <w:r>
              <w:rPr>
                <w:rFonts w:ascii="Arial" w:hAnsi="Arial" w:cs="Arial"/>
                <w:sz w:val="20"/>
                <w:szCs w:val="20"/>
              </w:rPr>
              <w:t>Further tasks:</w:t>
            </w:r>
          </w:p>
          <w:p>
            <w:pPr>
              <w:numPr>
                <w:ilvl w:val="0"/>
                <w:numId w:val="84"/>
              </w:numPr>
              <w:spacing w:before="0" w:after="19"/>
              <w:ind w:hanging="283" w:left="283" w:right="0"/>
              <w:rPr>
                <w:rFonts w:ascii="Arial" w:hAnsi="Arial" w:cs="Arial"/>
                <w:sz w:val="20"/>
                <w:szCs w:val="20"/>
              </w:rPr>
            </w:pPr>
            <w:r>
              <w:rPr>
                <w:rFonts w:ascii="Arial" w:hAnsi="Arial" w:cs="Arial"/>
                <w:sz w:val="20"/>
                <w:szCs w:val="20"/>
              </w:rPr>
              <w:t>Offer further training/ information events for other disciplines at the centre and/ or patients.</w:t>
            </w:r>
          </w:p>
          <w:p>
            <w:pPr>
              <w:numPr>
                <w:ilvl w:val="0"/>
                <w:numId w:val="84"/>
              </w:numPr>
              <w:spacing w:before="0" w:after="19"/>
              <w:ind w:hanging="283" w:left="283" w:right="0"/>
              <w:rPr>
                <w:rFonts w:ascii="Arial" w:hAnsi="Arial" w:cs="Arial"/>
                <w:sz w:val="20"/>
                <w:szCs w:val="20"/>
              </w:rPr>
            </w:pPr>
            <w:r>
              <w:rPr>
                <w:rFonts w:ascii="Arial" w:hAnsi="Arial" w:cs="Arial"/>
                <w:sz w:val="20"/>
                <w:szCs w:val="20"/>
              </w:rPr>
              <w:t>Public relations and networking</w:t>
            </w:r>
          </w:p>
          <w:p>
            <w:pPr>
              <w:numPr>
                <w:ilvl w:val="0"/>
                <w:numId w:val="84"/>
              </w:numPr>
              <w:spacing w:before="0" w:after="19"/>
              <w:ind w:hanging="283" w:left="283" w:right="0"/>
              <w:rPr>
                <w:rFonts w:ascii="Arial" w:hAnsi="Arial" w:cs="Arial"/>
                <w:sz w:val="20"/>
                <w:szCs w:val="20"/>
              </w:rPr>
            </w:pPr>
            <w:r>
              <w:rPr>
                <w:rFonts w:ascii="Arial" w:hAnsi="Arial" w:cs="Arial"/>
                <w:sz w:val="20"/>
                <w:szCs w:val="20"/>
              </w:rPr>
              <w:t>Participation in multi-professional case discussions, supervision.</w:t>
            </w:r>
          </w:p>
          <w:p>
            <w:pPr>
              <w:numPr>
                <w:ilvl w:val="0"/>
                <w:numId w:val="84"/>
              </w:numPr>
              <w:spacing w:before="0" w:after="19"/>
              <w:ind w:hanging="283" w:left="283"/>
              <w:rPr>
                <w:rFonts w:ascii="Arial" w:hAnsi="Arial" w:cs="Arial"/>
                <w:sz w:val="20"/>
                <w:szCs w:val="20"/>
                <w:lang w:val="ro-RO" w:bidi="ar-SA"/>
              </w:rPr>
            </w:pPr>
            <w:r>
              <w:rPr>
                <w:rFonts w:ascii="Arial" w:hAnsi="Arial" w:cs="Arial"/>
                <w:sz w:val="20"/>
                <w:szCs w:val="20"/>
              </w:rPr>
              <w:t>Interdisciplinary co-operation, in particular with doctors, nurses, physiotherapists, psycho-oncologists, pastoral care, etc.</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1.5.9</w:t>
            </w:r>
          </w:p>
        </w:tc>
        <w:tc>
          <w:tcPr>
            <w:tcW w:w="1" w:type="dxa"/>
          </w:tcPr>
          <w:p>
            <w:pPr>
              <w:spacing w:before="0" w:after="19"/>
              <w:ind w:left="0" w:right="0"/>
              <w:rPr>
                <w:rFonts w:ascii="Arial" w:hAnsi="Arial" w:cs="Arial"/>
                <w:sz w:val="20"/>
                <w:szCs w:val="20"/>
              </w:rPr>
            </w:pPr>
            <w:r>
              <w:rPr>
                <w:rFonts w:ascii="Arial" w:hAnsi="Arial" w:cs="Arial"/>
                <w:sz w:val="20"/>
                <w:szCs w:val="20"/>
              </w:rPr>
              <w:t>Documentation and evaluation</w:t>
            </w:r>
          </w:p>
          <w:p>
            <w:pPr>
              <w:spacing w:before="0" w:after="19"/>
              <w:rPr>
                <w:rFonts w:ascii="Arial" w:hAnsi="Arial" w:cs="Arial"/>
                <w:sz w:val="20"/>
                <w:szCs w:val="20"/>
                <w:lang w:val="ro-RO" w:bidi="ar-SA"/>
              </w:rPr>
            </w:pPr>
            <w:r>
              <w:rPr>
                <w:rFonts w:ascii="Arial" w:hAnsi="Arial" w:cs="Arial"/>
                <w:sz w:val="20"/>
                <w:szCs w:val="20"/>
              </w:rPr>
              <w:t>The activities of the social workers must be documented (e.g. CareSD, HIS) and evaluated.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1.5.10</w:t>
            </w:r>
          </w:p>
        </w:tc>
        <w:tc>
          <w:tcPr>
            <w:tcW w:w="1" w:type="dxa"/>
          </w:tcPr>
          <w:p>
            <w:pPr>
              <w:spacing w:before="0" w:after="19"/>
              <w:ind w:left="0" w:right="0"/>
              <w:rPr>
                <w:rFonts w:ascii="Arial" w:hAnsi="Arial" w:cs="Arial"/>
                <w:sz w:val="20"/>
                <w:szCs w:val="20"/>
              </w:rPr>
            </w:pPr>
            <w:r>
              <w:rPr>
                <w:rFonts w:ascii="Arial" w:hAnsi="Arial" w:cs="Arial"/>
                <w:sz w:val="20"/>
                <w:szCs w:val="20"/>
              </w:rPr>
              <w:t>Further education</w:t>
            </w:r>
          </w:p>
          <w:p>
            <w:pPr>
              <w:numPr>
                <w:ilvl w:val="0"/>
                <w:numId w:val="85"/>
              </w:numPr>
              <w:spacing w:before="0" w:after="19"/>
              <w:ind w:hanging="283" w:left="283" w:right="0"/>
              <w:rPr>
                <w:rFonts w:ascii="Arial" w:hAnsi="Arial" w:cs="Arial"/>
                <w:sz w:val="20"/>
                <w:szCs w:val="20"/>
              </w:rPr>
            </w:pPr>
            <w:r>
              <w:rPr>
                <w:rFonts w:ascii="Arial" w:hAnsi="Arial" w:cs="Arial"/>
                <w:sz w:val="20"/>
                <w:szCs w:val="20"/>
              </w:rPr>
              <w:t>At least 1 specific training programme per employee per year (at least 1 day per year).</w:t>
            </w:r>
          </w:p>
          <w:p>
            <w:pPr>
              <w:numPr>
                <w:ilvl w:val="0"/>
                <w:numId w:val="85"/>
              </w:numPr>
              <w:spacing w:before="0" w:after="19"/>
              <w:ind w:hanging="283" w:left="283"/>
              <w:rPr>
                <w:rFonts w:ascii="Arial" w:hAnsi="Arial" w:cs="Arial"/>
                <w:sz w:val="20"/>
                <w:szCs w:val="20"/>
                <w:lang w:val="ro-RO" w:bidi="ar-SA"/>
              </w:rPr>
            </w:pPr>
            <w:r>
              <w:rPr>
                <w:rFonts w:ascii="Arial" w:hAnsi="Arial" w:cs="Arial"/>
                <w:sz w:val="20"/>
                <w:szCs w:val="20"/>
              </w:rPr>
              <w:t>Offer of supervision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1.5.11</w:t>
            </w:r>
          </w:p>
        </w:tc>
        <w:tc>
          <w:tcPr>
            <w:tcW w:w="1" w:type="dxa"/>
          </w:tcPr>
          <w:p>
            <w:pPr>
              <w:spacing w:before="0" w:after="19"/>
              <w:ind w:left="0" w:right="0"/>
              <w:rPr>
                <w:rFonts w:ascii="Arial" w:hAnsi="Arial" w:cs="Arial"/>
                <w:sz w:val="20"/>
                <w:szCs w:val="20"/>
              </w:rPr>
            </w:pPr>
            <w:r>
              <w:rPr>
                <w:rFonts w:ascii="Arial" w:hAnsi="Arial" w:cs="Arial"/>
                <w:sz w:val="20"/>
                <w:szCs w:val="20"/>
              </w:rPr>
              <w:t>Patient-related selection of rehabilitation facilities</w:t>
            </w:r>
          </w:p>
          <w:p>
            <w:pPr>
              <w:spacing w:before="0" w:after="19"/>
              <w:rPr>
                <w:rFonts w:ascii="Arial" w:hAnsi="Arial" w:cs="Arial"/>
                <w:sz w:val="20"/>
                <w:szCs w:val="20"/>
                <w:lang w:val="ro-RO" w:bidi="ar-SA"/>
              </w:rPr>
            </w:pPr>
            <w:r>
              <w:rPr>
                <w:rFonts w:ascii="Arial" w:hAnsi="Arial" w:cs="Arial"/>
                <w:sz w:val="20"/>
                <w:szCs w:val="20"/>
              </w:rPr>
              <w:t>If indicated, patients should be offered oncological rehabilitation during the consultation (see also section 1.5.7).</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1.6</w:t>
              <w:tab/>
              <w:t xml:space="preserve"> Patient involvement</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1.6.1</w:t>
            </w:r>
          </w:p>
        </w:tc>
        <w:tc>
          <w:tcPr>
            <w:tcW w:w="1" w:type="dxa"/>
          </w:tcPr>
          <w:p>
            <w:pPr>
              <w:spacing w:before="0" w:after="19"/>
              <w:ind w:left="0" w:right="0"/>
              <w:rPr>
                <w:rFonts w:ascii="Arial" w:hAnsi="Arial" w:cs="Arial"/>
                <w:sz w:val="20"/>
                <w:szCs w:val="20"/>
              </w:rPr>
            </w:pPr>
            <w:r>
              <w:rPr>
                <w:rFonts w:ascii="Arial" w:hAnsi="Arial" w:cs="Arial"/>
                <w:sz w:val="20"/>
                <w:szCs w:val="20"/>
              </w:rPr>
              <w:t>Patient interviews:</w:t>
            </w:r>
          </w:p>
          <w:p>
            <w:pPr>
              <w:numPr>
                <w:ilvl w:val="0"/>
                <w:numId w:val="86"/>
              </w:numPr>
              <w:spacing w:before="0" w:after="19"/>
              <w:ind w:hanging="283" w:left="283" w:right="0"/>
              <w:rPr>
                <w:rFonts w:ascii="Arial" w:hAnsi="Arial" w:cs="Arial"/>
                <w:sz w:val="20"/>
                <w:szCs w:val="20"/>
              </w:rPr>
            </w:pPr>
            <w:r>
              <w:rPr>
                <w:rFonts w:ascii="Arial" w:hAnsi="Arial" w:cs="Arial"/>
                <w:sz w:val="20"/>
                <w:szCs w:val="20"/>
              </w:rPr>
              <w:t>At least every 3 years, all patients should be given the opportunity to take part in the patient survey for at least 3 months.</w:t>
            </w:r>
          </w:p>
          <w:p>
            <w:pPr>
              <w:numPr>
                <w:ilvl w:val="0"/>
                <w:numId w:val="86"/>
              </w:numPr>
              <w:spacing w:before="0" w:after="19"/>
              <w:ind w:hanging="283" w:left="283" w:right="0"/>
              <w:rPr>
                <w:rFonts w:ascii="Arial" w:hAnsi="Arial" w:cs="Arial"/>
                <w:sz w:val="20"/>
                <w:szCs w:val="20"/>
              </w:rPr>
            </w:pPr>
            <w:r>
              <w:rPr>
                <w:rFonts w:ascii="Arial" w:hAnsi="Arial" w:cs="Arial"/>
                <w:sz w:val="20"/>
                <w:szCs w:val="20"/>
              </w:rPr>
              <w:t>Survey possible as part of a survey of the entire hospital (prerequisite: targeted analysis of the centre's patients is possible)</w:t>
            </w:r>
          </w:p>
          <w:p>
            <w:pPr>
              <w:numPr>
                <w:ilvl w:val="0"/>
                <w:numId w:val="86"/>
              </w:numPr>
              <w:spacing w:before="0" w:after="19"/>
              <w:ind w:hanging="283" w:left="283"/>
              <w:rPr>
                <w:rFonts w:ascii="Arial" w:hAnsi="Arial" w:cs="Arial"/>
                <w:sz w:val="20"/>
                <w:szCs w:val="20"/>
                <w:lang w:val="ro-RO" w:bidi="ar-SA"/>
              </w:rPr>
            </w:pPr>
            <w:r>
              <w:rPr>
                <w:rFonts w:ascii="Arial" w:hAnsi="Arial" w:cs="Arial"/>
                <w:sz w:val="20"/>
                <w:szCs w:val="20"/>
              </w:rPr>
              <w:t>The response rate should be over 30% (initiate measures if this is not achieved).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1.6.2</w:t>
            </w:r>
          </w:p>
        </w:tc>
        <w:tc>
          <w:tcPr>
            <w:tcW w:w="1" w:type="dxa"/>
          </w:tcPr>
          <w:p>
            <w:pPr>
              <w:spacing w:before="0" w:after="19"/>
              <w:ind w:left="0" w:right="0"/>
              <w:rPr>
                <w:rFonts w:ascii="Arial" w:hAnsi="Arial" w:cs="Arial"/>
                <w:sz w:val="20"/>
                <w:szCs w:val="20"/>
              </w:rPr>
            </w:pPr>
            <w:r>
              <w:rPr>
                <w:rFonts w:ascii="Arial" w:hAnsi="Arial" w:cs="Arial"/>
                <w:sz w:val="20"/>
                <w:szCs w:val="20"/>
              </w:rPr>
              <w:t>Evaluation of patient survey</w:t>
            </w:r>
          </w:p>
          <w:p>
            <w:pPr>
              <w:numPr>
                <w:ilvl w:val="0"/>
                <w:numId w:val="87"/>
              </w:numPr>
              <w:spacing w:before="0" w:after="19"/>
              <w:ind w:hanging="283" w:left="283" w:right="0"/>
              <w:rPr>
                <w:rFonts w:ascii="Arial" w:hAnsi="Arial" w:cs="Arial"/>
                <w:sz w:val="20"/>
                <w:szCs w:val="20"/>
              </w:rPr>
            </w:pPr>
            <w:r>
              <w:rPr>
                <w:rFonts w:ascii="Arial" w:hAnsi="Arial" w:cs="Arial"/>
                <w:sz w:val="20"/>
                <w:szCs w:val="20"/>
              </w:rPr>
              <w:t>The responsibility for the evaluation must be defined.</w:t>
            </w:r>
          </w:p>
          <w:p>
            <w:pPr>
              <w:numPr>
                <w:ilvl w:val="0"/>
                <w:numId w:val="87"/>
              </w:numPr>
              <w:spacing w:before="0" w:after="19"/>
              <w:ind w:hanging="283" w:left="283" w:right="0"/>
              <w:rPr>
                <w:rFonts w:ascii="Arial" w:hAnsi="Arial" w:cs="Arial"/>
                <w:sz w:val="20"/>
                <w:szCs w:val="20"/>
              </w:rPr>
            </w:pPr>
            <w:r>
              <w:rPr>
                <w:rFonts w:ascii="Arial" w:hAnsi="Arial" w:cs="Arial"/>
                <w:sz w:val="20"/>
                <w:szCs w:val="20"/>
              </w:rPr>
              <w:t xml:space="preserve">The evaluation must refer to the patients of the Centre for </w:t>
            </w:r>
            <w:r>
              <w:rPr>
                <w:rFonts w:ascii="Arial" w:hAnsi="Arial" w:cs="Arial" w:eastAsia="Calibri"/>
                <w:sz w:val="20"/>
                <w:szCs w:val="20"/>
              </w:rPr>
              <w:t>Haematological Neoplasms</w:t>
            </w:r>
            <w:r>
              <w:rPr>
                <w:rFonts w:ascii="Arial" w:hAnsi="Arial" w:cs="Arial"/>
                <w:sz w:val="20"/>
                <w:szCs w:val="20"/>
              </w:rPr>
              <w:t>.</w:t>
            </w:r>
          </w:p>
          <w:p>
            <w:pPr>
              <w:numPr>
                <w:ilvl w:val="0"/>
                <w:numId w:val="87"/>
              </w:numPr>
              <w:spacing w:before="0" w:after="19"/>
              <w:ind w:hanging="283" w:left="283" w:right="0"/>
              <w:rPr>
                <w:rFonts w:ascii="Arial" w:hAnsi="Arial" w:cs="Arial"/>
                <w:sz w:val="20"/>
                <w:szCs w:val="20"/>
              </w:rPr>
            </w:pPr>
            <w:r>
              <w:rPr>
                <w:rFonts w:ascii="Arial" w:hAnsi="Arial" w:cs="Arial"/>
                <w:sz w:val="20"/>
                <w:szCs w:val="20"/>
              </w:rPr>
              <w:t>A recorded evaluation must be made and presented during the audit.</w:t>
            </w:r>
          </w:p>
          <w:p>
            <w:pPr>
              <w:numPr>
                <w:ilvl w:val="0"/>
                <w:numId w:val="87"/>
              </w:numPr>
              <w:spacing w:before="0" w:after="19"/>
              <w:ind w:hanging="283" w:left="283"/>
              <w:rPr>
                <w:rFonts w:ascii="Arial" w:hAnsi="Arial" w:cs="Arial"/>
                <w:sz w:val="20"/>
                <w:szCs w:val="20"/>
                <w:lang w:val="ro-RO" w:bidi="ar-SA"/>
              </w:rPr>
            </w:pPr>
            <w:r>
              <w:rPr>
                <w:rFonts w:ascii="Arial" w:hAnsi="Arial" w:cs="Arial"/>
                <w:sz w:val="20"/>
                <w:szCs w:val="20"/>
              </w:rPr>
              <w:t>Actions are to be defined on the basis of the evaluation.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1.6.3</w:t>
            </w:r>
          </w:p>
        </w:tc>
        <w:tc>
          <w:tcPr>
            <w:tcW w:w="1" w:type="dxa"/>
          </w:tcPr>
          <w:p>
            <w:pPr>
              <w:spacing w:before="0" w:after="19"/>
              <w:ind w:left="0" w:right="0"/>
              <w:rPr>
                <w:rFonts w:ascii="Arial" w:hAnsi="Arial" w:cs="Arial"/>
                <w:sz w:val="20"/>
                <w:szCs w:val="20"/>
              </w:rPr>
            </w:pPr>
            <w:r>
              <w:rPr>
                <w:rFonts w:ascii="Arial" w:hAnsi="Arial" w:cs="Arial"/>
                <w:sz w:val="20"/>
                <w:szCs w:val="20"/>
              </w:rPr>
              <w:t>Patient information (general)</w:t>
            </w:r>
          </w:p>
          <w:p>
            <w:pPr>
              <w:numPr>
                <w:ilvl w:val="0"/>
                <w:numId w:val="88"/>
              </w:numPr>
              <w:spacing w:before="0" w:after="19"/>
              <w:ind w:hanging="283" w:left="283" w:right="0"/>
              <w:rPr>
                <w:rFonts w:ascii="Arial" w:hAnsi="Arial" w:cs="Arial"/>
                <w:sz w:val="20"/>
                <w:szCs w:val="20"/>
              </w:rPr>
            </w:pPr>
            <w:r>
              <w:rPr>
                <w:rFonts w:ascii="Arial" w:hAnsi="Arial" w:cs="Arial"/>
                <w:sz w:val="20"/>
                <w:szCs w:val="20"/>
              </w:rPr>
              <w:t>The centre must present itself and its treatment options in a comprehensive manner (e.g. in a brochure, patient folder, on the homepage).</w:t>
            </w:r>
          </w:p>
          <w:p>
            <w:pPr>
              <w:numPr>
                <w:ilvl w:val="0"/>
                <w:numId w:val="88"/>
              </w:numPr>
              <w:spacing w:before="0" w:after="19"/>
              <w:ind w:hanging="283" w:left="283" w:right="0"/>
              <w:rPr>
                <w:rFonts w:ascii="Arial" w:hAnsi="Arial" w:cs="Arial"/>
                <w:sz w:val="20"/>
                <w:szCs w:val="20"/>
              </w:rPr>
            </w:pPr>
            <w:r>
              <w:rPr>
                <w:rFonts w:ascii="Arial" w:hAnsi="Arial" w:cs="Arial"/>
                <w:sz w:val="20"/>
                <w:szCs w:val="20"/>
              </w:rPr>
              <w:t>The co-operation partners and their contact persons must be named. The treatment programme must be described.</w:t>
            </w:r>
          </w:p>
          <w:p>
            <w:pPr>
              <w:numPr>
                <w:ilvl w:val="0"/>
                <w:numId w:val="88"/>
              </w:numPr>
              <w:spacing w:before="0" w:after="19"/>
              <w:ind w:hanging="283" w:left="283"/>
              <w:rPr>
                <w:rFonts w:ascii="Arial" w:hAnsi="Arial" w:cs="Arial"/>
                <w:sz w:val="20"/>
                <w:szCs w:val="20"/>
                <w:lang w:val="ro-RO" w:bidi="ar-SA"/>
              </w:rPr>
            </w:pPr>
            <w:r>
              <w:rPr>
                <w:rFonts w:ascii="Arial" w:hAnsi="Arial" w:cs="Arial"/>
                <w:sz w:val="20"/>
                <w:szCs w:val="20"/>
              </w:rPr>
              <w:t>The treatment programme presented must include Rehab/ AHB, self-help, treatment measures and alternatives.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1.6.4</w:t>
            </w:r>
          </w:p>
        </w:tc>
        <w:tc>
          <w:tcPr>
            <w:tcW w:w="1" w:type="dxa"/>
          </w:tcPr>
          <w:p>
            <w:pPr>
              <w:spacing w:before="0" w:after="19"/>
              <w:ind w:left="0" w:right="0"/>
              <w:rPr>
                <w:rFonts w:ascii="Arial" w:hAnsi="Arial" w:cs="Arial"/>
                <w:sz w:val="20"/>
                <w:szCs w:val="20"/>
              </w:rPr>
            </w:pPr>
            <w:r>
              <w:rPr>
                <w:rFonts w:ascii="Arial" w:hAnsi="Arial" w:cs="Arial"/>
                <w:sz w:val="20"/>
                <w:szCs w:val="20"/>
              </w:rPr>
              <w:t>Discharge interview</w:t>
            </w:r>
          </w:p>
          <w:p>
            <w:pPr>
              <w:spacing w:before="0" w:after="19"/>
              <w:ind w:left="0" w:right="0"/>
              <w:rPr>
                <w:rFonts w:ascii="Arial" w:hAnsi="Arial" w:cs="Arial"/>
                <w:sz w:val="20"/>
                <w:szCs w:val="20"/>
              </w:rPr>
            </w:pPr>
            <w:r>
              <w:rPr>
                <w:rFonts w:ascii="Arial" w:hAnsi="Arial" w:cs="Arial"/>
                <w:sz w:val="20"/>
                <w:szCs w:val="20"/>
              </w:rPr>
              <w:t>A discussion is held with each patient on discharge (brief documentation/ checklist) in which at least the following topics are addressed and relevant information is provided:</w:t>
            </w:r>
          </w:p>
          <w:p>
            <w:pPr>
              <w:numPr>
                <w:ilvl w:val="0"/>
                <w:numId w:val="89"/>
              </w:numPr>
              <w:spacing w:before="0" w:after="19"/>
              <w:ind w:hanging="283" w:left="283" w:right="0"/>
              <w:rPr>
                <w:rFonts w:ascii="Arial" w:hAnsi="Arial" w:cs="Arial"/>
                <w:sz w:val="20"/>
                <w:szCs w:val="20"/>
              </w:rPr>
            </w:pPr>
            <w:r>
              <w:rPr>
                <w:rFonts w:ascii="Arial" w:hAnsi="Arial" w:cs="Arial"/>
                <w:sz w:val="20"/>
                <w:szCs w:val="20"/>
              </w:rPr>
              <w:t>Therapy planning</w:t>
            </w:r>
          </w:p>
          <w:p>
            <w:pPr>
              <w:numPr>
                <w:ilvl w:val="0"/>
                <w:numId w:val="89"/>
              </w:numPr>
              <w:spacing w:before="0" w:after="19"/>
              <w:ind w:hanging="283" w:left="283"/>
              <w:rPr>
                <w:rFonts w:ascii="Arial" w:hAnsi="Arial" w:cs="Arial"/>
                <w:sz w:val="20"/>
                <w:szCs w:val="20"/>
                <w:lang w:val="ro-RO" w:bidi="ar-SA"/>
              </w:rPr>
            </w:pPr>
            <w:r>
              <w:rPr>
                <w:rFonts w:ascii="Arial" w:hAnsi="Arial" w:cs="Arial"/>
                <w:sz w:val="20"/>
                <w:szCs w:val="20"/>
              </w:rPr>
              <w:t>Individualised aftercare plan (handover of aftercare pass)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1.6.5</w:t>
            </w:r>
          </w:p>
        </w:tc>
        <w:tc>
          <w:tcPr>
            <w:tcW w:w="1" w:type="dxa"/>
          </w:tcPr>
          <w:p>
            <w:pPr>
              <w:spacing w:before="0" w:after="19"/>
              <w:ind w:left="0" w:right="0"/>
              <w:rPr>
                <w:rFonts w:ascii="Arial" w:hAnsi="Arial" w:cs="Arial"/>
                <w:sz w:val="20"/>
                <w:szCs w:val="20"/>
              </w:rPr>
            </w:pPr>
            <w:r>
              <w:rPr>
                <w:rFonts w:ascii="Arial" w:hAnsi="Arial" w:cs="Arial"/>
                <w:sz w:val="20"/>
                <w:szCs w:val="20"/>
              </w:rPr>
              <w:t>Event for Pat.</w:t>
            </w:r>
          </w:p>
          <w:p>
            <w:pPr>
              <w:spacing w:before="0" w:after="19"/>
              <w:ind w:left="0" w:right="0"/>
              <w:rPr>
                <w:rFonts w:ascii="Arial" w:hAnsi="Arial" w:cs="Arial"/>
                <w:sz w:val="20"/>
                <w:szCs w:val="20"/>
              </w:rPr>
            </w:pPr>
            <w:r>
              <w:rPr>
                <w:rFonts w:ascii="Arial" w:hAnsi="Arial" w:cs="Arial"/>
                <w:sz w:val="20"/>
                <w:szCs w:val="20"/>
              </w:rPr>
              <w:t xml:space="preserve">The Centre for </w:t>
            </w:r>
            <w:r>
              <w:rPr>
                <w:rFonts w:ascii="Arial" w:hAnsi="Arial" w:cs="Arial" w:eastAsia="Calibri"/>
                <w:sz w:val="20"/>
                <w:szCs w:val="20"/>
              </w:rPr>
              <w:t>Haematological Neoplasms</w:t>
            </w:r>
            <w:r>
              <w:rPr>
                <w:rFonts w:ascii="Arial" w:hAnsi="Arial" w:cs="Arial"/>
                <w:sz w:val="20"/>
                <w:szCs w:val="20"/>
              </w:rPr>
              <w:t xml:space="preserve"> must hold an information event for patients and/or interested parties at least once a year. If possible in co-operation with self-help groups.</w:t>
            </w:r>
          </w:p>
          <w:p>
            <w:pPr>
              <w:spacing w:before="0" w:after="19"/>
              <w:ind w:left="0" w:right="0"/>
              <w:rPr>
                <w:rFonts w:ascii="Arial" w:hAnsi="Arial" w:cs="Arial"/>
                <w:sz w:val="20"/>
                <w:szCs w:val="20"/>
              </w:rPr>
            </w:pPr>
            <w:r>
              <w:rPr>
                <w:rFonts w:ascii="Arial" w:hAnsi="Arial" w:cs="Arial"/>
                <w:sz w:val="20"/>
                <w:szCs w:val="20"/>
              </w:rPr>
              <w:t>If patient events are (co-)financed by industry, this fact including potential conflicts of interest of the speakers must be disclosed. The centre must rule out any direct influence on patients by industry representatives.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1.6.6</w:t>
            </w:r>
          </w:p>
        </w:tc>
        <w:tc>
          <w:tcPr>
            <w:tcW w:w="1" w:type="dxa"/>
          </w:tcPr>
          <w:p>
            <w:pPr>
              <w:spacing w:before="0" w:after="19"/>
              <w:ind w:left="0" w:right="0"/>
              <w:rPr>
                <w:rFonts w:ascii="Arial" w:hAnsi="Arial" w:cs="Arial"/>
                <w:sz w:val="20"/>
                <w:szCs w:val="20"/>
              </w:rPr>
            </w:pPr>
            <w:r>
              <w:rPr>
                <w:rFonts w:ascii="Arial" w:hAnsi="Arial" w:cs="Arial"/>
                <w:sz w:val="20"/>
                <w:szCs w:val="20"/>
              </w:rPr>
              <w:t>Complaints management</w:t>
            </w:r>
          </w:p>
          <w:p>
            <w:pPr>
              <w:spacing w:before="0" w:after="19"/>
              <w:rPr>
                <w:rFonts w:ascii="Arial" w:hAnsi="Arial" w:cs="Arial"/>
                <w:sz w:val="20"/>
                <w:szCs w:val="20"/>
                <w:lang w:val="ro-RO" w:bidi="ar-SA"/>
              </w:rPr>
            </w:pPr>
            <w:r>
              <w:rPr>
                <w:rFonts w:ascii="Arial" w:hAnsi="Arial" w:cs="Arial"/>
                <w:sz w:val="20"/>
                <w:szCs w:val="20"/>
              </w:rPr>
              <w:t>A regulated complaints management system is in place. Patients receive feedback. Complaints are taken into account in the improvement process.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1.6.7</w:t>
            </w:r>
          </w:p>
        </w:tc>
        <w:tc>
          <w:tcPr>
            <w:tcW w:w="1" w:type="dxa"/>
          </w:tcPr>
          <w:p>
            <w:pPr>
              <w:spacing w:before="0" w:after="19"/>
              <w:ind w:left="0" w:right="0"/>
              <w:rPr>
                <w:rFonts w:ascii="Arial" w:hAnsi="Arial" w:cs="Arial"/>
                <w:sz w:val="20"/>
                <w:szCs w:val="20"/>
              </w:rPr>
            </w:pPr>
            <w:r>
              <w:rPr>
                <w:rFonts w:ascii="Arial" w:hAnsi="Arial" w:cs="Arial"/>
                <w:sz w:val="20"/>
                <w:szCs w:val="20"/>
              </w:rPr>
              <w:t>Self-help groups</w:t>
            </w:r>
          </w:p>
          <w:p>
            <w:pPr>
              <w:spacing w:before="0" w:after="19"/>
              <w:ind w:left="0" w:right="0"/>
              <w:rPr>
                <w:rFonts w:ascii="Arial" w:hAnsi="Arial" w:cs="Arial"/>
                <w:sz w:val="20"/>
                <w:szCs w:val="20"/>
              </w:rPr>
            </w:pPr>
            <w:r>
              <w:rPr>
                <w:rFonts w:ascii="Arial" w:hAnsi="Arial" w:cs="Arial"/>
                <w:sz w:val="20"/>
                <w:szCs w:val="20"/>
              </w:rPr>
              <w:t xml:space="preserve">The self-help groups with which the Centre for </w:t>
            </w:r>
            <w:r>
              <w:rPr>
                <w:rFonts w:ascii="Arial" w:hAnsi="Arial" w:cs="Arial" w:eastAsia="Calibri"/>
                <w:sz w:val="20"/>
                <w:szCs w:val="20"/>
              </w:rPr>
              <w:t>Haematological Neoplasms</w:t>
            </w:r>
            <w:r>
              <w:rPr>
                <w:rFonts w:ascii="Arial" w:hAnsi="Arial" w:cs="Arial"/>
                <w:sz w:val="20"/>
                <w:szCs w:val="20"/>
              </w:rPr>
              <w:t xml:space="preserve"> actively cooperates must be named.</w:t>
            </w:r>
          </w:p>
          <w:p>
            <w:pPr>
              <w:numPr>
                <w:ilvl w:val="0"/>
                <w:numId w:val="90"/>
              </w:numPr>
              <w:spacing w:before="0" w:after="19"/>
              <w:ind w:hanging="283" w:left="283" w:right="0"/>
              <w:rPr>
                <w:rFonts w:ascii="Arial" w:hAnsi="Arial" w:cs="Arial"/>
                <w:sz w:val="20"/>
                <w:szCs w:val="20"/>
              </w:rPr>
            </w:pPr>
            <w:r>
              <w:rPr>
                <w:rFonts w:ascii="Arial" w:hAnsi="Arial" w:cs="Arial"/>
                <w:sz w:val="20"/>
                <w:szCs w:val="20"/>
              </w:rPr>
              <w:t>A contact person must be named.</w:t>
            </w:r>
          </w:p>
          <w:p>
            <w:pPr>
              <w:numPr>
                <w:ilvl w:val="0"/>
                <w:numId w:val="90"/>
              </w:numPr>
              <w:spacing w:before="0" w:after="19"/>
              <w:ind w:hanging="283" w:left="283"/>
              <w:rPr>
                <w:rFonts w:ascii="Arial" w:hAnsi="Arial" w:cs="Arial"/>
                <w:sz w:val="20"/>
                <w:szCs w:val="20"/>
                <w:lang w:val="ro-RO" w:bidi="ar-SA"/>
              </w:rPr>
            </w:pPr>
            <w:r>
              <w:rPr>
                <w:rFonts w:ascii="Arial" w:hAnsi="Arial" w:cs="Arial"/>
                <w:sz w:val="20"/>
                <w:szCs w:val="20"/>
              </w:rPr>
              <w:t>The tasks of the self-help groups can only be carried out by members of the self-help groups.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1.6.8</w:t>
            </w:r>
          </w:p>
        </w:tc>
        <w:tc>
          <w:tcPr>
            <w:tcW w:w="1" w:type="dxa"/>
          </w:tcPr>
          <w:p>
            <w:pPr>
              <w:spacing w:before="0" w:after="19"/>
              <w:ind w:left="0" w:right="0"/>
              <w:rPr>
                <w:rFonts w:ascii="Arial" w:hAnsi="Arial" w:cs="Arial"/>
                <w:sz w:val="20"/>
                <w:szCs w:val="20"/>
              </w:rPr>
            </w:pPr>
            <w:r>
              <w:rPr>
                <w:rFonts w:ascii="Arial" w:hAnsi="Arial" w:cs="Arial"/>
                <w:sz w:val="20"/>
                <w:szCs w:val="20"/>
              </w:rPr>
              <w:t>Written agreements should be made with the self-help groups. These should be updated at least every 5 years and include the following points:</w:t>
            </w:r>
          </w:p>
          <w:p>
            <w:pPr>
              <w:numPr>
                <w:ilvl w:val="0"/>
                <w:numId w:val="91"/>
              </w:numPr>
              <w:spacing w:before="0" w:after="19"/>
              <w:ind w:hanging="283" w:left="283" w:right="0"/>
              <w:rPr>
                <w:rFonts w:ascii="Arial" w:hAnsi="Arial" w:cs="Arial"/>
                <w:sz w:val="20"/>
                <w:szCs w:val="20"/>
              </w:rPr>
            </w:pPr>
            <w:r>
              <w:rPr>
                <w:rFonts w:ascii="Arial" w:hAnsi="Arial" w:cs="Arial"/>
                <w:sz w:val="20"/>
                <w:szCs w:val="20"/>
              </w:rPr>
              <w:t>Access to self-help groups in all phases of care (initial diagnosis, hospitalisation, chemotherapy, aftercare, etc.).</w:t>
            </w:r>
          </w:p>
          <w:p>
            <w:pPr>
              <w:numPr>
                <w:ilvl w:val="0"/>
                <w:numId w:val="91"/>
              </w:numPr>
              <w:spacing w:before="0" w:after="19"/>
              <w:ind w:hanging="283" w:left="283" w:right="0"/>
              <w:rPr>
                <w:rFonts w:ascii="Arial" w:hAnsi="Arial" w:cs="Arial"/>
                <w:sz w:val="20"/>
                <w:szCs w:val="20"/>
              </w:rPr>
            </w:pPr>
            <w:r>
              <w:rPr>
                <w:rFonts w:ascii="Arial" w:hAnsi="Arial" w:cs="Arial"/>
                <w:sz w:val="20"/>
                <w:szCs w:val="20"/>
              </w:rPr>
              <w:t>Announcement of contact details of self-help groups (e.g. in patient brochures, homepage of the centre).</w:t>
            </w:r>
          </w:p>
          <w:p>
            <w:pPr>
              <w:numPr>
                <w:ilvl w:val="0"/>
                <w:numId w:val="91"/>
              </w:numPr>
              <w:spacing w:before="0" w:after="19"/>
              <w:ind w:hanging="283" w:left="283" w:right="0"/>
              <w:rPr>
                <w:rFonts w:ascii="Arial" w:hAnsi="Arial" w:cs="Arial"/>
                <w:sz w:val="20"/>
                <w:szCs w:val="20"/>
              </w:rPr>
            </w:pPr>
            <w:r>
              <w:rPr>
                <w:rFonts w:ascii="Arial" w:hAnsi="Arial" w:cs="Arial"/>
                <w:sz w:val="20"/>
                <w:szCs w:val="20"/>
              </w:rPr>
              <w:t>Possibilities Display of information brochures from self-help groups.</w:t>
            </w:r>
          </w:p>
          <w:p>
            <w:pPr>
              <w:numPr>
                <w:ilvl w:val="0"/>
                <w:numId w:val="91"/>
              </w:numPr>
              <w:spacing w:before="0" w:after="19"/>
              <w:ind w:hanging="283" w:left="283" w:right="0"/>
              <w:rPr>
                <w:rFonts w:ascii="Arial" w:hAnsi="Arial" w:cs="Arial"/>
                <w:sz w:val="20"/>
                <w:szCs w:val="20"/>
              </w:rPr>
            </w:pPr>
            <w:r>
              <w:rPr>
                <w:rFonts w:ascii="Arial" w:hAnsi="Arial" w:cs="Arial"/>
                <w:sz w:val="20"/>
                <w:szCs w:val="20"/>
              </w:rPr>
              <w:t>Regular provision of rooms at the centre for patient consultations.</w:t>
            </w:r>
          </w:p>
          <w:p>
            <w:pPr>
              <w:numPr>
                <w:ilvl w:val="0"/>
                <w:numId w:val="91"/>
              </w:numPr>
              <w:spacing w:before="0" w:after="19"/>
              <w:ind w:hanging="283" w:left="283" w:right="0"/>
              <w:rPr>
                <w:rFonts w:ascii="Arial" w:hAnsi="Arial" w:cs="Arial"/>
                <w:sz w:val="20"/>
                <w:szCs w:val="20"/>
              </w:rPr>
            </w:pPr>
            <w:r>
              <w:rPr>
                <w:rFonts w:ascii="Arial" w:hAnsi="Arial" w:cs="Arial"/>
                <w:sz w:val="20"/>
                <w:szCs w:val="20"/>
              </w:rPr>
              <w:t>Quality circles involving representatives from psycho-oncology, self-help groups, social services, pastoral care, nursing and medicine.</w:t>
            </w:r>
          </w:p>
          <w:p>
            <w:pPr>
              <w:numPr>
                <w:ilvl w:val="0"/>
                <w:numId w:val="91"/>
              </w:numPr>
              <w:spacing w:before="0" w:after="19"/>
              <w:ind w:hanging="283" w:left="283" w:right="0"/>
              <w:rPr>
                <w:rFonts w:ascii="Arial" w:hAnsi="Arial" w:cs="Arial"/>
                <w:sz w:val="20"/>
                <w:szCs w:val="20"/>
              </w:rPr>
            </w:pPr>
            <w:r>
              <w:rPr>
                <w:rFonts w:ascii="Arial" w:hAnsi="Arial" w:cs="Arial"/>
                <w:sz w:val="20"/>
                <w:szCs w:val="20"/>
              </w:rPr>
              <w:t xml:space="preserve">Personal discussions between self-help groups and the Centre for </w:t>
            </w:r>
            <w:r>
              <w:rPr>
                <w:rFonts w:ascii="Arial" w:hAnsi="Arial" w:cs="Arial" w:eastAsia="Calibri"/>
                <w:sz w:val="20"/>
                <w:szCs w:val="20"/>
              </w:rPr>
              <w:t>Haematological Neoplasms</w:t>
            </w:r>
            <w:r>
              <w:rPr>
                <w:rFonts w:ascii="Arial" w:hAnsi="Arial" w:cs="Arial"/>
                <w:sz w:val="20"/>
                <w:szCs w:val="20"/>
              </w:rPr>
              <w:t xml:space="preserve"> with the aim of organising joint activities and events or coordinating them with each other. The result of the discussion must be recorded.</w:t>
            </w:r>
          </w:p>
          <w:p>
            <w:pPr>
              <w:numPr>
                <w:ilvl w:val="0"/>
                <w:numId w:val="91"/>
              </w:numPr>
              <w:spacing w:before="0" w:after="19"/>
              <w:ind w:hanging="283" w:left="283"/>
              <w:rPr>
                <w:rFonts w:ascii="Arial" w:hAnsi="Arial" w:cs="Arial"/>
                <w:sz w:val="20"/>
                <w:szCs w:val="20"/>
                <w:lang w:val="ro-RO" w:bidi="ar-SA"/>
              </w:rPr>
            </w:pPr>
            <w:r>
              <w:rPr>
                <w:rFonts w:ascii="Arial" w:hAnsi="Arial" w:cs="Arial"/>
                <w:sz w:val="20"/>
                <w:szCs w:val="20"/>
              </w:rPr>
              <w:t>Participation of medical staff in events organised by the self-help group.</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1.7</w:t>
              <w:tab/>
              <w:t xml:space="preserve"> Study management</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1.7.1</w:t>
            </w:r>
          </w:p>
        </w:tc>
        <w:tc>
          <w:tcPr>
            <w:tcW w:w="1" w:type="dxa"/>
          </w:tcPr>
          <w:p>
            <w:pPr>
              <w:spacing w:before="0" w:after="19"/>
              <w:ind w:left="0" w:right="0"/>
              <w:rPr>
                <w:rFonts w:ascii="Arial" w:hAnsi="Arial" w:cs="Arial"/>
                <w:sz w:val="20"/>
                <w:szCs w:val="20"/>
              </w:rPr>
            </w:pPr>
            <w:r>
              <w:rPr>
                <w:rFonts w:ascii="Arial" w:hAnsi="Arial" w:cs="Arial"/>
                <w:sz w:val="20"/>
                <w:szCs w:val="20"/>
              </w:rPr>
              <w:t>Access to studies</w:t>
            </w:r>
          </w:p>
          <w:p>
            <w:pPr>
              <w:spacing w:before="0" w:after="19"/>
              <w:rPr>
                <w:rFonts w:ascii="Arial" w:hAnsi="Arial" w:cs="Arial"/>
                <w:sz w:val="20"/>
                <w:szCs w:val="20"/>
                <w:lang w:val="ro-RO" w:bidi="ar-SA"/>
              </w:rPr>
            </w:pPr>
            <w:r>
              <w:rPr>
                <w:rFonts w:ascii="Arial" w:hAnsi="Arial" w:cs="Arial"/>
                <w:sz w:val="20"/>
                <w:szCs w:val="20"/>
              </w:rPr>
              <w:t xml:space="preserve">Patients must have access to studies. The studies conducted at the Centre for </w:t>
            </w:r>
            <w:r>
              <w:rPr>
                <w:rFonts w:ascii="Arial" w:hAnsi="Arial" w:cs="Arial" w:eastAsia="Calibri"/>
                <w:sz w:val="20"/>
                <w:szCs w:val="20"/>
              </w:rPr>
              <w:t>Haematological Neoplasms</w:t>
            </w:r>
            <w:r>
              <w:rPr>
                <w:rFonts w:ascii="Arial" w:hAnsi="Arial" w:cs="Arial"/>
                <w:sz w:val="20"/>
                <w:szCs w:val="20"/>
              </w:rPr>
              <w:t xml:space="preserve"> must be listed and published, e.g. on the homepage.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1.7.2</w:t>
            </w:r>
          </w:p>
        </w:tc>
        <w:tc>
          <w:tcPr>
            <w:tcW w:w="1" w:type="dxa"/>
          </w:tcPr>
          <w:p>
            <w:pPr>
              <w:spacing w:before="0" w:after="19"/>
              <w:ind w:left="0" w:right="0"/>
              <w:rPr>
                <w:rFonts w:ascii="Arial" w:hAnsi="Arial" w:cs="Arial"/>
                <w:sz w:val="20"/>
                <w:szCs w:val="20"/>
              </w:rPr>
            </w:pPr>
            <w:r>
              <w:rPr>
                <w:rFonts w:ascii="Arial" w:hAnsi="Arial" w:cs="Arial"/>
                <w:sz w:val="20"/>
                <w:szCs w:val="20"/>
              </w:rPr>
              <w:t>Study representative</w:t>
            </w:r>
          </w:p>
          <w:p>
            <w:pPr>
              <w:spacing w:before="0" w:after="19"/>
              <w:ind w:left="0" w:right="0"/>
              <w:rPr>
                <w:rFonts w:ascii="Arial" w:hAnsi="Arial" w:cs="Arial"/>
                <w:sz w:val="20"/>
                <w:szCs w:val="20"/>
              </w:rPr>
            </w:pPr>
            <w:r>
              <w:rPr>
                <w:rFonts w:ascii="Arial" w:hAnsi="Arial" w:cs="Arial"/>
                <w:sz w:val="20"/>
                <w:szCs w:val="20"/>
              </w:rPr>
              <w:t>The physician in charge of studies must be named.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Study assistance</w:t>
            </w:r>
          </w:p>
          <w:p>
            <w:pPr>
              <w:numPr>
                <w:ilvl w:val="0"/>
                <w:numId w:val="92"/>
              </w:numPr>
              <w:spacing w:before="0" w:after="19"/>
              <w:ind w:hanging="283" w:left="283" w:right="0"/>
              <w:rPr>
                <w:rFonts w:ascii="Arial" w:hAnsi="Arial" w:cs="Arial"/>
                <w:sz w:val="20"/>
                <w:szCs w:val="20"/>
              </w:rPr>
            </w:pPr>
            <w:r>
              <w:rPr>
                <w:rFonts w:ascii="Arial" w:hAnsi="Arial" w:cs="Arial"/>
                <w:sz w:val="20"/>
                <w:szCs w:val="20"/>
              </w:rPr>
              <w:t>One study assistant per "conducting study unit" must be named in the "study organisation chart".</w:t>
            </w:r>
          </w:p>
          <w:p>
            <w:pPr>
              <w:numPr>
                <w:ilvl w:val="0"/>
                <w:numId w:val="92"/>
              </w:numPr>
              <w:spacing w:before="0" w:after="19"/>
              <w:ind w:hanging="283" w:left="283" w:right="0"/>
              <w:rPr>
                <w:rFonts w:ascii="Arial" w:hAnsi="Arial" w:cs="Arial"/>
                <w:sz w:val="20"/>
                <w:szCs w:val="20"/>
              </w:rPr>
            </w:pPr>
            <w:r>
              <w:rPr>
                <w:rFonts w:ascii="Arial" w:hAnsi="Arial" w:cs="Arial"/>
                <w:sz w:val="20"/>
                <w:szCs w:val="20"/>
              </w:rPr>
              <w:t>This can be active for several "performing study units" in parallel.</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1.7.3</w:t>
            </w:r>
          </w:p>
        </w:tc>
        <w:tc>
          <w:tcPr>
            <w:tcW w:w="1" w:type="dxa"/>
          </w:tcPr>
          <w:p>
            <w:pPr>
              <w:spacing w:before="0" w:after="19"/>
              <w:ind w:left="0" w:right="0"/>
              <w:rPr>
                <w:rFonts w:ascii="Arial" w:hAnsi="Arial" w:cs="Arial"/>
                <w:sz w:val="20"/>
                <w:szCs w:val="20"/>
              </w:rPr>
            </w:pPr>
            <w:r>
              <w:rPr>
                <w:rFonts w:ascii="Arial" w:hAnsi="Arial" w:cs="Arial"/>
                <w:sz w:val="20"/>
                <w:szCs w:val="20"/>
              </w:rPr>
              <w:t>Study Assistance - Qualification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Vocational training</w:t>
            </w:r>
          </w:p>
          <w:p>
            <w:pPr>
              <w:spacing w:before="0" w:after="19"/>
              <w:ind w:left="0" w:right="0"/>
              <w:rPr>
                <w:rFonts w:ascii="Arial" w:hAnsi="Arial" w:cs="Arial"/>
                <w:sz w:val="20"/>
                <w:szCs w:val="20"/>
              </w:rPr>
            </w:pPr>
            <w:r>
              <w:rPr>
                <w:rFonts w:ascii="Arial" w:hAnsi="Arial" w:cs="Arial"/>
                <w:sz w:val="20"/>
                <w:szCs w:val="20"/>
              </w:rPr>
              <w:t>Specialised medical training (e.g. MTA, healthcare/ nursing assistant, medical assistant)</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Education</w:t>
            </w:r>
          </w:p>
          <w:p>
            <w:pPr>
              <w:spacing w:before="0" w:after="19"/>
              <w:ind w:left="0" w:right="0"/>
              <w:rPr>
                <w:rFonts w:ascii="Arial" w:hAnsi="Arial" w:cs="Arial"/>
                <w:sz w:val="20"/>
                <w:szCs w:val="20"/>
              </w:rPr>
            </w:pPr>
            <w:r>
              <w:rPr>
                <w:rFonts w:ascii="Arial" w:hAnsi="Arial" w:cs="Arial"/>
                <w:sz w:val="20"/>
                <w:szCs w:val="20"/>
              </w:rPr>
              <w:t>Specific training for the study assistant function must be demonstrated (guideline: course lasting several days).</w:t>
            </w:r>
          </w:p>
          <w:p>
            <w:pPr>
              <w:spacing w:before="0" w:after="19"/>
              <w:ind w:left="0" w:right="0"/>
              <w:rPr>
                <w:rFonts w:ascii="Arial" w:hAnsi="Arial" w:cs="Arial"/>
                <w:sz w:val="20"/>
                <w:szCs w:val="20"/>
              </w:rPr>
            </w:pPr>
            <w:r>
              <w:rPr>
                <w:rFonts w:ascii="Arial" w:hAnsi="Arial" w:cs="Arial"/>
                <w:sz w:val="20"/>
                <w:szCs w:val="20"/>
              </w:rPr>
              <w:t>At least one course application must be submitted at the time of initial certification. The course must be completed within one year. During the training programme, the investigator/ study representative must compensate for any qualification deficits.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1.7.4</w:t>
            </w:r>
          </w:p>
        </w:tc>
        <w:tc>
          <w:tcPr>
            <w:tcW w:w="1" w:type="dxa"/>
          </w:tcPr>
          <w:p>
            <w:pPr>
              <w:spacing w:before="0" w:after="19"/>
              <w:ind w:left="0" w:right="0"/>
              <w:rPr>
                <w:rFonts w:ascii="Arial" w:hAnsi="Arial" w:cs="Arial"/>
                <w:sz w:val="20"/>
                <w:szCs w:val="20"/>
              </w:rPr>
            </w:pPr>
            <w:r>
              <w:rPr>
                <w:rFonts w:ascii="Arial" w:hAnsi="Arial" w:cs="Arial"/>
                <w:sz w:val="20"/>
                <w:szCs w:val="20"/>
              </w:rPr>
              <w:t>Study assistance - Tasks</w:t>
            </w:r>
          </w:p>
          <w:p>
            <w:pPr>
              <w:spacing w:before="0" w:after="19"/>
              <w:ind w:left="0" w:right="0"/>
              <w:rPr>
                <w:rFonts w:ascii="Arial" w:hAnsi="Arial" w:cs="Arial"/>
                <w:sz w:val="20"/>
                <w:szCs w:val="20"/>
              </w:rPr>
            </w:pPr>
            <w:r>
              <w:rPr>
                <w:rFonts w:ascii="Arial" w:hAnsi="Arial" w:cs="Arial"/>
                <w:sz w:val="20"/>
                <w:szCs w:val="20"/>
              </w:rPr>
              <w:t>The range of tasks must be defined in writing (e.g. via job/ function description) and may include the following contents, among others:</w:t>
            </w:r>
          </w:p>
          <w:p>
            <w:pPr>
              <w:numPr>
                <w:ilvl w:val="0"/>
                <w:numId w:val="93"/>
              </w:numPr>
              <w:spacing w:before="0" w:after="19"/>
              <w:ind w:hanging="283" w:left="283" w:right="0"/>
              <w:rPr>
                <w:rFonts w:ascii="Arial" w:hAnsi="Arial" w:cs="Arial"/>
                <w:sz w:val="20"/>
                <w:szCs w:val="20"/>
              </w:rPr>
            </w:pPr>
            <w:r>
              <w:rPr>
                <w:rFonts w:ascii="Arial" w:hAnsi="Arial" w:cs="Arial"/>
                <w:sz w:val="20"/>
                <w:szCs w:val="20"/>
              </w:rPr>
              <w:t>Conducting studies together with the doctor in charge of the study</w:t>
            </w:r>
          </w:p>
          <w:p>
            <w:pPr>
              <w:numPr>
                <w:ilvl w:val="0"/>
                <w:numId w:val="93"/>
              </w:numPr>
              <w:spacing w:before="0" w:after="19"/>
              <w:ind w:hanging="283" w:left="283" w:right="0"/>
              <w:rPr>
                <w:rFonts w:ascii="Arial" w:hAnsi="Arial" w:cs="Arial"/>
                <w:sz w:val="20"/>
                <w:szCs w:val="20"/>
              </w:rPr>
            </w:pPr>
            <w:r>
              <w:rPr>
                <w:rFonts w:ascii="Arial" w:hAnsi="Arial" w:cs="Arial"/>
                <w:sz w:val="20"/>
                <w:szCs w:val="20"/>
              </w:rPr>
              <w:t>Patient care during the study and in aftercare</w:t>
            </w:r>
          </w:p>
          <w:p>
            <w:pPr>
              <w:numPr>
                <w:ilvl w:val="0"/>
                <w:numId w:val="93"/>
              </w:numPr>
              <w:spacing w:before="0" w:after="19"/>
              <w:ind w:hanging="283" w:left="283" w:right="0"/>
              <w:rPr>
                <w:rFonts w:ascii="Arial" w:hAnsi="Arial" w:cs="Arial"/>
                <w:sz w:val="20"/>
                <w:szCs w:val="20"/>
              </w:rPr>
            </w:pPr>
            <w:r>
              <w:rPr>
                <w:rFonts w:ascii="Arial" w:hAnsi="Arial" w:cs="Arial"/>
                <w:sz w:val="20"/>
                <w:szCs w:val="20"/>
              </w:rPr>
              <w:t>Organisation, coordination of diagnostics, laboratory, sample dispatch and test medication</w:t>
            </w:r>
          </w:p>
          <w:p>
            <w:pPr>
              <w:numPr>
                <w:ilvl w:val="0"/>
                <w:numId w:val="93"/>
              </w:numPr>
              <w:spacing w:before="0" w:after="19"/>
              <w:ind w:hanging="283" w:left="283" w:right="0"/>
              <w:rPr>
                <w:rFonts w:ascii="Arial" w:hAnsi="Arial" w:cs="Arial"/>
                <w:sz w:val="20"/>
                <w:szCs w:val="20"/>
              </w:rPr>
            </w:pPr>
            <w:r>
              <w:rPr>
                <w:rFonts w:ascii="Arial" w:hAnsi="Arial" w:cs="Arial"/>
                <w:sz w:val="20"/>
                <w:szCs w:val="20"/>
              </w:rPr>
              <w:t>Collection and documentation of all study-relevant data</w:t>
            </w:r>
          </w:p>
          <w:p>
            <w:pPr>
              <w:numPr>
                <w:ilvl w:val="0"/>
                <w:numId w:val="93"/>
              </w:numPr>
              <w:spacing w:before="0" w:after="19"/>
              <w:ind w:hanging="283" w:left="283" w:right="0"/>
              <w:rPr>
                <w:rFonts w:ascii="Arial" w:hAnsi="Arial" w:cs="Arial"/>
                <w:sz w:val="20"/>
                <w:szCs w:val="20"/>
              </w:rPr>
            </w:pPr>
            <w:r>
              <w:rPr>
                <w:rFonts w:ascii="Arial" w:hAnsi="Arial" w:cs="Arial"/>
                <w:sz w:val="20"/>
                <w:szCs w:val="20"/>
              </w:rPr>
              <w:t>Preparation and monitoring of audits and inspections by authorities</w:t>
            </w:r>
          </w:p>
          <w:p>
            <w:pPr>
              <w:numPr>
                <w:ilvl w:val="0"/>
                <w:numId w:val="93"/>
              </w:numPr>
              <w:spacing w:before="0" w:after="19"/>
              <w:ind w:hanging="283" w:left="283"/>
              <w:rPr>
                <w:rFonts w:ascii="Arial" w:hAnsi="Arial" w:cs="Arial"/>
                <w:sz w:val="20"/>
                <w:szCs w:val="20"/>
                <w:lang w:val="ro-RO" w:bidi="ar-SA"/>
              </w:rPr>
            </w:pPr>
            <w:r>
              <w:rPr>
                <w:rFonts w:ascii="Arial" w:hAnsi="Arial" w:cs="Arial"/>
                <w:sz w:val="20"/>
                <w:szCs w:val="20"/>
              </w:rPr>
              <w:t>The work of a study assistant can be combined with other activities such as tumour documentation.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1.7.5</w:t>
            </w:r>
          </w:p>
        </w:tc>
        <w:tc>
          <w:tcPr>
            <w:tcW w:w="1" w:type="dxa"/>
          </w:tcPr>
          <w:p>
            <w:pPr>
              <w:spacing w:before="0" w:after="19"/>
              <w:ind w:left="0" w:right="0"/>
              <w:rPr>
                <w:rFonts w:ascii="Arial" w:hAnsi="Arial" w:cs="Arial"/>
                <w:sz w:val="20"/>
                <w:szCs w:val="20"/>
              </w:rPr>
            </w:pPr>
            <w:r>
              <w:rPr>
                <w:rFonts w:ascii="Arial" w:hAnsi="Arial" w:cs="Arial"/>
                <w:sz w:val="20"/>
                <w:szCs w:val="20"/>
              </w:rPr>
              <w:t>Proportion study patients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1.initial certification:</w:t>
            </w:r>
          </w:p>
          <w:p>
            <w:pPr>
              <w:spacing w:before="0" w:after="19"/>
              <w:ind w:left="0" w:right="0"/>
              <w:rPr>
                <w:rFonts w:ascii="Arial" w:hAnsi="Arial" w:cs="Arial"/>
                <w:sz w:val="20"/>
                <w:szCs w:val="20"/>
              </w:rPr>
            </w:pPr>
            <w:r>
              <w:rPr>
                <w:rFonts w:ascii="Arial" w:hAnsi="Arial" w:cs="Arial"/>
                <w:sz w:val="20"/>
                <w:szCs w:val="20"/>
              </w:rPr>
              <w:t>At the time of initial certification, ≥1 patient must have been enrolled in studies.</w:t>
            </w:r>
          </w:p>
          <w:p>
            <w:pPr>
              <w:spacing w:before="0" w:after="19"/>
              <w:ind w:left="0" w:right="0"/>
              <w:rPr>
                <w:rFonts w:ascii="Arial" w:hAnsi="Arial" w:cs="Arial"/>
                <w:sz w:val="20"/>
                <w:szCs w:val="20"/>
              </w:rPr>
            </w:pPr>
            <w:r>
              <w:rPr>
                <w:rFonts w:ascii="Arial" w:hAnsi="Arial" w:cs="Arial"/>
                <w:sz w:val="20"/>
                <w:szCs w:val="20"/>
              </w:rPr>
              <w:t>2.after 1 year:</w:t>
            </w:r>
          </w:p>
          <w:p>
            <w:pPr>
              <w:spacing w:before="0" w:after="19"/>
              <w:ind w:left="0" w:right="0"/>
              <w:rPr>
                <w:rFonts w:ascii="Arial" w:hAnsi="Arial" w:cs="Arial"/>
                <w:sz w:val="20"/>
                <w:szCs w:val="20"/>
              </w:rPr>
            </w:pPr>
            <w:r>
              <w:rPr>
                <w:rFonts w:ascii="Arial" w:hAnsi="Arial" w:cs="Arial"/>
                <w:sz w:val="20"/>
                <w:szCs w:val="20"/>
              </w:rPr>
              <w:t>At least 5% of the primary case number.</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Only the inclusion of patients in studies with an ethics vote counts as study participation (non-interventional/ diagnostic studies and prevention studies are also recognised; biobank collections alone are excluded).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All study patients can be taken into account for the calculation of the study quota (proportion of study patients in relation to the primary case number of the centre).</w:t>
            </w:r>
          </w:p>
          <w:p>
            <w:pPr>
              <w:spacing w:before="0" w:after="19"/>
              <w:ind w:left="0" w:right="0"/>
              <w:rPr>
                <w:rFonts w:ascii="Arial" w:hAnsi="Arial" w:cs="Arial"/>
                <w:sz w:val="20"/>
                <w:szCs w:val="20"/>
              </w:rPr>
            </w:pPr>
            <w:r>
              <w:rPr>
                <w:rFonts w:ascii="Arial" w:hAnsi="Arial" w:cs="Arial"/>
                <w:sz w:val="20"/>
                <w:szCs w:val="20"/>
              </w:rPr>
              <w:t>General requirements for the definition of study quota:</w:t>
            </w:r>
          </w:p>
          <w:p>
            <w:pPr>
              <w:numPr>
                <w:ilvl w:val="0"/>
                <w:numId w:val="94"/>
              </w:numPr>
              <w:spacing w:before="0" w:after="19"/>
              <w:ind w:hanging="283" w:left="283" w:right="0"/>
              <w:rPr>
                <w:rFonts w:ascii="Arial" w:hAnsi="Arial" w:cs="Arial"/>
                <w:sz w:val="20"/>
                <w:szCs w:val="20"/>
              </w:rPr>
            </w:pPr>
            <w:r>
              <w:rPr>
                <w:rFonts w:ascii="Arial" w:hAnsi="Arial" w:cs="Arial"/>
                <w:sz w:val="20"/>
                <w:szCs w:val="20"/>
              </w:rPr>
              <w:t>Patients can be counted once per study, time: date of patient consent.</w:t>
              <w:br w:type="textWrapping"/>
            </w:r>
          </w:p>
          <w:p>
            <w:pPr>
              <w:numPr>
                <w:ilvl w:val="0"/>
                <w:numId w:val="94"/>
              </w:numPr>
              <w:spacing w:before="0" w:after="19"/>
              <w:ind w:hanging="283" w:left="283" w:right="0"/>
              <w:rPr>
                <w:rFonts w:ascii="Arial" w:hAnsi="Arial" w:cs="Arial"/>
                <w:sz w:val="20"/>
                <w:szCs w:val="20"/>
              </w:rPr>
            </w:pPr>
            <w:r>
              <w:rPr>
                <w:rFonts w:ascii="Arial" w:hAnsi="Arial" w:cs="Arial"/>
                <w:sz w:val="20"/>
                <w:szCs w:val="20"/>
              </w:rPr>
              <w:t>Patients in the palliative and adjuvant situation can be counted, no restriction of stages.</w:t>
            </w:r>
          </w:p>
          <w:p>
            <w:pPr>
              <w:numPr>
                <w:ilvl w:val="0"/>
                <w:numId w:val="94"/>
              </w:numPr>
              <w:spacing w:before="0" w:after="19"/>
              <w:ind w:hanging="283" w:left="283" w:right="0"/>
              <w:rPr>
                <w:rFonts w:ascii="Arial" w:hAnsi="Arial" w:cs="Arial"/>
                <w:sz w:val="20"/>
                <w:szCs w:val="20"/>
              </w:rPr>
            </w:pPr>
            <w:r>
              <w:rPr>
                <w:rFonts w:ascii="Arial" w:hAnsi="Arial" w:cs="Arial"/>
                <w:sz w:val="20"/>
                <w:szCs w:val="20"/>
              </w:rPr>
              <w:t>Patients who are enrolled in several studies at the same time can be counted more than once.</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1.7.6</w:t>
            </w:r>
          </w:p>
        </w:tc>
        <w:tc>
          <w:tcPr>
            <w:tcW w:w="1" w:type="dxa"/>
          </w:tcPr>
          <w:p>
            <w:pPr>
              <w:spacing w:before="0" w:after="19"/>
              <w:ind w:left="0" w:right="0"/>
              <w:rPr>
                <w:rFonts w:ascii="Arial" w:hAnsi="Arial" w:cs="Arial"/>
                <w:sz w:val="20"/>
                <w:szCs w:val="20"/>
              </w:rPr>
            </w:pPr>
            <w:r>
              <w:rPr>
                <w:rFonts w:ascii="Arial" w:hAnsi="Arial" w:cs="Arial"/>
                <w:sz w:val="20"/>
                <w:szCs w:val="20"/>
              </w:rPr>
              <w:t>Process description:</w:t>
            </w:r>
          </w:p>
          <w:p>
            <w:pPr>
              <w:spacing w:before="0" w:after="19"/>
              <w:ind w:left="0" w:right="0"/>
              <w:rPr>
                <w:rFonts w:ascii="Arial" w:hAnsi="Arial" w:cs="Arial"/>
                <w:sz w:val="20"/>
                <w:szCs w:val="20"/>
              </w:rPr>
            </w:pPr>
            <w:r>
              <w:rPr>
                <w:rFonts w:ascii="Arial" w:hAnsi="Arial" w:cs="Arial"/>
                <w:sz w:val="20"/>
                <w:szCs w:val="20"/>
              </w:rPr>
              <w:t>For the initiation of new studies and the conduct of studies, the processes including responsibilities must be defined for each "conducting unit", unless centrally regulated. This includes, for example:</w:t>
            </w:r>
          </w:p>
          <w:p>
            <w:pPr>
              <w:numPr>
                <w:ilvl w:val="0"/>
                <w:numId w:val="95"/>
              </w:numPr>
              <w:spacing w:before="0" w:after="19"/>
              <w:ind w:hanging="283" w:left="283" w:right="0"/>
              <w:rPr>
                <w:rFonts w:ascii="Arial" w:hAnsi="Arial" w:cs="Arial"/>
                <w:sz w:val="20"/>
                <w:szCs w:val="20"/>
              </w:rPr>
            </w:pPr>
            <w:r>
              <w:rPr>
                <w:rFonts w:ascii="Arial" w:hAnsi="Arial" w:cs="Arial"/>
                <w:sz w:val="20"/>
                <w:szCs w:val="20"/>
              </w:rPr>
              <w:t>Selection of new studies incl. approval decision</w:t>
            </w:r>
          </w:p>
          <w:p>
            <w:pPr>
              <w:numPr>
                <w:ilvl w:val="0"/>
                <w:numId w:val="95"/>
              </w:numPr>
              <w:spacing w:before="0" w:after="19"/>
              <w:ind w:hanging="283" w:left="283" w:right="0"/>
              <w:rPr>
                <w:rFonts w:ascii="Arial" w:hAnsi="Arial" w:cs="Arial"/>
                <w:sz w:val="20"/>
                <w:szCs w:val="20"/>
              </w:rPr>
            </w:pPr>
            <w:r>
              <w:rPr>
                <w:rFonts w:ascii="Arial" w:hAnsi="Arial" w:cs="Arial"/>
                <w:sz w:val="20"/>
                <w:szCs w:val="20"/>
              </w:rPr>
              <w:t>Internal announcement of new studies (update of study list,...)</w:t>
            </w:r>
          </w:p>
          <w:p>
            <w:pPr>
              <w:numPr>
                <w:ilvl w:val="0"/>
                <w:numId w:val="95"/>
              </w:numPr>
              <w:spacing w:before="0" w:after="19"/>
              <w:ind w:hanging="283" w:left="283" w:right="0"/>
              <w:rPr>
                <w:rFonts w:ascii="Arial" w:hAnsi="Arial" w:cs="Arial"/>
                <w:sz w:val="20"/>
                <w:szCs w:val="20"/>
              </w:rPr>
            </w:pPr>
            <w:r>
              <w:rPr>
                <w:rFonts w:ascii="Arial" w:hAnsi="Arial" w:cs="Arial"/>
                <w:sz w:val="20"/>
                <w:szCs w:val="20"/>
              </w:rPr>
              <w:t>Study organisation (special features of supervision, documentation,...)</w:t>
            </w:r>
          </w:p>
          <w:p>
            <w:pPr>
              <w:numPr>
                <w:ilvl w:val="0"/>
                <w:numId w:val="95"/>
              </w:numPr>
              <w:spacing w:before="0" w:after="19"/>
              <w:ind w:hanging="283" w:left="283"/>
              <w:rPr>
                <w:rFonts w:ascii="Arial" w:hAnsi="Arial" w:cs="Arial"/>
                <w:sz w:val="20"/>
                <w:szCs w:val="20"/>
                <w:lang w:val="ro-RO" w:bidi="ar-SA"/>
              </w:rPr>
            </w:pPr>
            <w:r>
              <w:rPr>
                <w:rFonts w:ascii="Arial" w:hAnsi="Arial" w:cs="Arial"/>
                <w:sz w:val="20"/>
                <w:szCs w:val="20"/>
              </w:rPr>
              <w:t>Type of disclosure of study results (e.g. employees, patients)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1.7.7</w:t>
            </w:r>
          </w:p>
        </w:tc>
        <w:tc>
          <w:tcPr>
            <w:tcW w:w="1" w:type="dxa"/>
          </w:tcPr>
          <w:p>
            <w:pPr>
              <w:spacing w:before="0" w:after="19"/>
              <w:ind w:left="0" w:right="0"/>
              <w:rPr>
                <w:rFonts w:ascii="Arial" w:hAnsi="Arial" w:cs="Arial"/>
                <w:sz w:val="20"/>
                <w:szCs w:val="20"/>
              </w:rPr>
            </w:pPr>
            <w:r>
              <w:rPr>
                <w:rFonts w:ascii="Arial" w:hAnsi="Arial" w:cs="Arial"/>
                <w:sz w:val="20"/>
                <w:szCs w:val="20"/>
              </w:rPr>
              <w:t>Cooperation between study groups</w:t>
            </w:r>
          </w:p>
          <w:p>
            <w:pPr>
              <w:numPr>
                <w:ilvl w:val="0"/>
                <w:numId w:val="96"/>
              </w:numPr>
              <w:spacing w:before="0" w:after="19"/>
              <w:ind w:hanging="283" w:left="283" w:right="0"/>
              <w:rPr>
                <w:rFonts w:ascii="Arial" w:hAnsi="Arial" w:cs="Arial"/>
                <w:sz w:val="20"/>
                <w:szCs w:val="20"/>
              </w:rPr>
            </w:pPr>
            <w:r>
              <w:rPr>
                <w:rFonts w:ascii="Arial" w:hAnsi="Arial" w:cs="Arial"/>
                <w:sz w:val="20"/>
                <w:szCs w:val="20"/>
              </w:rPr>
              <w:t>The centre participates in studies conducted by supra-regional academic study groups (e.g. the groups in the Leukaemia Competence Network and the German Lymphoma Alliance).</w:t>
            </w:r>
          </w:p>
          <w:p>
            <w:pPr>
              <w:numPr>
                <w:ilvl w:val="0"/>
                <w:numId w:val="96"/>
              </w:numPr>
              <w:spacing w:before="0" w:after="19"/>
              <w:ind w:hanging="283" w:left="283" w:right="0"/>
              <w:rPr>
                <w:rFonts w:ascii="Arial" w:hAnsi="Arial" w:cs="Arial"/>
                <w:sz w:val="20"/>
                <w:szCs w:val="20"/>
              </w:rPr>
            </w:pPr>
            <w:r>
              <w:rPr>
                <w:rFonts w:ascii="Arial" w:hAnsi="Arial" w:cs="Arial"/>
                <w:sz w:val="20"/>
                <w:szCs w:val="20"/>
              </w:rPr>
              <w:t>If patients with acute leukaemia are treated at the centre, cooperation with the GM-ALL and an AML study group is strongly recommended.</w:t>
            </w:r>
          </w:p>
          <w:p>
            <w:pPr>
              <w:numPr>
                <w:ilvl w:val="0"/>
                <w:numId w:val="96"/>
              </w:numPr>
              <w:spacing w:before="0" w:after="19"/>
              <w:ind w:hanging="283" w:left="283"/>
              <w:rPr>
                <w:rFonts w:ascii="Arial" w:hAnsi="Arial" w:cs="Arial"/>
                <w:sz w:val="20"/>
                <w:szCs w:val="20"/>
                <w:lang w:val="ro-RO" w:bidi="ar-SA"/>
              </w:rPr>
            </w:pPr>
            <w:r>
              <w:rPr>
                <w:rFonts w:ascii="Arial" w:hAnsi="Arial" w:cs="Arial"/>
                <w:sz w:val="20"/>
                <w:szCs w:val="20"/>
                <w:shd w:val="clear" w:color="auto" w:fill="00FF00"/>
              </w:rPr>
              <w:t>Study patients can be counted for 2 centres, provided that the sending centre itself conducts at least one study for patients of the Haematological Neoplasms Centre. If this counting method is chosen (optional), the centre must show how many patients are included in studies at their own centre, sent to other centres/clinics to participate in studies and taken from other centres/clinics to participate in studies – see also Excel template Data Sheet.</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1.8</w:t>
              <w:tab/>
              <w:t xml:space="preserve"> Nursing care</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1.8.1</w:t>
            </w:r>
          </w:p>
        </w:tc>
        <w:tc>
          <w:tcPr>
            <w:tcW w:w="1" w:type="dxa"/>
          </w:tcPr>
          <w:p>
            <w:pPr>
              <w:spacing w:before="0" w:after="19"/>
              <w:ind w:left="0" w:right="0"/>
              <w:rPr>
                <w:rFonts w:ascii="Arial" w:hAnsi="Arial" w:cs="Arial"/>
                <w:sz w:val="20"/>
                <w:szCs w:val="20"/>
              </w:rPr>
            </w:pPr>
            <w:r>
              <w:rPr>
                <w:rFonts w:ascii="Arial" w:hAnsi="Arial" w:cs="Arial"/>
                <w:sz w:val="20"/>
                <w:szCs w:val="20"/>
              </w:rPr>
              <w:t>Oncological specialist nurses</w:t>
            </w:r>
          </w:p>
          <w:p>
            <w:pPr>
              <w:numPr>
                <w:ilvl w:val="0"/>
                <w:numId w:val="97"/>
              </w:numPr>
              <w:spacing w:before="0" w:after="19"/>
              <w:ind w:hanging="283" w:left="283" w:right="0"/>
              <w:rPr>
                <w:rFonts w:ascii="Arial" w:hAnsi="Arial" w:cs="Arial"/>
                <w:sz w:val="20"/>
                <w:szCs w:val="20"/>
              </w:rPr>
            </w:pPr>
            <w:r>
              <w:rPr>
                <w:rFonts w:ascii="Arial" w:hAnsi="Arial" w:cs="Arial"/>
                <w:sz w:val="20"/>
                <w:szCs w:val="20"/>
              </w:rPr>
              <w:t xml:space="preserve">At least 1 active oncology nurse must be involved in the Centre for </w:t>
            </w:r>
            <w:r>
              <w:rPr>
                <w:rFonts w:ascii="Arial" w:hAnsi="Arial" w:cs="Arial" w:eastAsia="Calibri"/>
                <w:sz w:val="20"/>
                <w:szCs w:val="20"/>
              </w:rPr>
              <w:t>Haematological Neoplasms</w:t>
            </w:r>
            <w:r>
              <w:rPr>
                <w:rFonts w:ascii="Arial" w:hAnsi="Arial" w:cs="Arial"/>
                <w:sz w:val="20"/>
                <w:szCs w:val="20"/>
              </w:rPr>
              <w:t>.</w:t>
            </w:r>
          </w:p>
          <w:p>
            <w:pPr>
              <w:numPr>
                <w:ilvl w:val="0"/>
                <w:numId w:val="97"/>
              </w:numPr>
              <w:spacing w:before="0" w:after="19"/>
              <w:ind w:hanging="283" w:left="283" w:right="0"/>
              <w:rPr>
                <w:rFonts w:ascii="Arial" w:hAnsi="Arial" w:cs="Arial"/>
                <w:sz w:val="20"/>
                <w:szCs w:val="20"/>
              </w:rPr>
            </w:pPr>
            <w:r>
              <w:rPr>
                <w:rFonts w:ascii="Arial" w:hAnsi="Arial" w:cs="Arial"/>
                <w:sz w:val="20"/>
                <w:szCs w:val="20"/>
              </w:rPr>
              <w:t>Oncological nurses are to be designated by name.</w:t>
            </w:r>
          </w:p>
          <w:p>
            <w:pPr>
              <w:numPr>
                <w:ilvl w:val="0"/>
                <w:numId w:val="97"/>
              </w:numPr>
              <w:spacing w:before="0" w:after="19"/>
              <w:ind w:hanging="283" w:left="283" w:right="0"/>
              <w:rPr>
                <w:rFonts w:ascii="Arial" w:hAnsi="Arial" w:cs="Arial"/>
                <w:sz w:val="20"/>
                <w:szCs w:val="20"/>
              </w:rPr>
            </w:pPr>
            <w:r>
              <w:rPr>
                <w:rFonts w:ascii="Arial" w:hAnsi="Arial" w:cs="Arial"/>
                <w:sz w:val="20"/>
                <w:szCs w:val="20"/>
              </w:rPr>
              <w:t>In areas where patients are cared for, evidence must be provided that an oncological specialist nurse is working in each case.</w:t>
            </w:r>
          </w:p>
          <w:p>
            <w:pPr>
              <w:numPr>
                <w:ilvl w:val="0"/>
                <w:numId w:val="97"/>
              </w:numPr>
              <w:spacing w:before="0" w:after="19"/>
              <w:ind w:hanging="283" w:left="283" w:right="0"/>
              <w:rPr>
                <w:rFonts w:ascii="Arial" w:hAnsi="Arial" w:cs="Arial"/>
                <w:sz w:val="20"/>
                <w:szCs w:val="20"/>
              </w:rPr>
            </w:pPr>
            <w:r>
              <w:rPr>
                <w:rFonts w:ascii="Arial" w:hAnsi="Arial" w:cs="Arial"/>
                <w:sz w:val="20"/>
                <w:szCs w:val="20"/>
              </w:rPr>
              <w:t>In inpatient areas where patients are cared for, the activity of an oncology nurse must be verified. The performance of duties/ representation must be regulated and documented in writing.</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 The precondition for recognition as a specialist oncology nurse is</w:t>
            </w:r>
          </w:p>
          <w:p>
            <w:pPr>
              <w:numPr>
                <w:ilvl w:val="0"/>
                <w:numId w:val="98"/>
              </w:numPr>
              <w:spacing w:before="0" w:after="19"/>
              <w:ind w:hanging="283" w:left="283" w:right="0"/>
              <w:rPr>
                <w:rFonts w:ascii="Arial" w:hAnsi="Arial" w:cs="Arial"/>
                <w:sz w:val="20"/>
                <w:szCs w:val="20"/>
              </w:rPr>
            </w:pPr>
            <w:r>
              <w:rPr>
                <w:rFonts w:ascii="Arial" w:hAnsi="Arial" w:cs="Arial"/>
                <w:sz w:val="20"/>
                <w:szCs w:val="20"/>
              </w:rPr>
              <w:t>specialty training specialist oncology nurse in line with the respective federal state regulations</w:t>
            </w:r>
          </w:p>
          <w:p>
            <w:pPr>
              <w:numPr>
                <w:ilvl w:val="0"/>
                <w:numId w:val="98"/>
              </w:numPr>
              <w:spacing w:before="0" w:after="19"/>
              <w:ind w:hanging="283" w:left="283" w:right="0"/>
              <w:rPr>
                <w:rFonts w:ascii="Arial" w:hAnsi="Arial" w:cs="Arial"/>
                <w:sz w:val="20"/>
                <w:szCs w:val="20"/>
              </w:rPr>
            </w:pPr>
            <w:r>
              <w:rPr>
                <w:rFonts w:ascii="Arial" w:hAnsi="Arial" w:cs="Arial"/>
                <w:sz w:val="20"/>
                <w:szCs w:val="20"/>
              </w:rPr>
              <w:t>with the Model Federal State Ordinance of the German Hospital Federation (Deutsche Krankenhausgesellschaft e.V.)·</w:t>
            </w:r>
          </w:p>
          <w:p>
            <w:pPr>
              <w:numPr>
                <w:ilvl w:val="0"/>
                <w:numId w:val="98"/>
              </w:numPr>
              <w:spacing w:before="0" w:after="19"/>
              <w:ind w:hanging="283" w:left="283"/>
              <w:rPr>
                <w:rFonts w:ascii="Arial" w:hAnsi="Arial" w:cs="Arial"/>
                <w:sz w:val="20"/>
                <w:szCs w:val="20"/>
                <w:lang w:val="ro-RO" w:bidi="ar-SA"/>
              </w:rPr>
            </w:pPr>
            <w:r>
              <w:rPr>
                <w:rFonts w:ascii="Arial" w:hAnsi="Arial" w:cs="Arial"/>
                <w:sz w:val="20"/>
                <w:szCs w:val="20"/>
              </w:rPr>
              <w:t>or advanced practice nurse (master title) plus 2 years’ practical professional experience (equivalent to a full-time position) in the oncological field to be certified.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1.8.2</w:t>
            </w:r>
          </w:p>
        </w:tc>
        <w:tc>
          <w:tcPr>
            <w:tcW w:w="1" w:type="dxa"/>
          </w:tcPr>
          <w:p>
            <w:pPr>
              <w:spacing w:before="0" w:after="19"/>
              <w:ind w:left="0" w:right="0"/>
              <w:rPr>
                <w:rFonts w:ascii="Arial" w:hAnsi="Arial" w:cs="Arial"/>
                <w:sz w:val="20"/>
                <w:szCs w:val="20"/>
              </w:rPr>
            </w:pPr>
            <w:r>
              <w:rPr>
                <w:rFonts w:ascii="Arial" w:hAnsi="Arial" w:cs="Arial"/>
                <w:sz w:val="20"/>
                <w:szCs w:val="20"/>
              </w:rPr>
              <w:t>Responsibilities/tasks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Patient-related tasks:</w:t>
            </w:r>
          </w:p>
          <w:p>
            <w:pPr>
              <w:numPr>
                <w:ilvl w:val="0"/>
                <w:numId w:val="99"/>
              </w:numPr>
              <w:spacing w:before="0" w:after="19"/>
              <w:ind w:hanging="283" w:left="283" w:right="0"/>
              <w:rPr>
                <w:rFonts w:ascii="Arial" w:hAnsi="Arial" w:cs="Arial"/>
                <w:sz w:val="20"/>
                <w:szCs w:val="20"/>
              </w:rPr>
            </w:pPr>
            <w:r>
              <w:rPr>
                <w:rFonts w:ascii="Arial" w:hAnsi="Arial" w:cs="Arial"/>
                <w:sz w:val="20"/>
                <w:szCs w:val="20"/>
              </w:rPr>
              <w:t>Specialist assessment of symptoms, side effects and stress.</w:t>
            </w:r>
          </w:p>
          <w:p>
            <w:pPr>
              <w:numPr>
                <w:ilvl w:val="0"/>
                <w:numId w:val="99"/>
              </w:numPr>
              <w:spacing w:before="0" w:after="19"/>
              <w:ind w:hanging="283" w:left="283" w:right="0"/>
              <w:rPr>
                <w:rFonts w:ascii="Arial" w:hAnsi="Arial" w:cs="Arial"/>
                <w:sz w:val="20"/>
                <w:szCs w:val="20"/>
              </w:rPr>
            </w:pPr>
            <w:r>
              <w:rPr>
                <w:rFonts w:ascii="Arial" w:hAnsi="Arial" w:cs="Arial"/>
                <w:sz w:val="20"/>
                <w:szCs w:val="20"/>
              </w:rPr>
              <w:t>Individualised derivation of interventions from nursing standards.</w:t>
            </w:r>
          </w:p>
          <w:p>
            <w:pPr>
              <w:numPr>
                <w:ilvl w:val="0"/>
                <w:numId w:val="99"/>
              </w:numPr>
              <w:spacing w:before="0" w:after="19"/>
              <w:ind w:hanging="283" w:left="283" w:right="0"/>
              <w:rPr>
                <w:rFonts w:ascii="Arial" w:hAnsi="Arial" w:cs="Arial"/>
                <w:sz w:val="20"/>
                <w:szCs w:val="20"/>
              </w:rPr>
            </w:pPr>
            <w:r>
              <w:rPr>
                <w:rFonts w:ascii="Arial" w:hAnsi="Arial" w:cs="Arial"/>
                <w:sz w:val="20"/>
                <w:szCs w:val="20"/>
              </w:rPr>
              <w:t>Implementation and evaluation of nursing and therapeutic measures.</w:t>
            </w:r>
          </w:p>
          <w:p>
            <w:pPr>
              <w:numPr>
                <w:ilvl w:val="0"/>
                <w:numId w:val="99"/>
              </w:numPr>
              <w:spacing w:before="0" w:after="19"/>
              <w:ind w:hanging="283" w:left="283" w:right="0"/>
              <w:rPr>
                <w:rFonts w:ascii="Arial" w:hAnsi="Arial" w:cs="Arial"/>
                <w:sz w:val="20"/>
                <w:szCs w:val="20"/>
              </w:rPr>
            </w:pPr>
            <w:r>
              <w:rPr>
                <w:rFonts w:ascii="Arial" w:hAnsi="Arial" w:cs="Arial"/>
                <w:sz w:val="20"/>
                <w:szCs w:val="20"/>
              </w:rPr>
              <w:t>Determination of individual patient-related counselling needs.</w:t>
            </w:r>
          </w:p>
          <w:p>
            <w:pPr>
              <w:numPr>
                <w:ilvl w:val="0"/>
                <w:numId w:val="99"/>
              </w:numPr>
              <w:spacing w:before="0" w:after="19"/>
              <w:ind w:hanging="283" w:left="283" w:right="0"/>
              <w:rPr>
                <w:rFonts w:ascii="Arial" w:hAnsi="Arial" w:cs="Arial"/>
                <w:sz w:val="20"/>
                <w:szCs w:val="20"/>
              </w:rPr>
            </w:pPr>
            <w:r>
              <w:rPr>
                <w:rFonts w:ascii="Arial" w:hAnsi="Arial" w:cs="Arial"/>
                <w:sz w:val="20"/>
                <w:szCs w:val="20"/>
              </w:rPr>
              <w:t>The need for specialist advice must already be defined as part of the care concept of the individual organ centres.</w:t>
            </w:r>
          </w:p>
          <w:p>
            <w:pPr>
              <w:numPr>
                <w:ilvl w:val="0"/>
                <w:numId w:val="99"/>
              </w:numPr>
              <w:spacing w:before="0" w:after="19"/>
              <w:ind w:hanging="283" w:left="283" w:right="0"/>
              <w:rPr>
                <w:rFonts w:ascii="Arial" w:hAnsi="Arial" w:cs="Arial"/>
                <w:sz w:val="20"/>
                <w:szCs w:val="20"/>
              </w:rPr>
            </w:pPr>
            <w:r>
              <w:rPr>
                <w:rFonts w:ascii="Arial" w:hAnsi="Arial" w:cs="Arial"/>
                <w:sz w:val="20"/>
                <w:szCs w:val="20"/>
              </w:rPr>
              <w:t>Continuous information and counselling of the patient (and their relatives) during the entire course of the illness.</w:t>
            </w:r>
          </w:p>
          <w:p>
            <w:pPr>
              <w:numPr>
                <w:ilvl w:val="0"/>
                <w:numId w:val="99"/>
              </w:numPr>
              <w:spacing w:before="0" w:after="19"/>
              <w:ind w:hanging="283" w:left="283" w:right="0"/>
              <w:rPr>
                <w:rFonts w:ascii="Arial" w:hAnsi="Arial" w:cs="Arial"/>
                <w:sz w:val="20"/>
                <w:szCs w:val="20"/>
              </w:rPr>
            </w:pPr>
            <w:r>
              <w:rPr>
                <w:rFonts w:ascii="Arial" w:hAnsi="Arial" w:cs="Arial"/>
                <w:sz w:val="20"/>
                <w:szCs w:val="20"/>
              </w:rPr>
              <w:t>Implementation, coordination and verification of structured counselling sessions and guidance for patients and relatives; according to the concept, these can also be carried out by other experienced nursing staff with oncological expertise.</w:t>
            </w:r>
          </w:p>
          <w:p>
            <w:pPr>
              <w:numPr>
                <w:ilvl w:val="0"/>
                <w:numId w:val="99"/>
              </w:numPr>
              <w:spacing w:before="0" w:after="19"/>
              <w:ind w:hanging="283" w:left="283" w:right="0"/>
              <w:rPr>
                <w:rFonts w:ascii="Arial" w:hAnsi="Arial" w:cs="Arial"/>
                <w:sz w:val="20"/>
                <w:szCs w:val="20"/>
              </w:rPr>
            </w:pPr>
            <w:r>
              <w:rPr>
                <w:rFonts w:ascii="Arial" w:hAnsi="Arial" w:cs="Arial"/>
                <w:sz w:val="20"/>
                <w:szCs w:val="20"/>
              </w:rPr>
              <w:t>Participation in the tumour board (according to section 1.2).</w:t>
            </w:r>
          </w:p>
          <w:p>
            <w:pPr>
              <w:numPr>
                <w:ilvl w:val="0"/>
                <w:numId w:val="99"/>
              </w:numPr>
              <w:spacing w:before="0" w:after="19"/>
              <w:ind w:hanging="283" w:left="283" w:right="0"/>
              <w:rPr>
                <w:rFonts w:ascii="Arial" w:hAnsi="Arial" w:cs="Arial"/>
                <w:sz w:val="20"/>
                <w:szCs w:val="20"/>
              </w:rPr>
            </w:pPr>
            <w:r>
              <w:rPr>
                <w:rFonts w:ascii="Arial" w:hAnsi="Arial" w:cs="Arial"/>
                <w:sz w:val="20"/>
                <w:szCs w:val="20"/>
              </w:rPr>
              <w:t xml:space="preserve">Initiation of and participation in multi-professional case discussions/ nursing rounds; the aim is to find solutions in complex care situations; criteria for the selection of patients must be defined; at least </w:t>
            </w:r>
            <w:r>
              <w:rPr>
                <w:rFonts w:ascii="Arial" w:hAnsi="Arial" w:cs="Arial"/>
                <w:strike w:val="1"/>
                <w:sz w:val="20"/>
                <w:szCs w:val="20"/>
                <w:shd w:val="clear" w:color="auto" w:fill="00FE00"/>
              </w:rPr>
              <w:t>12</w:t>
            </w:r>
            <w:r>
              <w:rPr>
                <w:rFonts w:ascii="Arial" w:hAnsi="Arial" w:cs="Arial"/>
                <w:sz w:val="20"/>
                <w:szCs w:val="20"/>
              </w:rPr>
              <w:t xml:space="preserve"> case discussions/ nursing rounds must be </w:t>
            </w:r>
            <w:r>
              <w:rPr>
                <w:rFonts w:ascii="Arial" w:hAnsi="Arial" w:cs="Arial"/>
                <w:sz w:val="20"/>
                <w:szCs w:val="20"/>
                <w:shd w:val="clear" w:color="auto" w:fill="00FF00"/>
              </w:rPr>
              <w:t xml:space="preserve">regularly </w:t>
            </w:r>
            <w:r>
              <w:rPr>
                <w:rFonts w:ascii="Arial" w:hAnsi="Arial" w:cs="Arial"/>
                <w:sz w:val="20"/>
                <w:szCs w:val="20"/>
              </w:rPr>
              <w:t>demonstrated per year and centre.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Superordinate activities:</w:t>
            </w:r>
          </w:p>
          <w:p>
            <w:pPr>
              <w:numPr>
                <w:ilvl w:val="0"/>
                <w:numId w:val="100"/>
              </w:numPr>
              <w:spacing w:before="0" w:after="19"/>
              <w:ind w:hanging="283" w:left="283" w:right="0"/>
              <w:rPr>
                <w:rFonts w:ascii="Arial" w:hAnsi="Arial" w:cs="Arial"/>
                <w:sz w:val="20"/>
                <w:szCs w:val="20"/>
              </w:rPr>
            </w:pPr>
            <w:r>
              <w:rPr>
                <w:rFonts w:ascii="Arial" w:hAnsi="Arial" w:cs="Arial"/>
                <w:sz w:val="20"/>
                <w:szCs w:val="20"/>
              </w:rPr>
              <w:t>A nursing concept must be developed and implemented in which the organ-specific features of oncological care in the organ cancer centres/ modules are taken into account.</w:t>
            </w:r>
          </w:p>
          <w:p>
            <w:pPr>
              <w:numPr>
                <w:ilvl w:val="0"/>
                <w:numId w:val="100"/>
              </w:numPr>
              <w:spacing w:before="0" w:after="19"/>
              <w:ind w:hanging="283" w:left="283" w:right="0"/>
              <w:rPr>
                <w:rFonts w:ascii="Arial" w:hAnsi="Arial" w:cs="Arial"/>
                <w:sz w:val="20"/>
                <w:szCs w:val="20"/>
              </w:rPr>
            </w:pPr>
            <w:r>
              <w:rPr>
                <w:rFonts w:ascii="Arial" w:hAnsi="Arial" w:cs="Arial"/>
                <w:sz w:val="20"/>
                <w:szCs w:val="20"/>
              </w:rPr>
              <w:t>Drawing up of specialised, in-house standards on the basis of (if possible) evidence-based guidelines (e.g. S3-GL Supportive).</w:t>
            </w:r>
          </w:p>
          <w:p>
            <w:pPr>
              <w:numPr>
                <w:ilvl w:val="0"/>
                <w:numId w:val="100"/>
              </w:numPr>
              <w:spacing w:before="0" w:after="19"/>
              <w:ind w:hanging="283" w:left="283" w:right="0"/>
              <w:rPr>
                <w:rFonts w:ascii="Arial" w:hAnsi="Arial" w:cs="Arial"/>
                <w:sz w:val="20"/>
                <w:szCs w:val="20"/>
              </w:rPr>
            </w:pPr>
            <w:r>
              <w:rPr>
                <w:rFonts w:ascii="Arial" w:hAnsi="Arial" w:cs="Arial"/>
                <w:sz w:val="20"/>
                <w:szCs w:val="20"/>
              </w:rPr>
              <w:t>Offer of collegial counselling/ supervision.</w:t>
            </w:r>
          </w:p>
          <w:p>
            <w:pPr>
              <w:numPr>
                <w:ilvl w:val="0"/>
                <w:numId w:val="100"/>
              </w:numPr>
              <w:spacing w:before="0" w:after="19"/>
              <w:ind w:hanging="283" w:left="283" w:right="0"/>
              <w:rPr>
                <w:rFonts w:ascii="Arial" w:hAnsi="Arial" w:cs="Arial"/>
                <w:sz w:val="20"/>
                <w:szCs w:val="20"/>
              </w:rPr>
            </w:pPr>
            <w:r>
              <w:rPr>
                <w:rFonts w:ascii="Arial" w:hAnsi="Arial" w:cs="Arial"/>
                <w:sz w:val="20"/>
                <w:szCs w:val="20"/>
              </w:rPr>
              <w:t xml:space="preserve">Networking of oncology nurses in a joint quality circle and participation in the quality circle of the Centre for </w:t>
            </w:r>
            <w:r>
              <w:rPr>
                <w:rFonts w:ascii="Arial" w:hAnsi="Arial" w:cs="Arial" w:eastAsia="Calibri"/>
                <w:sz w:val="20"/>
                <w:szCs w:val="20"/>
              </w:rPr>
              <w:t>Haematological Neoplasms</w:t>
            </w:r>
            <w:r>
              <w:rPr>
                <w:rFonts w:ascii="Arial" w:hAnsi="Arial" w:cs="Arial"/>
                <w:sz w:val="20"/>
                <w:szCs w:val="20"/>
              </w:rPr>
              <w:t>.</w:t>
            </w:r>
          </w:p>
          <w:p>
            <w:pPr>
              <w:numPr>
                <w:ilvl w:val="0"/>
                <w:numId w:val="100"/>
              </w:numPr>
              <w:spacing w:before="0" w:after="19"/>
              <w:ind w:hanging="283" w:left="283" w:right="0"/>
              <w:rPr>
                <w:rFonts w:ascii="Arial" w:hAnsi="Arial" w:cs="Arial"/>
                <w:sz w:val="20"/>
                <w:szCs w:val="20"/>
              </w:rPr>
            </w:pPr>
            <w:r>
              <w:rPr>
                <w:rFonts w:ascii="Arial" w:hAnsi="Arial" w:cs="Arial"/>
                <w:sz w:val="20"/>
                <w:szCs w:val="20"/>
              </w:rPr>
              <w:t>Interdisciplinary exchange with all professional groups involved in treatment</w:t>
            </w:r>
          </w:p>
          <w:p>
            <w:pPr>
              <w:numPr>
                <w:ilvl w:val="0"/>
                <w:numId w:val="100"/>
              </w:numPr>
              <w:spacing w:before="0" w:after="19"/>
              <w:ind w:hanging="283" w:left="283"/>
              <w:rPr>
                <w:rFonts w:ascii="Arial" w:hAnsi="Arial" w:cs="Arial"/>
                <w:sz w:val="20"/>
                <w:szCs w:val="20"/>
                <w:lang w:val="ro-RO" w:bidi="ar-SA"/>
              </w:rPr>
            </w:pPr>
            <w:r>
              <w:rPr>
                <w:rFonts w:ascii="Arial" w:hAnsi="Arial" w:cs="Arial"/>
                <w:sz w:val="20"/>
                <w:szCs w:val="20"/>
              </w:rPr>
              <w:t>Responsibility for implementing the requirements for the nurse administering chemotherapy (see section 6.2.3).</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1.8.3</w:t>
            </w:r>
          </w:p>
        </w:tc>
        <w:tc>
          <w:tcPr>
            <w:tcW w:w="1" w:type="dxa"/>
          </w:tcPr>
          <w:p>
            <w:pPr>
              <w:spacing w:before="0" w:after="19"/>
              <w:ind w:left="0" w:right="0"/>
              <w:rPr>
                <w:rFonts w:ascii="Arial" w:hAnsi="Arial" w:cs="Arial"/>
                <w:sz w:val="20"/>
                <w:szCs w:val="20"/>
              </w:rPr>
            </w:pPr>
            <w:r>
              <w:rPr>
                <w:rFonts w:ascii="Arial" w:hAnsi="Arial" w:cs="Arial"/>
                <w:sz w:val="20"/>
                <w:szCs w:val="20"/>
              </w:rPr>
              <w:t>Familiarisation</w:t>
            </w:r>
          </w:p>
          <w:p>
            <w:pPr>
              <w:spacing w:before="0" w:after="19"/>
              <w:rPr>
                <w:rFonts w:ascii="Arial" w:hAnsi="Arial" w:cs="Arial"/>
                <w:sz w:val="20"/>
                <w:szCs w:val="20"/>
                <w:lang w:val="ro-RO" w:bidi="ar-SA"/>
              </w:rPr>
            </w:pPr>
            <w:r>
              <w:rPr>
                <w:rFonts w:ascii="Arial" w:hAnsi="Arial" w:cs="Arial"/>
                <w:sz w:val="20"/>
                <w:szCs w:val="20"/>
              </w:rPr>
              <w:t>The induction of new employees must be carried out on the basis of an oncological induction catalogue/ plan with the involvement of the oncological specialist.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1.8.4</w:t>
            </w:r>
          </w:p>
        </w:tc>
        <w:tc>
          <w:tcPr>
            <w:tcW w:w="1" w:type="dxa"/>
          </w:tcPr>
          <w:p>
            <w:pPr>
              <w:spacing w:before="0" w:after="19"/>
              <w:ind w:left="0" w:right="0"/>
              <w:rPr>
                <w:rFonts w:ascii="Arial" w:hAnsi="Arial" w:cs="Arial"/>
                <w:sz w:val="20"/>
                <w:szCs w:val="20"/>
              </w:rPr>
            </w:pPr>
            <w:r>
              <w:rPr>
                <w:rFonts w:ascii="Arial" w:hAnsi="Arial" w:cs="Arial"/>
                <w:sz w:val="20"/>
                <w:szCs w:val="20"/>
              </w:rPr>
              <w:t>Continuing education</w:t>
            </w:r>
          </w:p>
          <w:p>
            <w:pPr>
              <w:numPr>
                <w:ilvl w:val="0"/>
                <w:numId w:val="101"/>
              </w:numPr>
              <w:spacing w:before="0" w:after="19"/>
              <w:ind w:hanging="283" w:left="283" w:right="0"/>
              <w:rPr>
                <w:rFonts w:ascii="Arial" w:hAnsi="Arial" w:cs="Arial"/>
                <w:sz w:val="20"/>
                <w:szCs w:val="20"/>
              </w:rPr>
            </w:pPr>
            <w:r>
              <w:rPr>
                <w:rFonts w:ascii="Arial" w:hAnsi="Arial" w:cs="Arial"/>
                <w:sz w:val="20"/>
                <w:szCs w:val="20"/>
              </w:rPr>
              <w:t>A qualification plan for the nursing staff must be submitted in which the qualifications planned for a one-year period are presented.</w:t>
            </w:r>
          </w:p>
          <w:p>
            <w:pPr>
              <w:numPr>
                <w:ilvl w:val="0"/>
                <w:numId w:val="101"/>
              </w:numPr>
              <w:spacing w:before="0" w:after="19"/>
              <w:ind w:hanging="283" w:left="283"/>
              <w:rPr>
                <w:rFonts w:ascii="Arial" w:hAnsi="Arial" w:cs="Arial"/>
                <w:sz w:val="20"/>
                <w:szCs w:val="20"/>
                <w:lang w:val="ro-RO" w:bidi="ar-SA"/>
              </w:rPr>
            </w:pPr>
            <w:r>
              <w:rPr>
                <w:rFonts w:ascii="Arial" w:hAnsi="Arial" w:cs="Arial"/>
                <w:sz w:val="20"/>
                <w:szCs w:val="20"/>
              </w:rPr>
              <w:t xml:space="preserve">At least 1 specific training/ further training per employee per year (at least 1 day per year), provided that the employee performs quality-relevant activities for the Centre for </w:t>
            </w:r>
            <w:r>
              <w:rPr>
                <w:rFonts w:ascii="Arial" w:hAnsi="Arial" w:cs="Arial" w:eastAsia="Calibri"/>
                <w:sz w:val="20"/>
                <w:szCs w:val="20"/>
              </w:rPr>
              <w:t>Haematological Neoplasms</w:t>
            </w:r>
            <w:r>
              <w:rPr>
                <w:rFonts w:ascii="Arial" w:hAnsi="Arial" w:cs="Arial"/>
                <w:sz w:val="20"/>
                <w:szCs w:val="20"/>
              </w:rPr>
              <w:t>.</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1.9</w:t>
              <w:tab/>
              <w:t xml:space="preserve"> General service areas (pharmacy</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1.9.1</w:t>
            </w:r>
          </w:p>
        </w:tc>
        <w:tc>
          <w:tcPr>
            <w:tcW w:w="1" w:type="dxa"/>
          </w:tcPr>
          <w:p>
            <w:pPr>
              <w:spacing w:before="0" w:after="19"/>
              <w:ind w:left="0" w:right="0"/>
              <w:rPr>
                <w:rFonts w:ascii="Arial" w:hAnsi="Arial" w:cs="Arial"/>
                <w:sz w:val="20"/>
                <w:szCs w:val="20"/>
              </w:rPr>
            </w:pPr>
            <w:r>
              <w:rPr>
                <w:rFonts w:ascii="Arial" w:hAnsi="Arial" w:cs="Arial"/>
                <w:sz w:val="20"/>
                <w:szCs w:val="20"/>
              </w:rPr>
              <w:t>Availability of blood products:</w:t>
            </w:r>
          </w:p>
          <w:p>
            <w:pPr>
              <w:numPr>
                <w:ilvl w:val="0"/>
                <w:numId w:val="102"/>
              </w:numPr>
              <w:spacing w:before="0" w:after="19"/>
              <w:ind w:hanging="283" w:left="283" w:right="0"/>
              <w:rPr>
                <w:rFonts w:ascii="Arial" w:hAnsi="Arial" w:cs="Arial"/>
                <w:sz w:val="20"/>
                <w:szCs w:val="20"/>
              </w:rPr>
            </w:pPr>
            <w:r>
              <w:rPr>
                <w:rFonts w:ascii="Arial" w:hAnsi="Arial" w:cs="Arial"/>
                <w:sz w:val="20"/>
                <w:szCs w:val="20"/>
              </w:rPr>
              <w:t>Supply of blood products to patients in an emergency is guaranteed (24/7)</w:t>
            </w:r>
          </w:p>
          <w:p>
            <w:pPr>
              <w:numPr>
                <w:ilvl w:val="0"/>
                <w:numId w:val="102"/>
              </w:numPr>
              <w:spacing w:before="0" w:after="19"/>
              <w:ind w:hanging="283" w:left="283" w:right="0"/>
              <w:rPr>
                <w:rFonts w:ascii="Arial" w:hAnsi="Arial" w:cs="Arial"/>
                <w:sz w:val="20"/>
                <w:szCs w:val="20"/>
              </w:rPr>
            </w:pPr>
            <w:r>
              <w:rPr>
                <w:rFonts w:ascii="Arial" w:hAnsi="Arial" w:cs="Arial"/>
                <w:sz w:val="20"/>
                <w:szCs w:val="20"/>
              </w:rPr>
              <w:t>Supply of irradiated blood products is guaranteed 24/7</w:t>
            </w:r>
          </w:p>
          <w:p>
            <w:pPr>
              <w:numPr>
                <w:ilvl w:val="0"/>
                <w:numId w:val="102"/>
              </w:numPr>
              <w:spacing w:before="0" w:after="19"/>
              <w:ind w:hanging="283" w:left="283"/>
              <w:rPr>
                <w:rFonts w:ascii="Arial" w:hAnsi="Arial" w:cs="Arial"/>
                <w:sz w:val="20"/>
                <w:szCs w:val="20"/>
                <w:lang w:val="ro-RO" w:bidi="ar-SA"/>
              </w:rPr>
            </w:pPr>
            <w:r>
              <w:rPr>
                <w:rFonts w:ascii="Arial" w:hAnsi="Arial" w:cs="Arial"/>
                <w:sz w:val="20"/>
                <w:szCs w:val="20"/>
              </w:rPr>
              <w:t>Supply of targeted (HLA-matched) platelets is ensured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1.9.2</w:t>
            </w:r>
          </w:p>
        </w:tc>
        <w:tc>
          <w:tcPr>
            <w:tcW w:w="1" w:type="dxa"/>
          </w:tcPr>
          <w:p>
            <w:pPr>
              <w:spacing w:before="0" w:after="19"/>
              <w:ind w:left="0" w:right="0"/>
              <w:rPr>
                <w:rFonts w:ascii="Arial" w:hAnsi="Arial" w:cs="Arial"/>
                <w:sz w:val="20"/>
                <w:szCs w:val="20"/>
              </w:rPr>
            </w:pPr>
            <w:r>
              <w:rPr>
                <w:rFonts w:ascii="Arial" w:hAnsi="Arial" w:cs="Arial"/>
                <w:sz w:val="20"/>
                <w:szCs w:val="20"/>
              </w:rPr>
              <w:t>Pharmacy</w:t>
            </w:r>
          </w:p>
          <w:p>
            <w:pPr>
              <w:numPr>
                <w:ilvl w:val="0"/>
                <w:numId w:val="103"/>
              </w:numPr>
              <w:spacing w:before="0" w:after="19"/>
              <w:ind w:hanging="283" w:left="283" w:right="0"/>
              <w:rPr>
                <w:rFonts w:ascii="Arial" w:hAnsi="Arial" w:cs="Arial"/>
                <w:sz w:val="20"/>
                <w:szCs w:val="20"/>
              </w:rPr>
            </w:pPr>
            <w:r>
              <w:rPr>
                <w:rFonts w:ascii="Arial" w:hAnsi="Arial" w:cs="Arial"/>
                <w:sz w:val="20"/>
                <w:szCs w:val="20"/>
              </w:rPr>
              <w:t>The preparation of cytostatic solutions and the availability of urgently required medicines must also be guaranteed for emergencies at weekends and on public holidays.</w:t>
            </w:r>
          </w:p>
          <w:p>
            <w:pPr>
              <w:numPr>
                <w:ilvl w:val="0"/>
                <w:numId w:val="103"/>
              </w:numPr>
              <w:spacing w:before="0" w:after="19"/>
              <w:ind w:hanging="283" w:left="283"/>
              <w:rPr>
                <w:rFonts w:ascii="Arial" w:hAnsi="Arial" w:cs="Arial"/>
                <w:sz w:val="20"/>
                <w:szCs w:val="20"/>
                <w:lang w:val="ro-RO" w:bidi="ar-SA"/>
              </w:rPr>
            </w:pPr>
            <w:r>
              <w:rPr>
                <w:rFonts w:ascii="Arial" w:hAnsi="Arial" w:cs="Arial"/>
                <w:sz w:val="20"/>
                <w:szCs w:val="20"/>
              </w:rPr>
              <w:t>This can be ensured by the pharmacy being on call or a medication plan for medical staff (description of the preparation/ availability of the required medication and standardised workstations).</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2.</w:t>
        <w:tab/>
        <w:t xml:space="preserve"> Organ-specific diagnostics</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2.1</w:t>
              <w:tab/>
              <w:t xml:space="preserve"> Consulting hours</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2.1.1</w:t>
            </w:r>
          </w:p>
        </w:tc>
        <w:tc>
          <w:tcPr>
            <w:tcW w:w="1" w:type="dxa"/>
          </w:tcPr>
          <w:p>
            <w:pPr>
              <w:spacing w:before="0" w:after="19"/>
              <w:ind w:left="0" w:right="0"/>
              <w:rPr>
                <w:rFonts w:ascii="Arial" w:hAnsi="Arial" w:cs="Arial"/>
                <w:sz w:val="20"/>
                <w:szCs w:val="20"/>
              </w:rPr>
            </w:pPr>
            <w:r>
              <w:rPr>
                <w:rFonts w:ascii="Arial" w:hAnsi="Arial" w:cs="Arial"/>
                <w:sz w:val="20"/>
                <w:szCs w:val="20"/>
              </w:rPr>
              <w:t>Information/ dialogue with patients</w:t>
            </w:r>
          </w:p>
          <w:p>
            <w:pPr>
              <w:spacing w:before="0" w:after="19"/>
              <w:ind w:left="0" w:right="0"/>
              <w:rPr>
                <w:rFonts w:ascii="Arial" w:hAnsi="Arial" w:cs="Arial"/>
                <w:sz w:val="20"/>
                <w:szCs w:val="20"/>
              </w:rPr>
            </w:pPr>
            <w:r>
              <w:rPr>
                <w:rFonts w:ascii="Arial" w:hAnsi="Arial" w:cs="Arial"/>
                <w:sz w:val="20"/>
                <w:szCs w:val="20"/>
              </w:rPr>
              <w:t>With regard to diagnosis and treatment planning, sufficient information must be provided and an adequate dialogue must be conducted. This includes, among other things:</w:t>
            </w:r>
          </w:p>
          <w:p>
            <w:pPr>
              <w:numPr>
                <w:ilvl w:val="0"/>
                <w:numId w:val="104"/>
              </w:numPr>
              <w:spacing w:before="0" w:after="19"/>
              <w:ind w:hanging="283" w:left="283" w:right="0"/>
              <w:rPr>
                <w:rFonts w:ascii="Arial" w:hAnsi="Arial" w:cs="Arial"/>
                <w:sz w:val="20"/>
                <w:szCs w:val="20"/>
              </w:rPr>
            </w:pPr>
            <w:r>
              <w:rPr>
                <w:rFonts w:ascii="Arial" w:hAnsi="Arial" w:cs="Arial"/>
                <w:sz w:val="20"/>
                <w:szCs w:val="20"/>
              </w:rPr>
              <w:t>Presentation of alternative treatment concepts.</w:t>
            </w:r>
          </w:p>
          <w:p>
            <w:pPr>
              <w:numPr>
                <w:ilvl w:val="0"/>
                <w:numId w:val="104"/>
              </w:numPr>
              <w:spacing w:before="0" w:after="19"/>
              <w:ind w:hanging="283" w:left="283" w:right="0"/>
              <w:rPr>
                <w:rFonts w:ascii="Arial" w:hAnsi="Arial" w:cs="Arial"/>
                <w:sz w:val="20"/>
                <w:szCs w:val="20"/>
              </w:rPr>
            </w:pPr>
            <w:r>
              <w:rPr>
                <w:rFonts w:ascii="Arial" w:hAnsi="Arial" w:cs="Arial"/>
                <w:sz w:val="20"/>
                <w:szCs w:val="20"/>
              </w:rPr>
              <w:t>Offer and mediation of second opinions.</w:t>
            </w:r>
          </w:p>
          <w:p>
            <w:pPr>
              <w:numPr>
                <w:ilvl w:val="0"/>
                <w:numId w:val="104"/>
              </w:numPr>
              <w:spacing w:before="0" w:after="19"/>
              <w:ind w:hanging="283" w:left="283" w:right="0"/>
              <w:rPr>
                <w:rFonts w:ascii="Arial" w:hAnsi="Arial" w:cs="Arial"/>
                <w:sz w:val="20"/>
                <w:szCs w:val="20"/>
              </w:rPr>
            </w:pPr>
            <w:r>
              <w:rPr>
                <w:rFonts w:ascii="Arial" w:hAnsi="Arial" w:cs="Arial"/>
                <w:sz w:val="20"/>
                <w:szCs w:val="20"/>
              </w:rPr>
              <w:t>Final meetings as standard.</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The manner in which information is provided and the dialogue is to be described in general terms. This must be documented in the patient's medical notes and protocols/ records.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2.1.2</w:t>
            </w:r>
          </w:p>
        </w:tc>
        <w:tc>
          <w:tcPr>
            <w:tcW w:w="1" w:type="dxa"/>
          </w:tcPr>
          <w:p>
            <w:pPr>
              <w:spacing w:before="0" w:after="19"/>
              <w:ind w:left="0" w:right="0"/>
              <w:rPr>
                <w:rFonts w:ascii="Arial" w:hAnsi="Arial" w:cs="Arial"/>
                <w:sz w:val="20"/>
                <w:szCs w:val="20"/>
              </w:rPr>
            </w:pPr>
            <w:r>
              <w:rPr>
                <w:rFonts w:ascii="Arial" w:hAnsi="Arial" w:cs="Arial"/>
                <w:sz w:val="20"/>
                <w:szCs w:val="20"/>
              </w:rPr>
              <w:t>Organisation of the consultation</w:t>
            </w:r>
          </w:p>
          <w:p>
            <w:pPr>
              <w:spacing w:before="0" w:after="19"/>
              <w:ind w:left="0" w:right="0"/>
              <w:rPr>
                <w:rFonts w:ascii="Arial" w:hAnsi="Arial" w:cs="Arial"/>
                <w:sz w:val="20"/>
                <w:szCs w:val="20"/>
              </w:rPr>
            </w:pPr>
            <w:r>
              <w:rPr>
                <w:rFonts w:ascii="Arial" w:hAnsi="Arial" w:cs="Arial"/>
                <w:sz w:val="20"/>
                <w:szCs w:val="20"/>
              </w:rPr>
              <w:t>For the realisation of the consultation hour is a</w:t>
            </w:r>
          </w:p>
          <w:p>
            <w:pPr>
              <w:numPr>
                <w:ilvl w:val="0"/>
                <w:numId w:val="105"/>
              </w:numPr>
              <w:spacing w:before="0" w:after="19"/>
              <w:ind w:hanging="283" w:left="283"/>
              <w:rPr>
                <w:rFonts w:ascii="Arial" w:hAnsi="Arial" w:cs="Arial"/>
                <w:sz w:val="20"/>
                <w:szCs w:val="20"/>
                <w:lang w:val="ro-RO" w:bidi="ar-SA"/>
              </w:rPr>
            </w:pPr>
            <w:r>
              <w:rPr>
                <w:rFonts w:ascii="Arial" w:hAnsi="Arial" w:cs="Arial"/>
                <w:sz w:val="20"/>
                <w:szCs w:val="20"/>
              </w:rPr>
              <w:t>Specialist in internal medicine and haematology and oncology responsible.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2.1.3</w:t>
            </w:r>
          </w:p>
        </w:tc>
        <w:tc>
          <w:tcPr>
            <w:tcW w:w="1" w:type="dxa"/>
          </w:tcPr>
          <w:p>
            <w:pPr>
              <w:spacing w:before="0" w:after="19"/>
              <w:ind w:left="0" w:right="0"/>
              <w:rPr>
                <w:rFonts w:ascii="Arial" w:hAnsi="Arial" w:cs="Arial"/>
                <w:sz w:val="20"/>
                <w:szCs w:val="20"/>
              </w:rPr>
            </w:pPr>
            <w:r>
              <w:rPr>
                <w:rFonts w:ascii="Arial" w:hAnsi="Arial" w:cs="Arial"/>
                <w:sz w:val="20"/>
                <w:szCs w:val="20"/>
              </w:rPr>
              <w:t>The consultation must cover the following topics:</w:t>
            </w:r>
          </w:p>
          <w:p>
            <w:pPr>
              <w:numPr>
                <w:ilvl w:val="0"/>
                <w:numId w:val="106"/>
              </w:numPr>
              <w:spacing w:before="0" w:after="19"/>
              <w:ind w:hanging="283" w:left="283" w:right="0"/>
              <w:rPr>
                <w:rFonts w:ascii="Arial" w:hAnsi="Arial" w:cs="Arial"/>
                <w:sz w:val="20"/>
                <w:szCs w:val="20"/>
              </w:rPr>
            </w:pPr>
            <w:r>
              <w:rPr>
                <w:rFonts w:ascii="Arial" w:hAnsi="Arial" w:cs="Arial"/>
                <w:sz w:val="20"/>
                <w:szCs w:val="20"/>
              </w:rPr>
              <w:t>Initial examination after suspected diagnosis or confirmation of diagnosis.</w:t>
            </w:r>
          </w:p>
          <w:p>
            <w:pPr>
              <w:numPr>
                <w:ilvl w:val="0"/>
                <w:numId w:val="106"/>
              </w:numPr>
              <w:spacing w:before="0" w:after="19"/>
              <w:ind w:hanging="283" w:left="283" w:right="0"/>
              <w:rPr>
                <w:rFonts w:ascii="Arial" w:hAnsi="Arial" w:cs="Arial"/>
                <w:sz w:val="20"/>
                <w:szCs w:val="20"/>
              </w:rPr>
            </w:pPr>
            <w:r>
              <w:rPr>
                <w:rFonts w:ascii="Arial" w:hAnsi="Arial" w:cs="Arial"/>
                <w:sz w:val="20"/>
                <w:szCs w:val="20"/>
              </w:rPr>
              <w:t>Planning of the further diagnostic procedure.</w:t>
            </w:r>
          </w:p>
          <w:p>
            <w:pPr>
              <w:numPr>
                <w:ilvl w:val="0"/>
                <w:numId w:val="106"/>
              </w:numPr>
              <w:spacing w:before="0" w:after="19"/>
              <w:ind w:hanging="283" w:left="283" w:right="0"/>
              <w:rPr>
                <w:rFonts w:ascii="Arial" w:hAnsi="Arial" w:cs="Arial"/>
                <w:sz w:val="20"/>
                <w:szCs w:val="20"/>
              </w:rPr>
            </w:pPr>
            <w:r>
              <w:rPr>
                <w:rFonts w:ascii="Arial" w:hAnsi="Arial" w:cs="Arial"/>
                <w:sz w:val="20"/>
                <w:szCs w:val="20"/>
              </w:rPr>
              <w:t>Referral to the interdisciplinary tumour board.</w:t>
            </w:r>
          </w:p>
          <w:p>
            <w:pPr>
              <w:numPr>
                <w:ilvl w:val="0"/>
                <w:numId w:val="106"/>
              </w:numPr>
              <w:spacing w:before="0" w:after="19"/>
              <w:ind w:hanging="283" w:left="283" w:right="0"/>
              <w:rPr>
                <w:rFonts w:ascii="Arial" w:hAnsi="Arial" w:cs="Arial"/>
                <w:sz w:val="20"/>
                <w:szCs w:val="20"/>
              </w:rPr>
            </w:pPr>
            <w:r>
              <w:rPr>
                <w:rFonts w:ascii="Arial" w:hAnsi="Arial" w:cs="Arial"/>
                <w:sz w:val="20"/>
                <w:szCs w:val="20"/>
              </w:rPr>
              <w:t>Planning of the further therapeutic procedure (in accordance with the decision of the tumour board).</w:t>
            </w:r>
          </w:p>
          <w:p>
            <w:pPr>
              <w:numPr>
                <w:ilvl w:val="0"/>
                <w:numId w:val="106"/>
              </w:numPr>
              <w:spacing w:before="0" w:after="19"/>
              <w:ind w:hanging="283" w:left="283" w:right="0"/>
              <w:rPr>
                <w:rFonts w:ascii="Arial" w:hAnsi="Arial" w:cs="Arial"/>
                <w:sz w:val="20"/>
                <w:szCs w:val="20"/>
              </w:rPr>
            </w:pPr>
            <w:r>
              <w:rPr>
                <w:rFonts w:ascii="Arial" w:hAnsi="Arial" w:cs="Arial"/>
                <w:sz w:val="20"/>
                <w:szCs w:val="20"/>
              </w:rPr>
              <w:t>Care of patients undergoing maintenance therapy.</w:t>
            </w:r>
          </w:p>
          <w:p>
            <w:pPr>
              <w:numPr>
                <w:ilvl w:val="0"/>
                <w:numId w:val="106"/>
              </w:numPr>
              <w:spacing w:before="0" w:after="19"/>
              <w:ind w:hanging="283" w:left="283" w:right="0"/>
              <w:rPr>
                <w:rFonts w:ascii="Arial" w:hAnsi="Arial" w:cs="Arial"/>
                <w:sz w:val="20"/>
                <w:szCs w:val="20"/>
              </w:rPr>
            </w:pPr>
            <w:r>
              <w:rPr>
                <w:rFonts w:ascii="Arial" w:hAnsi="Arial" w:cs="Arial"/>
                <w:sz w:val="20"/>
                <w:szCs w:val="20"/>
              </w:rPr>
              <w:t>Follow-up care (especially with regard to recurrence diagnostics, secondary neoplasia and organ toxicity).</w:t>
            </w:r>
          </w:p>
          <w:p>
            <w:pPr>
              <w:numPr>
                <w:ilvl w:val="0"/>
                <w:numId w:val="106"/>
              </w:numPr>
              <w:spacing w:before="0" w:after="19"/>
              <w:ind w:hanging="283" w:left="283" w:right="0"/>
              <w:rPr>
                <w:rFonts w:ascii="Arial" w:hAnsi="Arial" w:cs="Arial"/>
                <w:sz w:val="20"/>
                <w:szCs w:val="20"/>
              </w:rPr>
            </w:pPr>
            <w:r>
              <w:rPr>
                <w:rFonts w:ascii="Arial" w:hAnsi="Arial" w:cs="Arial"/>
                <w:sz w:val="20"/>
                <w:szCs w:val="20"/>
              </w:rPr>
              <w:t>Information on the significance of complementary and alternative medical procedures in accordance with S3 guidelines (e.g. immunomodulatory effects of mistletoe therapy).</w:t>
            </w:r>
          </w:p>
          <w:p>
            <w:pPr>
              <w:numPr>
                <w:ilvl w:val="0"/>
                <w:numId w:val="106"/>
              </w:numPr>
              <w:spacing w:before="0" w:after="19"/>
              <w:ind w:hanging="283" w:left="283"/>
              <w:rPr>
                <w:rFonts w:ascii="Arial" w:hAnsi="Arial" w:cs="Arial"/>
                <w:sz w:val="20"/>
                <w:szCs w:val="20"/>
                <w:lang w:val="ro-RO" w:bidi="ar-SA"/>
              </w:rPr>
            </w:pPr>
            <w:r>
              <w:rPr>
                <w:rFonts w:ascii="Arial" w:hAnsi="Arial" w:cs="Arial"/>
                <w:sz w:val="20"/>
                <w:szCs w:val="20"/>
              </w:rPr>
              <w:t>Toxicity management and supportive therapy.</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2.1.4</w:t>
            </w:r>
          </w:p>
        </w:tc>
        <w:tc>
          <w:tcPr>
            <w:tcW w:w="1" w:type="dxa"/>
          </w:tcPr>
          <w:p>
            <w:pPr>
              <w:spacing w:before="0" w:after="19"/>
              <w:ind w:left="0" w:right="0"/>
              <w:rPr>
                <w:rFonts w:ascii="Arial" w:hAnsi="Arial" w:cs="Arial"/>
                <w:sz w:val="20"/>
                <w:szCs w:val="20"/>
              </w:rPr>
            </w:pPr>
            <w:r>
              <w:rPr>
                <w:rFonts w:ascii="Arial" w:hAnsi="Arial" w:cs="Arial"/>
                <w:sz w:val="20"/>
                <w:szCs w:val="20"/>
              </w:rPr>
              <w:t>Fertility preservation</w:t>
            </w:r>
          </w:p>
          <w:p>
            <w:pPr>
              <w:numPr>
                <w:ilvl w:val="0"/>
                <w:numId w:val="107"/>
              </w:numPr>
              <w:spacing w:before="0" w:after="19"/>
              <w:ind w:hanging="283" w:left="283" w:right="0"/>
              <w:rPr>
                <w:rFonts w:ascii="Arial" w:hAnsi="Arial" w:cs="Arial"/>
                <w:sz w:val="20"/>
                <w:szCs w:val="20"/>
              </w:rPr>
            </w:pPr>
            <w:r>
              <w:rPr>
                <w:rFonts w:ascii="Arial" w:hAnsi="Arial" w:cs="Arial"/>
                <w:sz w:val="20"/>
                <w:szCs w:val="20"/>
              </w:rPr>
              <w:t xml:space="preserve">All patients with </w:t>
            </w:r>
            <w:r>
              <w:rPr>
                <w:rFonts w:ascii="Arial" w:hAnsi="Arial" w:cs="Arial" w:eastAsia="Calibri"/>
                <w:sz w:val="20"/>
                <w:szCs w:val="20"/>
              </w:rPr>
              <w:t>Haematological Neoplasms</w:t>
            </w:r>
            <w:r>
              <w:rPr>
                <w:rFonts w:ascii="Arial" w:hAnsi="Arial" w:cs="Arial"/>
                <w:sz w:val="20"/>
                <w:szCs w:val="20"/>
              </w:rPr>
              <w:t xml:space="preserve"> and planned fertility-reducing therapy should be offered pre-therapeutic information on fertility-preserving measures.</w:t>
            </w:r>
          </w:p>
          <w:p>
            <w:pPr>
              <w:numPr>
                <w:ilvl w:val="0"/>
                <w:numId w:val="107"/>
              </w:numPr>
              <w:spacing w:before="0" w:after="19"/>
              <w:ind w:hanging="283" w:left="283" w:right="0"/>
              <w:rPr>
                <w:rFonts w:ascii="Arial" w:hAnsi="Arial" w:cs="Arial"/>
                <w:sz w:val="20"/>
                <w:szCs w:val="20"/>
              </w:rPr>
            </w:pPr>
            <w:r>
              <w:rPr>
                <w:rFonts w:ascii="Arial" w:hAnsi="Arial" w:cs="Arial"/>
                <w:sz w:val="20"/>
                <w:szCs w:val="20"/>
              </w:rPr>
              <w:t>The content of the consultation must be specifically focussed on the entity to be treated and the planned therapies (in accordance with the S2k guideline on fertility preservation).</w:t>
            </w:r>
          </w:p>
          <w:p>
            <w:pPr>
              <w:numPr>
                <w:ilvl w:val="0"/>
                <w:numId w:val="107"/>
              </w:numPr>
              <w:spacing w:before="0" w:after="19"/>
              <w:ind w:hanging="283" w:left="283" w:right="0"/>
              <w:rPr>
                <w:rFonts w:ascii="Arial" w:hAnsi="Arial" w:cs="Arial"/>
                <w:sz w:val="20"/>
                <w:szCs w:val="20"/>
              </w:rPr>
            </w:pPr>
            <w:r>
              <w:rPr>
                <w:rFonts w:ascii="Arial" w:hAnsi="Arial" w:cs="Arial"/>
                <w:sz w:val="20"/>
                <w:szCs w:val="20"/>
              </w:rPr>
              <w:t>A procedural instruction with the names of those responsible must be provided.</w:t>
            </w:r>
          </w:p>
          <w:p>
            <w:pPr>
              <w:numPr>
                <w:ilvl w:val="0"/>
                <w:numId w:val="107"/>
              </w:numPr>
              <w:spacing w:before="0" w:after="19"/>
              <w:ind w:hanging="283" w:left="283"/>
              <w:rPr>
                <w:rFonts w:ascii="Arial" w:hAnsi="Arial" w:cs="Arial"/>
                <w:sz w:val="20"/>
                <w:szCs w:val="20"/>
                <w:lang w:val="ro-RO" w:bidi="ar-SA"/>
              </w:rPr>
            </w:pPr>
            <w:r>
              <w:rPr>
                <w:rFonts w:ascii="Arial" w:hAnsi="Arial" w:cs="Arial"/>
                <w:sz w:val="20"/>
                <w:szCs w:val="20"/>
              </w:rPr>
              <w:t>An andrology unit and a gynaecology unit with experience in this field are either available at the facility or a connection is ensured for additional counselling and/ or the implementation of fertility-preserving measures.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2.1.5</w:t>
            </w:r>
          </w:p>
        </w:tc>
        <w:tc>
          <w:tcPr>
            <w:tcW w:w="1" w:type="dxa"/>
          </w:tcPr>
          <w:p>
            <w:pPr>
              <w:spacing w:before="0" w:after="19"/>
              <w:ind w:left="0" w:right="0"/>
              <w:rPr>
                <w:rFonts w:ascii="Arial" w:hAnsi="Arial" w:cs="Arial"/>
                <w:sz w:val="20"/>
                <w:szCs w:val="20"/>
              </w:rPr>
            </w:pPr>
            <w:r>
              <w:rPr>
                <w:rFonts w:ascii="Arial" w:hAnsi="Arial" w:cs="Arial"/>
                <w:sz w:val="20"/>
                <w:szCs w:val="20"/>
              </w:rPr>
              <w:t>Waiting times during consultation hours</w:t>
            </w:r>
          </w:p>
          <w:p>
            <w:pPr>
              <w:spacing w:before="0" w:after="19"/>
              <w:ind w:left="0" w:right="0"/>
              <w:rPr>
                <w:rFonts w:ascii="Arial" w:hAnsi="Arial" w:cs="Arial"/>
                <w:sz w:val="20"/>
                <w:szCs w:val="20"/>
              </w:rPr>
            </w:pPr>
            <w:r>
              <w:rPr>
                <w:rFonts w:ascii="Arial" w:hAnsi="Arial" w:cs="Arial"/>
                <w:sz w:val="20"/>
                <w:szCs w:val="20"/>
              </w:rPr>
              <w:t>Requirement: &lt;60 min. (target value)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Waiting times for an appointment</w:t>
            </w:r>
          </w:p>
          <w:p>
            <w:pPr>
              <w:spacing w:before="0" w:after="19"/>
              <w:ind w:left="0" w:right="0"/>
              <w:rPr>
                <w:rFonts w:ascii="Arial" w:hAnsi="Arial" w:cs="Arial"/>
                <w:sz w:val="20"/>
                <w:szCs w:val="20"/>
              </w:rPr>
            </w:pPr>
            <w:r>
              <w:rPr>
                <w:rFonts w:ascii="Arial" w:hAnsi="Arial" w:cs="Arial"/>
                <w:sz w:val="20"/>
                <w:szCs w:val="20"/>
              </w:rPr>
              <w:t>Requirement: &lt;2 weeks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Waiting times should be recorded on a random basis and statistically analysed (recommendation: evaluation period of 4 weeks per year).</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2.1.6</w:t>
            </w:r>
          </w:p>
        </w:tc>
        <w:tc>
          <w:tcPr>
            <w:tcW w:w="1" w:type="dxa"/>
          </w:tcPr>
          <w:p>
            <w:pPr>
              <w:spacing w:before="0" w:after="19"/>
              <w:ind w:left="0" w:right="0"/>
              <w:rPr>
                <w:rFonts w:ascii="Arial" w:hAnsi="Arial" w:cs="Arial"/>
                <w:sz w:val="20"/>
                <w:szCs w:val="20"/>
              </w:rPr>
            </w:pPr>
            <w:r>
              <w:rPr>
                <w:rFonts w:ascii="Arial" w:hAnsi="Arial" w:cs="Arial"/>
                <w:sz w:val="20"/>
                <w:szCs w:val="20"/>
              </w:rPr>
              <w:t>The following services/ methods must be provided during consultation hours:</w:t>
            </w:r>
          </w:p>
          <w:p>
            <w:pPr>
              <w:numPr>
                <w:ilvl w:val="0"/>
                <w:numId w:val="108"/>
              </w:numPr>
              <w:spacing w:before="0" w:after="19"/>
              <w:ind w:hanging="283" w:left="283" w:right="0"/>
              <w:rPr>
                <w:rFonts w:ascii="Arial" w:hAnsi="Arial" w:cs="Arial"/>
                <w:sz w:val="20"/>
                <w:szCs w:val="20"/>
              </w:rPr>
            </w:pPr>
            <w:r>
              <w:rPr>
                <w:rFonts w:ascii="Arial" w:hAnsi="Arial" w:cs="Arial"/>
                <w:sz w:val="20"/>
                <w:szCs w:val="20"/>
              </w:rPr>
              <w:t>Access to imaging</w:t>
            </w:r>
          </w:p>
          <w:p>
            <w:pPr>
              <w:numPr>
                <w:ilvl w:val="0"/>
                <w:numId w:val="108"/>
              </w:numPr>
              <w:spacing w:before="0" w:after="19"/>
              <w:ind w:hanging="283" w:left="283" w:right="0"/>
              <w:rPr>
                <w:rFonts w:ascii="Arial" w:hAnsi="Arial" w:cs="Arial"/>
                <w:sz w:val="20"/>
                <w:szCs w:val="20"/>
              </w:rPr>
            </w:pPr>
            <w:r>
              <w:rPr>
                <w:rFonts w:ascii="Arial" w:hAnsi="Arial" w:cs="Arial"/>
                <w:sz w:val="20"/>
                <w:szCs w:val="20"/>
              </w:rPr>
              <w:t>Access to laboratory diagnostics including haematological diagnostics (see section 2.2)</w:t>
            </w:r>
          </w:p>
          <w:p>
            <w:pPr>
              <w:numPr>
                <w:ilvl w:val="0"/>
                <w:numId w:val="108"/>
              </w:numPr>
              <w:spacing w:before="0" w:after="19"/>
              <w:ind w:hanging="283" w:left="283" w:right="0"/>
              <w:rPr>
                <w:rFonts w:ascii="Arial" w:hAnsi="Arial" w:cs="Arial"/>
                <w:sz w:val="20"/>
                <w:szCs w:val="20"/>
              </w:rPr>
            </w:pPr>
            <w:r>
              <w:rPr>
                <w:rFonts w:ascii="Arial" w:hAnsi="Arial" w:cs="Arial"/>
                <w:sz w:val="20"/>
                <w:szCs w:val="20"/>
              </w:rPr>
              <w:t>Bone marrow punctures</w:t>
            </w:r>
          </w:p>
          <w:p>
            <w:pPr>
              <w:numPr>
                <w:ilvl w:val="0"/>
                <w:numId w:val="108"/>
              </w:numPr>
              <w:spacing w:before="0" w:after="19"/>
              <w:ind w:hanging="283" w:left="283" w:right="0"/>
              <w:rPr>
                <w:rFonts w:ascii="Arial" w:hAnsi="Arial" w:cs="Arial"/>
                <w:sz w:val="20"/>
                <w:szCs w:val="20"/>
              </w:rPr>
            </w:pPr>
            <w:r>
              <w:rPr>
                <w:rFonts w:ascii="Arial" w:hAnsi="Arial" w:cs="Arial"/>
                <w:sz w:val="20"/>
                <w:szCs w:val="20"/>
              </w:rPr>
              <w:t>Sonography, including lymph node sonography</w:t>
            </w:r>
          </w:p>
          <w:p>
            <w:pPr>
              <w:numPr>
                <w:ilvl w:val="0"/>
                <w:numId w:val="108"/>
              </w:numPr>
              <w:spacing w:before="0" w:after="19"/>
              <w:ind w:hanging="283" w:left="283"/>
              <w:rPr>
                <w:rFonts w:ascii="Arial" w:hAnsi="Arial" w:cs="Arial"/>
                <w:sz w:val="20"/>
                <w:szCs w:val="20"/>
                <w:lang w:val="ro-RO" w:bidi="ar-SA"/>
              </w:rPr>
            </w:pPr>
            <w:r>
              <w:rPr>
                <w:rFonts w:ascii="Arial" w:hAnsi="Arial" w:cs="Arial"/>
                <w:sz w:val="20"/>
                <w:szCs w:val="20"/>
              </w:rPr>
              <w:t>Lumbar puncture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2.1.7</w:t>
            </w:r>
          </w:p>
        </w:tc>
        <w:tc>
          <w:tcPr>
            <w:tcW w:w="1" w:type="dxa"/>
          </w:tcPr>
          <w:p>
            <w:pPr>
              <w:spacing w:before="0" w:after="19"/>
              <w:ind w:left="0" w:right="0"/>
              <w:rPr>
                <w:rFonts w:ascii="Arial" w:hAnsi="Arial" w:cs="Arial"/>
                <w:sz w:val="20"/>
                <w:szCs w:val="20"/>
              </w:rPr>
            </w:pPr>
            <w:r>
              <w:rPr>
                <w:rFonts w:ascii="Arial" w:hAnsi="Arial" w:cs="Arial"/>
                <w:sz w:val="20"/>
                <w:szCs w:val="20"/>
              </w:rPr>
              <w:t>The following quality-determining processes are to be described with details of responsibilities:</w:t>
            </w:r>
          </w:p>
          <w:p>
            <w:pPr>
              <w:numPr>
                <w:ilvl w:val="0"/>
                <w:numId w:val="109"/>
              </w:numPr>
              <w:spacing w:before="0" w:after="19"/>
              <w:ind w:hanging="283" w:left="283" w:right="0"/>
              <w:rPr>
                <w:rFonts w:ascii="Arial" w:hAnsi="Arial" w:cs="Arial"/>
                <w:sz w:val="20"/>
                <w:szCs w:val="20"/>
              </w:rPr>
            </w:pPr>
            <w:r>
              <w:rPr>
                <w:rFonts w:ascii="Arial" w:hAnsi="Arial" w:cs="Arial"/>
                <w:sz w:val="20"/>
                <w:szCs w:val="20"/>
              </w:rPr>
              <w:t>Preparation of patients for the tumour board.</w:t>
            </w:r>
          </w:p>
          <w:p>
            <w:pPr>
              <w:numPr>
                <w:ilvl w:val="0"/>
                <w:numId w:val="109"/>
              </w:numPr>
              <w:spacing w:before="0" w:after="19"/>
              <w:ind w:hanging="283" w:left="283" w:right="0"/>
              <w:rPr>
                <w:rFonts w:ascii="Arial" w:hAnsi="Arial" w:cs="Arial"/>
                <w:sz w:val="20"/>
                <w:szCs w:val="20"/>
              </w:rPr>
            </w:pPr>
            <w:r>
              <w:rPr>
                <w:rFonts w:ascii="Arial" w:hAnsi="Arial" w:cs="Arial"/>
                <w:sz w:val="20"/>
                <w:szCs w:val="20"/>
              </w:rPr>
              <w:t>Inpatient admission.</w:t>
            </w:r>
          </w:p>
          <w:p>
            <w:pPr>
              <w:spacing w:before="0" w:after="19"/>
              <w:rPr>
                <w:rFonts w:ascii="Arial" w:hAnsi="Arial" w:cs="Arial"/>
                <w:sz w:val="20"/>
                <w:szCs w:val="20"/>
                <w:lang w:val="ro-RO" w:bidi="ar-SA"/>
              </w:rPr>
            </w:pPr>
            <w:r>
              <w:rPr>
                <w:rFonts w:ascii="Arial" w:hAnsi="Arial" w:cs="Arial"/>
                <w:sz w:val="20"/>
                <w:szCs w:val="20"/>
              </w:rPr>
              <w:t>Sufficient resources must be available for the execution of the processes.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2.1.8</w:t>
            </w:r>
          </w:p>
        </w:tc>
        <w:tc>
          <w:tcPr>
            <w:tcW w:w="1" w:type="dxa"/>
          </w:tcPr>
          <w:p>
            <w:pPr>
              <w:spacing w:before="0" w:after="19"/>
              <w:rPr>
                <w:rFonts w:ascii="Arial" w:hAnsi="Arial" w:cs="Arial"/>
                <w:sz w:val="20"/>
                <w:szCs w:val="20"/>
                <w:lang w:val="ro-RO" w:bidi="ar-SA"/>
              </w:rPr>
            </w:pPr>
            <w:r>
              <w:rPr>
                <w:rFonts w:ascii="Arial" w:hAnsi="Arial" w:cs="Arial"/>
                <w:sz w:val="20"/>
                <w:szCs w:val="20"/>
              </w:rPr>
              <w:t>If children with haematological neoplasms are also treated at the site, an orderly transition to the adult sector should be implemented for patients over the age of 18 in interdisciplinary collaboration with paediatrics. The processes and standards must be described.</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2.2</w:t>
              <w:tab/>
              <w:t xml:space="preserve"> Diagnostics</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2.2.1.a</w:t>
            </w:r>
          </w:p>
        </w:tc>
        <w:tc>
          <w:tcPr>
            <w:tcW w:w="1" w:type="dxa"/>
          </w:tcPr>
          <w:p>
            <w:pPr>
              <w:spacing w:before="0" w:after="19"/>
              <w:ind w:left="0" w:right="0"/>
              <w:rPr>
                <w:rFonts w:ascii="Arial" w:hAnsi="Arial" w:cs="Arial"/>
                <w:sz w:val="20"/>
                <w:szCs w:val="20"/>
              </w:rPr>
            </w:pPr>
            <w:r>
              <w:rPr>
                <w:rFonts w:ascii="Arial" w:hAnsi="Arial" w:cs="Arial"/>
                <w:strike w:val="1"/>
                <w:sz w:val="20"/>
                <w:szCs w:val="20"/>
                <w:shd w:val="clear" w:color="auto" w:fill="00FE00"/>
              </w:rPr>
              <w:t>Haematological diagnostics</w:t>
            </w:r>
            <w:r>
              <w:rPr>
                <w:rFonts w:ascii="Arial" w:hAnsi="Arial" w:cs="Arial"/>
                <w:sz w:val="20"/>
                <w:szCs w:val="20"/>
              </w:rPr>
              <w:t xml:space="preserve"> </w:t>
            </w:r>
            <w:r>
              <w:rPr>
                <w:rFonts w:ascii="Arial" w:hAnsi="Arial" w:cs="Arial"/>
                <w:sz w:val="20"/>
                <w:szCs w:val="20"/>
                <w:shd w:val="clear" w:color="auto" w:fill="00FF00"/>
              </w:rPr>
              <w:t>Haematology-oncology laboratory</w:t>
            </w:r>
            <w:r>
              <w:rPr>
                <w:rFonts w:ascii="Arial" w:hAnsi="Arial" w:cs="Arial"/>
                <w:sz w:val="20"/>
                <w:szCs w:val="20"/>
              </w:rPr>
              <w:t>:</w:t>
            </w:r>
          </w:p>
          <w:p>
            <w:pPr>
              <w:spacing w:before="0" w:after="19"/>
              <w:ind w:left="0" w:right="0"/>
              <w:rPr>
                <w:rFonts w:ascii="Arial" w:hAnsi="Arial" w:cs="Arial"/>
                <w:sz w:val="20"/>
                <w:szCs w:val="20"/>
              </w:rPr>
            </w:pPr>
            <w:r>
              <w:rPr>
                <w:rFonts w:ascii="Arial" w:hAnsi="Arial" w:cs="Arial"/>
                <w:sz w:val="20"/>
                <w:szCs w:val="20"/>
              </w:rPr>
              <w:t>Cytomorphology and flow cytometry</w:t>
            </w:r>
          </w:p>
          <w:p>
            <w:pPr>
              <w:spacing w:before="0" w:after="19"/>
              <w:ind w:left="0" w:right="0"/>
              <w:rPr>
                <w:rFonts w:ascii="Arial" w:hAnsi="Arial" w:cs="Arial"/>
                <w:sz w:val="20"/>
                <w:szCs w:val="20"/>
              </w:rPr>
            </w:pPr>
            <w:r>
              <w:rPr>
                <w:rFonts w:ascii="Arial" w:hAnsi="Arial" w:cs="Arial"/>
                <w:sz w:val="20"/>
                <w:szCs w:val="20"/>
              </w:rPr>
              <w:t>The following procedures are available to patients at the centre:</w:t>
            </w:r>
          </w:p>
          <w:p>
            <w:pPr>
              <w:numPr>
                <w:ilvl w:val="0"/>
                <w:numId w:val="110"/>
              </w:numPr>
              <w:spacing w:before="0" w:after="19"/>
              <w:ind w:hanging="283" w:left="283" w:right="0"/>
              <w:rPr>
                <w:rFonts w:ascii="Arial" w:hAnsi="Arial" w:cs="Arial"/>
                <w:sz w:val="20"/>
                <w:szCs w:val="20"/>
              </w:rPr>
            </w:pPr>
            <w:r>
              <w:rPr>
                <w:rFonts w:ascii="Arial" w:hAnsi="Arial" w:cs="Arial"/>
                <w:sz w:val="20"/>
                <w:szCs w:val="20"/>
              </w:rPr>
              <w:t>Cytomorphology</w:t>
            </w:r>
          </w:p>
          <w:p>
            <w:pPr>
              <w:numPr>
                <w:ilvl w:val="1"/>
                <w:numId w:val="110"/>
              </w:numPr>
              <w:spacing w:before="0" w:after="19"/>
              <w:ind w:hanging="567" w:left="567" w:right="0"/>
              <w:rPr>
                <w:rFonts w:ascii="Arial" w:hAnsi="Arial" w:cs="Arial"/>
                <w:sz w:val="20"/>
                <w:szCs w:val="20"/>
              </w:rPr>
            </w:pPr>
            <w:r>
              <w:rPr>
                <w:rFonts w:ascii="Arial" w:hAnsi="Arial" w:cs="Arial"/>
                <w:sz w:val="20"/>
                <w:szCs w:val="20"/>
              </w:rPr>
              <w:t>Light microscopic examination of smears of peripheral blood, bone marrow and other suitable liquid puncture materials (e.g. cerebrospinal fluid, ascites, pleural fluid)</w:t>
            </w:r>
          </w:p>
          <w:p>
            <w:pPr>
              <w:numPr>
                <w:ilvl w:val="1"/>
                <w:numId w:val="110"/>
              </w:numPr>
              <w:spacing w:before="0" w:after="19"/>
              <w:ind w:hanging="567" w:left="567" w:right="0"/>
              <w:rPr>
                <w:rFonts w:ascii="Arial" w:hAnsi="Arial" w:cs="Arial"/>
                <w:sz w:val="20"/>
                <w:szCs w:val="20"/>
              </w:rPr>
            </w:pPr>
            <w:r>
              <w:rPr>
                <w:rFonts w:ascii="Arial" w:hAnsi="Arial" w:cs="Arial"/>
                <w:sz w:val="20"/>
                <w:szCs w:val="20"/>
              </w:rPr>
              <w:t>Availability of cytomorphology in the centre</w:t>
            </w:r>
          </w:p>
          <w:p>
            <w:pPr>
              <w:numPr>
                <w:ilvl w:val="1"/>
                <w:numId w:val="110"/>
              </w:numPr>
              <w:spacing w:before="0" w:after="19"/>
              <w:ind w:hanging="567" w:left="567" w:right="0"/>
              <w:rPr>
                <w:rFonts w:ascii="Arial" w:hAnsi="Arial" w:cs="Arial"/>
                <w:sz w:val="20"/>
                <w:szCs w:val="20"/>
              </w:rPr>
            </w:pPr>
            <w:r>
              <w:rPr>
                <w:rFonts w:ascii="Arial" w:hAnsi="Arial" w:cs="Arial"/>
                <w:sz w:val="20"/>
                <w:szCs w:val="20"/>
              </w:rPr>
              <w:t>Results must be available on the day of collection. The underlying processes must be described.</w:t>
            </w:r>
          </w:p>
          <w:p>
            <w:pPr>
              <w:numPr>
                <w:ilvl w:val="0"/>
                <w:numId w:val="110"/>
              </w:numPr>
              <w:spacing w:before="0" w:after="19"/>
              <w:ind w:hanging="283" w:left="283" w:right="0"/>
              <w:rPr>
                <w:rFonts w:ascii="Arial" w:hAnsi="Arial" w:cs="Arial"/>
                <w:sz w:val="20"/>
                <w:szCs w:val="20"/>
              </w:rPr>
            </w:pPr>
            <w:r>
              <w:rPr>
                <w:rFonts w:ascii="Arial" w:hAnsi="Arial" w:cs="Arial"/>
                <w:sz w:val="20"/>
                <w:szCs w:val="20"/>
              </w:rPr>
              <w:t>Flow cytometry (external cooperation possible, no distance limit, cooperation can also be described via SOP instead of a cooperation agreement): Notification of results must be possible by the following working day.</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Naming of the unit performing the diagnostics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For further explanations, see FAQ.</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2.2.1.b</w:t>
            </w:r>
          </w:p>
        </w:tc>
        <w:tc>
          <w:tcPr>
            <w:tcW w:w="1" w:type="dxa"/>
          </w:tcPr>
          <w:p>
            <w:pPr>
              <w:spacing w:before="0" w:after="19"/>
              <w:ind w:left="0" w:right="0"/>
              <w:rPr>
                <w:rFonts w:ascii="Arial" w:hAnsi="Arial" w:cs="Arial"/>
                <w:sz w:val="20"/>
                <w:szCs w:val="20"/>
              </w:rPr>
            </w:pPr>
            <w:r>
              <w:rPr>
                <w:rFonts w:ascii="Arial" w:hAnsi="Arial" w:cs="Arial"/>
                <w:sz w:val="20"/>
                <w:szCs w:val="20"/>
              </w:rPr>
              <w:t>Availability Cytomorphology</w:t>
            </w:r>
          </w:p>
          <w:p>
            <w:pPr>
              <w:spacing w:before="0" w:after="19"/>
              <w:rPr>
                <w:rFonts w:ascii="Arial" w:hAnsi="Arial" w:cs="Arial"/>
                <w:sz w:val="20"/>
                <w:szCs w:val="20"/>
                <w:lang w:val="ro-RO" w:bidi="ar-SA"/>
              </w:rPr>
            </w:pPr>
            <w:r>
              <w:rPr>
                <w:rFonts w:ascii="Arial" w:hAnsi="Arial" w:cs="Arial"/>
                <w:sz w:val="20"/>
                <w:szCs w:val="20"/>
              </w:rPr>
              <w:t>Cytomorphological diagnostics must also be guaranteed for emergencies at weekends and on public holidays.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2.2.1.c</w:t>
            </w:r>
          </w:p>
        </w:tc>
        <w:tc>
          <w:tcPr>
            <w:tcW w:w="1" w:type="dxa"/>
          </w:tcPr>
          <w:p>
            <w:pPr>
              <w:spacing w:before="0" w:after="19"/>
              <w:ind w:left="0" w:right="0"/>
              <w:rPr>
                <w:rFonts w:ascii="Arial" w:hAnsi="Arial" w:cs="Arial"/>
                <w:sz w:val="20"/>
                <w:szCs w:val="20"/>
              </w:rPr>
            </w:pPr>
            <w:r>
              <w:rPr>
                <w:rFonts w:ascii="Arial" w:hAnsi="Arial" w:cs="Arial"/>
                <w:sz w:val="20"/>
                <w:szCs w:val="20"/>
              </w:rPr>
              <w:t>Qualification of findings</w:t>
            </w:r>
          </w:p>
          <w:p>
            <w:pPr>
              <w:numPr>
                <w:ilvl w:val="0"/>
                <w:numId w:val="111"/>
              </w:numPr>
              <w:spacing w:before="0" w:after="19"/>
              <w:ind w:hanging="283" w:left="283" w:right="0"/>
              <w:rPr>
                <w:rFonts w:ascii="Arial" w:hAnsi="Arial" w:cs="Arial"/>
                <w:sz w:val="20"/>
                <w:szCs w:val="20"/>
              </w:rPr>
            </w:pPr>
            <w:r>
              <w:rPr>
                <w:rFonts w:ascii="Arial" w:hAnsi="Arial" w:cs="Arial"/>
                <w:sz w:val="20"/>
                <w:szCs w:val="20"/>
              </w:rPr>
              <w:t>Diagnosis by a specialist in internal medicine and haematology and oncology or a specialist in pathology or a specialist in laboratory medicine with special experience in haematological diagnostics.</w:t>
            </w:r>
          </w:p>
          <w:p>
            <w:pPr>
              <w:numPr>
                <w:ilvl w:val="0"/>
                <w:numId w:val="111"/>
              </w:numPr>
              <w:spacing w:before="0" w:after="19"/>
              <w:ind w:hanging="283" w:left="283" w:right="0"/>
              <w:rPr>
                <w:rFonts w:ascii="Arial" w:hAnsi="Arial" w:cs="Arial"/>
                <w:sz w:val="20"/>
                <w:szCs w:val="20"/>
              </w:rPr>
            </w:pPr>
            <w:r>
              <w:rPr>
                <w:rFonts w:ascii="Arial" w:hAnsi="Arial" w:cs="Arial"/>
                <w:sz w:val="20"/>
                <w:szCs w:val="20"/>
              </w:rPr>
              <w:t>Substitution regulations with the same qualification must be documented in writing.</w:t>
            </w:r>
          </w:p>
          <w:p>
            <w:pPr>
              <w:numPr>
                <w:ilvl w:val="0"/>
                <w:numId w:val="111"/>
              </w:numPr>
              <w:spacing w:before="0" w:after="19"/>
              <w:ind w:hanging="283" w:left="283"/>
              <w:rPr>
                <w:rFonts w:ascii="Arial" w:hAnsi="Arial" w:cs="Arial"/>
                <w:sz w:val="20"/>
                <w:szCs w:val="20"/>
                <w:lang w:val="ro-RO" w:bidi="ar-SA"/>
              </w:rPr>
            </w:pPr>
            <w:r>
              <w:rPr>
                <w:rFonts w:ascii="Arial" w:hAnsi="Arial" w:cs="Arial"/>
                <w:sz w:val="20"/>
                <w:szCs w:val="20"/>
              </w:rPr>
              <w:t>Specialist and representative must be named.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2.2.1.d</w:t>
            </w:r>
          </w:p>
        </w:tc>
        <w:tc>
          <w:tcPr>
            <w:tcW w:w="1" w:type="dxa"/>
          </w:tcPr>
          <w:p>
            <w:pPr>
              <w:spacing w:before="0" w:after="19"/>
              <w:ind w:left="0" w:right="0"/>
              <w:rPr>
                <w:rFonts w:ascii="Arial" w:hAnsi="Arial" w:cs="Arial"/>
                <w:sz w:val="20"/>
                <w:szCs w:val="20"/>
              </w:rPr>
            </w:pPr>
            <w:r>
              <w:rPr>
                <w:rFonts w:ascii="Arial" w:hAnsi="Arial" w:cs="Arial"/>
                <w:sz w:val="20"/>
                <w:szCs w:val="20"/>
              </w:rPr>
              <w:t>Quality assurance diagnostic unit</w:t>
            </w:r>
          </w:p>
          <w:p>
            <w:pPr>
              <w:numPr>
                <w:ilvl w:val="0"/>
                <w:numId w:val="112"/>
              </w:numPr>
              <w:spacing w:before="0" w:after="19"/>
              <w:ind w:hanging="283" w:left="283" w:right="0"/>
              <w:rPr>
                <w:rFonts w:ascii="Arial" w:hAnsi="Arial" w:cs="Arial"/>
                <w:sz w:val="20"/>
                <w:szCs w:val="20"/>
              </w:rPr>
            </w:pPr>
            <w:r>
              <w:rPr>
                <w:rFonts w:ascii="Arial" w:hAnsi="Arial" w:cs="Arial"/>
                <w:sz w:val="20"/>
                <w:szCs w:val="20"/>
              </w:rPr>
              <w:t>The unit has an internal quality management system.</w:t>
            </w:r>
          </w:p>
          <w:p>
            <w:pPr>
              <w:numPr>
                <w:ilvl w:val="0"/>
                <w:numId w:val="112"/>
              </w:numPr>
              <w:spacing w:before="0" w:after="19"/>
              <w:ind w:hanging="283" w:left="283" w:right="0"/>
              <w:rPr>
                <w:rFonts w:ascii="Arial" w:hAnsi="Arial" w:cs="Arial"/>
                <w:sz w:val="20"/>
                <w:szCs w:val="20"/>
              </w:rPr>
            </w:pPr>
            <w:r>
              <w:rPr>
                <w:rFonts w:ascii="Arial" w:hAnsi="Arial" w:cs="Arial"/>
                <w:sz w:val="20"/>
                <w:szCs w:val="20"/>
              </w:rPr>
              <w:t>Flow cytometry additionally: daily device-specific internal quality control and fluorescence calibration if necessary.</w:t>
            </w:r>
          </w:p>
          <w:p>
            <w:pPr>
              <w:numPr>
                <w:ilvl w:val="0"/>
                <w:numId w:val="112"/>
              </w:numPr>
              <w:spacing w:before="0" w:after="19"/>
              <w:ind w:hanging="283" w:left="283" w:right="0"/>
              <w:rPr>
                <w:rFonts w:ascii="Arial" w:hAnsi="Arial" w:cs="Arial"/>
                <w:sz w:val="20"/>
                <w:szCs w:val="20"/>
              </w:rPr>
            </w:pPr>
            <w:r>
              <w:rPr>
                <w:rFonts w:ascii="Arial" w:hAnsi="Arial" w:cs="Arial"/>
                <w:sz w:val="20"/>
                <w:szCs w:val="20"/>
              </w:rPr>
              <w:t>The Institute regularly and successfully participates in quality assurance measures, in particular in round robin tests organised by reference institutions of the German Medical Association.</w:t>
            </w:r>
          </w:p>
          <w:p>
            <w:pPr>
              <w:numPr>
                <w:ilvl w:val="0"/>
                <w:numId w:val="112"/>
              </w:numPr>
              <w:spacing w:before="0" w:after="19"/>
              <w:ind w:hanging="283" w:left="283"/>
              <w:rPr>
                <w:rFonts w:ascii="Arial" w:hAnsi="Arial" w:cs="Arial"/>
                <w:sz w:val="20"/>
                <w:szCs w:val="20"/>
                <w:lang w:val="ro-RO" w:bidi="ar-SA"/>
              </w:rPr>
            </w:pPr>
            <w:r>
              <w:rPr>
                <w:rFonts w:ascii="Arial" w:hAnsi="Arial" w:cs="Arial"/>
                <w:sz w:val="20"/>
                <w:szCs w:val="20"/>
              </w:rPr>
              <w:t>In particular, successful participation in round robin tests on flow cytometry and cytomorphology should be demonstrated.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2.2.2.a</w:t>
            </w:r>
          </w:p>
        </w:tc>
        <w:tc>
          <w:tcPr>
            <w:tcW w:w="1" w:type="dxa"/>
          </w:tcPr>
          <w:p>
            <w:pPr>
              <w:spacing w:before="0" w:after="19"/>
              <w:ind w:left="0" w:right="0"/>
              <w:rPr>
                <w:rFonts w:ascii="Arial" w:hAnsi="Arial" w:cs="Arial"/>
                <w:sz w:val="20"/>
                <w:szCs w:val="20"/>
              </w:rPr>
            </w:pPr>
            <w:r>
              <w:rPr>
                <w:rFonts w:ascii="Arial" w:hAnsi="Arial" w:cs="Arial"/>
                <w:strike w:val="1"/>
                <w:sz w:val="20"/>
                <w:szCs w:val="20"/>
                <w:shd w:val="clear" w:color="auto" w:fill="00FE00"/>
              </w:rPr>
              <w:t>Haematological diagnostics</w:t>
            </w:r>
            <w:r>
              <w:rPr>
                <w:rFonts w:ascii="Arial" w:hAnsi="Arial" w:cs="Arial"/>
                <w:sz w:val="20"/>
                <w:szCs w:val="20"/>
              </w:rPr>
              <w:t xml:space="preserve"> </w:t>
            </w:r>
            <w:r>
              <w:rPr>
                <w:rFonts w:ascii="Arial" w:hAnsi="Arial" w:cs="Arial"/>
                <w:sz w:val="20"/>
                <w:szCs w:val="20"/>
                <w:shd w:val="clear" w:color="auto" w:fill="00FF00"/>
              </w:rPr>
              <w:t>Haematology-oncology laboratory</w:t>
            </w:r>
            <w:r>
              <w:rPr>
                <w:rFonts w:ascii="Arial" w:hAnsi="Arial" w:cs="Arial"/>
                <w:sz w:val="20"/>
                <w:szCs w:val="20"/>
              </w:rPr>
              <w:t>:</w:t>
            </w:r>
          </w:p>
          <w:p>
            <w:pPr>
              <w:spacing w:before="0" w:after="19"/>
              <w:ind w:left="0" w:right="0"/>
              <w:rPr>
                <w:rFonts w:ascii="Arial" w:hAnsi="Arial" w:cs="Arial"/>
                <w:sz w:val="20"/>
                <w:szCs w:val="20"/>
              </w:rPr>
            </w:pPr>
            <w:r>
              <w:rPr>
                <w:rFonts w:ascii="Arial" w:hAnsi="Arial" w:cs="Arial"/>
                <w:sz w:val="20"/>
                <w:szCs w:val="20"/>
              </w:rPr>
              <w:t>Cytogenetics, molecular genetics, immunogenetics</w:t>
            </w:r>
          </w:p>
          <w:p>
            <w:pPr>
              <w:spacing w:before="0" w:after="19"/>
              <w:ind w:left="0" w:right="0"/>
              <w:rPr>
                <w:rFonts w:ascii="Arial" w:hAnsi="Arial" w:cs="Arial"/>
                <w:sz w:val="20"/>
                <w:szCs w:val="20"/>
              </w:rPr>
            </w:pPr>
            <w:r>
              <w:rPr>
                <w:rFonts w:ascii="Arial" w:hAnsi="Arial" w:cs="Arial"/>
                <w:sz w:val="20"/>
                <w:szCs w:val="20"/>
              </w:rPr>
              <w:t xml:space="preserve">The following procedures are available to patients at the centre (external cooperation possible, </w:t>
            </w:r>
            <w:r>
              <w:rPr>
                <w:rFonts w:ascii="Arial" w:hAnsi="Arial" w:cs="Arial"/>
                <w:sz w:val="20"/>
                <w:szCs w:val="20"/>
                <w:shd w:val="clear" w:color="auto" w:fill="00FF00"/>
              </w:rPr>
              <w:t>no limit on distance</w:t>
            </w:r>
            <w:r>
              <w:rPr>
                <w:rFonts w:ascii="Arial" w:hAnsi="Arial" w:cs="Arial"/>
                <w:sz w:val="20"/>
                <w:szCs w:val="20"/>
              </w:rPr>
              <w:t>):</w:t>
            </w:r>
          </w:p>
          <w:p>
            <w:pPr>
              <w:spacing w:before="0" w:after="19"/>
              <w:ind w:left="0" w:right="0"/>
              <w:rPr>
                <w:rFonts w:ascii="Arial" w:hAnsi="Arial" w:cs="Arial"/>
                <w:sz w:val="20"/>
                <w:szCs w:val="20"/>
              </w:rPr>
            </w:pPr>
            <w:r>
              <w:rPr>
                <w:rFonts w:ascii="Arial" w:hAnsi="Arial" w:cs="Arial"/>
                <w:sz w:val="20"/>
                <w:szCs w:val="20"/>
              </w:rPr>
              <w:t>·      Cytogenetics</w:t>
            </w:r>
          </w:p>
          <w:p>
            <w:pPr>
              <w:spacing w:before="0" w:after="19"/>
              <w:ind w:left="0" w:right="0"/>
              <w:rPr>
                <w:rFonts w:ascii="Arial" w:hAnsi="Arial" w:cs="Arial"/>
                <w:sz w:val="20"/>
                <w:szCs w:val="20"/>
              </w:rPr>
            </w:pPr>
            <w:r>
              <w:rPr>
                <w:rFonts w:ascii="Arial" w:hAnsi="Arial" w:cs="Arial"/>
                <w:sz w:val="20"/>
                <w:szCs w:val="20"/>
              </w:rPr>
              <w:t>o Karyotyping</w:t>
            </w:r>
          </w:p>
          <w:p>
            <w:pPr>
              <w:spacing w:before="0" w:after="19"/>
              <w:ind w:left="0" w:right="0"/>
              <w:rPr>
                <w:rFonts w:ascii="Arial" w:hAnsi="Arial" w:cs="Arial"/>
                <w:sz w:val="20"/>
                <w:szCs w:val="20"/>
              </w:rPr>
            </w:pPr>
            <w:r>
              <w:rPr>
                <w:rFonts w:ascii="Arial" w:hAnsi="Arial" w:cs="Arial"/>
                <w:sz w:val="20"/>
                <w:szCs w:val="20"/>
              </w:rPr>
              <w:t>o Fluorescence in situ hybridisation (FISH)</w:t>
            </w:r>
          </w:p>
          <w:p>
            <w:pPr>
              <w:spacing w:before="0" w:after="19"/>
              <w:ind w:left="0" w:right="0"/>
              <w:rPr>
                <w:rFonts w:ascii="Arial" w:hAnsi="Arial" w:cs="Arial"/>
                <w:sz w:val="20"/>
                <w:szCs w:val="20"/>
              </w:rPr>
            </w:pPr>
            <w:r>
              <w:rPr>
                <w:rFonts w:ascii="Arial" w:hAnsi="Arial" w:cs="Arial"/>
                <w:sz w:val="20"/>
                <w:szCs w:val="20"/>
              </w:rPr>
              <w:t>·      Molecular genetics</w:t>
            </w:r>
          </w:p>
          <w:p>
            <w:pPr>
              <w:spacing w:before="0" w:after="19"/>
              <w:ind w:left="0" w:right="0"/>
              <w:rPr>
                <w:rFonts w:ascii="Arial" w:hAnsi="Arial" w:cs="Arial"/>
                <w:sz w:val="20"/>
                <w:szCs w:val="20"/>
              </w:rPr>
            </w:pPr>
            <w:r>
              <w:rPr>
                <w:rFonts w:ascii="Arial" w:hAnsi="Arial" w:cs="Arial"/>
                <w:sz w:val="20"/>
                <w:szCs w:val="20"/>
              </w:rPr>
              <w:t>o Polymerase chain reaction (PCR)</w:t>
            </w:r>
          </w:p>
          <w:p>
            <w:pPr>
              <w:spacing w:before="0" w:after="19"/>
              <w:ind w:left="0" w:right="0"/>
              <w:rPr>
                <w:rFonts w:ascii="Arial" w:hAnsi="Arial" w:cs="Arial"/>
                <w:sz w:val="20"/>
                <w:szCs w:val="20"/>
              </w:rPr>
            </w:pPr>
            <w:r>
              <w:rPr>
                <w:rFonts w:ascii="Arial" w:hAnsi="Arial" w:cs="Arial"/>
                <w:sz w:val="20"/>
                <w:szCs w:val="20"/>
              </w:rPr>
              <w:t>o Gene sequencing</w:t>
            </w:r>
          </w:p>
          <w:p>
            <w:pPr>
              <w:spacing w:before="0" w:after="19"/>
              <w:ind w:left="0" w:right="0"/>
              <w:rPr>
                <w:rFonts w:ascii="Arial" w:hAnsi="Arial" w:cs="Arial"/>
                <w:sz w:val="20"/>
                <w:szCs w:val="20"/>
              </w:rPr>
            </w:pPr>
            <w:r>
              <w:rPr>
                <w:rFonts w:ascii="Arial" w:hAnsi="Arial" w:cs="Arial"/>
                <w:sz w:val="20"/>
                <w:szCs w:val="20"/>
              </w:rPr>
              <w:t>·      Immunogenetics</w:t>
            </w:r>
          </w:p>
          <w:p>
            <w:pPr>
              <w:spacing w:before="0" w:after="19"/>
              <w:ind w:left="0" w:right="0"/>
              <w:rPr>
                <w:rFonts w:ascii="Arial" w:hAnsi="Arial" w:cs="Arial"/>
                <w:sz w:val="20"/>
                <w:szCs w:val="20"/>
              </w:rPr>
            </w:pPr>
            <w:r>
              <w:rPr>
                <w:rFonts w:ascii="Arial" w:hAnsi="Arial" w:cs="Arial"/>
                <w:sz w:val="20"/>
                <w:szCs w:val="20"/>
              </w:rPr>
              <w:t>o HLA typing</w:t>
            </w:r>
          </w:p>
          <w:p>
            <w:pPr>
              <w:spacing w:before="0" w:after="19"/>
              <w:ind w:left="0" w:right="0"/>
              <w:rPr>
                <w:rFonts w:ascii="Arial" w:hAnsi="Arial" w:cs="Arial"/>
                <w:sz w:val="20"/>
                <w:szCs w:val="20"/>
              </w:rPr>
            </w:pPr>
            <w:r>
              <w:rPr>
                <w:rFonts w:ascii="Arial" w:hAnsi="Arial" w:cs="Arial"/>
                <w:sz w:val="20"/>
                <w:szCs w:val="20"/>
              </w:rPr>
              <w:t>o HLA antibodies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Naming of the unit performing the diagnostics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2.2.2.b</w:t>
            </w:r>
          </w:p>
        </w:tc>
        <w:tc>
          <w:tcPr>
            <w:tcW w:w="1" w:type="dxa"/>
          </w:tcPr>
          <w:p>
            <w:pPr>
              <w:spacing w:before="0" w:after="19"/>
              <w:ind w:left="0" w:right="0"/>
              <w:rPr>
                <w:rFonts w:ascii="Arial" w:hAnsi="Arial" w:cs="Arial"/>
                <w:sz w:val="20"/>
                <w:szCs w:val="20"/>
              </w:rPr>
            </w:pPr>
            <w:r>
              <w:rPr>
                <w:rFonts w:ascii="Arial" w:hAnsi="Arial" w:cs="Arial"/>
                <w:sz w:val="20"/>
                <w:szCs w:val="20"/>
              </w:rPr>
              <w:t>Quality assurance diagnostic unit</w:t>
            </w:r>
          </w:p>
          <w:p>
            <w:pPr>
              <w:numPr>
                <w:ilvl w:val="0"/>
                <w:numId w:val="113"/>
              </w:numPr>
              <w:spacing w:before="0" w:after="19"/>
              <w:ind w:hanging="283" w:left="283" w:right="0"/>
              <w:rPr>
                <w:rFonts w:ascii="Arial" w:hAnsi="Arial" w:cs="Arial"/>
                <w:sz w:val="20"/>
                <w:szCs w:val="20"/>
              </w:rPr>
            </w:pPr>
            <w:r>
              <w:rPr>
                <w:rFonts w:ascii="Arial" w:hAnsi="Arial" w:cs="Arial"/>
                <w:sz w:val="20"/>
                <w:szCs w:val="20"/>
              </w:rPr>
              <w:t>The unit has an internal quality management system. Certification/ accreditation (e.g. in accordance with DIN EN ISO 15189) should be sought.</w:t>
            </w:r>
          </w:p>
          <w:p>
            <w:pPr>
              <w:numPr>
                <w:ilvl w:val="0"/>
                <w:numId w:val="113"/>
              </w:numPr>
              <w:spacing w:before="0" w:after="19"/>
              <w:ind w:hanging="283" w:left="283" w:right="0"/>
              <w:rPr>
                <w:rFonts w:ascii="Arial" w:hAnsi="Arial" w:cs="Arial"/>
                <w:sz w:val="20"/>
                <w:szCs w:val="20"/>
              </w:rPr>
            </w:pPr>
            <w:r>
              <w:rPr>
                <w:rFonts w:ascii="Arial" w:hAnsi="Arial" w:cs="Arial"/>
                <w:sz w:val="20"/>
                <w:szCs w:val="20"/>
              </w:rPr>
              <w:t>The guidelines of the German Medical Association for the quality assurance of laboratory medical examinations (available at Link), in particular section B5, are complied with.</w:t>
            </w:r>
          </w:p>
          <w:p>
            <w:pPr>
              <w:numPr>
                <w:ilvl w:val="0"/>
                <w:numId w:val="113"/>
              </w:numPr>
              <w:spacing w:before="0" w:after="19"/>
              <w:ind w:hanging="283" w:left="283"/>
              <w:rPr>
                <w:rFonts w:ascii="Arial" w:hAnsi="Arial" w:cs="Arial"/>
                <w:sz w:val="20"/>
                <w:szCs w:val="20"/>
                <w:lang w:val="ro-RO" w:bidi="ar-SA"/>
              </w:rPr>
            </w:pPr>
            <w:r>
              <w:rPr>
                <w:rFonts w:ascii="Arial" w:hAnsi="Arial" w:cs="Arial"/>
                <w:sz w:val="20"/>
                <w:szCs w:val="20"/>
              </w:rPr>
              <w:t>The unit regularly and successfully participates in quality assurance measures, in particular in round robin tests organised by reference institutions of the German Medical Association.</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3.</w:t>
        <w:tab/>
        <w:t xml:space="preserve"> Radiology</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3.1</w:t>
            </w:r>
          </w:p>
        </w:tc>
        <w:tc>
          <w:tcPr>
            <w:tcW w:w="1" w:type="dxa"/>
          </w:tcPr>
          <w:p>
            <w:pPr>
              <w:spacing w:before="0" w:after="19"/>
              <w:ind w:left="0" w:right="0"/>
              <w:rPr>
                <w:rFonts w:ascii="Arial" w:hAnsi="Arial" w:cs="Arial"/>
                <w:sz w:val="20"/>
                <w:szCs w:val="20"/>
              </w:rPr>
            </w:pPr>
            <w:r>
              <w:rPr>
                <w:rFonts w:ascii="Arial" w:hAnsi="Arial" w:cs="Arial"/>
                <w:sz w:val="20"/>
                <w:szCs w:val="20"/>
              </w:rPr>
              <w:t>Specialists</w:t>
            </w:r>
          </w:p>
          <w:p>
            <w:pPr>
              <w:numPr>
                <w:ilvl w:val="0"/>
                <w:numId w:val="114"/>
              </w:numPr>
              <w:spacing w:before="0" w:after="19"/>
              <w:ind w:hanging="283" w:left="283" w:right="0"/>
              <w:rPr>
                <w:rFonts w:ascii="Arial" w:hAnsi="Arial" w:cs="Arial"/>
                <w:sz w:val="20"/>
                <w:szCs w:val="20"/>
              </w:rPr>
            </w:pPr>
            <w:r>
              <w:rPr>
                <w:rFonts w:ascii="Arial" w:hAnsi="Arial" w:cs="Arial"/>
                <w:sz w:val="20"/>
                <w:szCs w:val="20"/>
              </w:rPr>
              <w:t> At least 1 radiology specialist</w:t>
            </w:r>
          </w:p>
          <w:p>
            <w:pPr>
              <w:numPr>
                <w:ilvl w:val="0"/>
                <w:numId w:val="114"/>
              </w:numPr>
              <w:spacing w:before="0" w:after="19"/>
              <w:ind w:hanging="283" w:left="283" w:right="0"/>
              <w:rPr>
                <w:rFonts w:ascii="Arial" w:hAnsi="Arial" w:cs="Arial"/>
                <w:sz w:val="20"/>
                <w:szCs w:val="20"/>
              </w:rPr>
            </w:pPr>
            <w:r>
              <w:rPr>
                <w:rFonts w:ascii="Arial" w:hAnsi="Arial" w:cs="Arial"/>
                <w:sz w:val="20"/>
                <w:szCs w:val="20"/>
              </w:rPr>
              <w:t>Substitution regulation with the same qualification must be documented in writing</w:t>
            </w:r>
          </w:p>
          <w:p>
            <w:pPr>
              <w:numPr>
                <w:ilvl w:val="0"/>
                <w:numId w:val="114"/>
              </w:numPr>
              <w:spacing w:before="0" w:after="19"/>
              <w:ind w:hanging="283" w:left="283"/>
              <w:rPr>
                <w:rFonts w:ascii="Arial" w:hAnsi="Arial" w:cs="Arial"/>
                <w:sz w:val="20"/>
                <w:szCs w:val="20"/>
                <w:lang w:val="ro-RO" w:bidi="ar-SA"/>
              </w:rPr>
            </w:pPr>
            <w:r>
              <w:rPr>
                <w:rFonts w:ascii="Arial" w:hAnsi="Arial" w:cs="Arial"/>
                <w:sz w:val="20"/>
                <w:szCs w:val="20"/>
              </w:rPr>
              <w:t>Specialist and representative must be named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3.2</w:t>
            </w:r>
          </w:p>
        </w:tc>
        <w:tc>
          <w:tcPr>
            <w:tcW w:w="1" w:type="dxa"/>
          </w:tcPr>
          <w:p>
            <w:pPr>
              <w:spacing w:before="0" w:after="19"/>
              <w:ind w:left="0" w:right="0"/>
              <w:rPr>
                <w:rFonts w:ascii="Arial" w:hAnsi="Arial" w:cs="Arial"/>
                <w:sz w:val="20"/>
                <w:szCs w:val="20"/>
              </w:rPr>
            </w:pPr>
            <w:r>
              <w:rPr>
                <w:rFonts w:ascii="Arial" w:hAnsi="Arial" w:cs="Arial"/>
                <w:sz w:val="20"/>
                <w:szCs w:val="20"/>
              </w:rPr>
              <w:t>Medical-technical radiology assistants (MTR)</w:t>
            </w:r>
          </w:p>
          <w:p>
            <w:pPr>
              <w:spacing w:before="0" w:after="19"/>
              <w:rPr>
                <w:rFonts w:ascii="Arial" w:hAnsi="Arial" w:cs="Arial"/>
                <w:sz w:val="20"/>
                <w:szCs w:val="20"/>
                <w:lang w:val="ro-RO" w:bidi="ar-SA"/>
              </w:rPr>
            </w:pPr>
            <w:r>
              <w:rPr>
                <w:rFonts w:ascii="Arial" w:hAnsi="Arial" w:cs="Arial"/>
                <w:sz w:val="20"/>
                <w:szCs w:val="20"/>
              </w:rPr>
              <w:t>At least 2 qualified MTRs must be available.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3.3</w:t>
            </w:r>
          </w:p>
        </w:tc>
        <w:tc>
          <w:tcPr>
            <w:tcW w:w="1" w:type="dxa"/>
          </w:tcPr>
          <w:p>
            <w:pPr>
              <w:spacing w:before="0" w:after="19"/>
              <w:ind w:left="0" w:right="0"/>
              <w:rPr>
                <w:rFonts w:ascii="Arial" w:hAnsi="Arial" w:cs="Arial"/>
                <w:sz w:val="20"/>
                <w:szCs w:val="20"/>
              </w:rPr>
            </w:pPr>
            <w:r>
              <w:rPr>
                <w:rFonts w:ascii="Arial" w:hAnsi="Arial" w:cs="Arial"/>
                <w:sz w:val="20"/>
                <w:szCs w:val="20"/>
              </w:rPr>
              <w:t>Methods to be used in radiology:</w:t>
            </w:r>
          </w:p>
          <w:p>
            <w:pPr>
              <w:numPr>
                <w:ilvl w:val="0"/>
                <w:numId w:val="115"/>
              </w:numPr>
              <w:spacing w:before="0" w:after="19"/>
              <w:ind w:hanging="283" w:left="283" w:right="0"/>
              <w:rPr>
                <w:rFonts w:ascii="Arial" w:hAnsi="Arial" w:cs="Arial"/>
                <w:sz w:val="20"/>
                <w:szCs w:val="20"/>
              </w:rPr>
            </w:pPr>
            <w:r>
              <w:rPr>
                <w:rFonts w:ascii="Arial" w:hAnsi="Arial" w:cs="Arial"/>
                <w:sz w:val="20"/>
                <w:szCs w:val="20"/>
              </w:rPr>
              <w:t>Conventional X-ray</w:t>
            </w:r>
          </w:p>
          <w:p>
            <w:pPr>
              <w:numPr>
                <w:ilvl w:val="0"/>
                <w:numId w:val="115"/>
              </w:numPr>
              <w:spacing w:before="0" w:after="19"/>
              <w:ind w:hanging="283" w:left="283" w:right="0"/>
              <w:rPr>
                <w:rFonts w:ascii="Arial" w:hAnsi="Arial" w:cs="Arial"/>
                <w:sz w:val="20"/>
                <w:szCs w:val="20"/>
              </w:rPr>
            </w:pPr>
            <w:r>
              <w:rPr>
                <w:rFonts w:ascii="Arial" w:hAnsi="Arial" w:cs="Arial"/>
                <w:sz w:val="20"/>
                <w:szCs w:val="20"/>
              </w:rPr>
              <w:t>Sonography</w:t>
            </w:r>
          </w:p>
          <w:p>
            <w:pPr>
              <w:numPr>
                <w:ilvl w:val="0"/>
                <w:numId w:val="115"/>
              </w:numPr>
              <w:spacing w:before="0" w:after="19"/>
              <w:ind w:hanging="283" w:left="283" w:right="0"/>
              <w:rPr>
                <w:rFonts w:ascii="Arial" w:hAnsi="Arial" w:cs="Arial"/>
                <w:sz w:val="20"/>
                <w:szCs w:val="20"/>
              </w:rPr>
            </w:pPr>
            <w:r>
              <w:rPr>
                <w:rFonts w:ascii="Arial" w:hAnsi="Arial" w:cs="Arial"/>
                <w:sz w:val="20"/>
                <w:szCs w:val="20"/>
              </w:rPr>
              <w:t>Spiral CT</w:t>
            </w:r>
          </w:p>
          <w:p>
            <w:pPr>
              <w:numPr>
                <w:ilvl w:val="0"/>
                <w:numId w:val="115"/>
              </w:numPr>
              <w:spacing w:before="0" w:after="19"/>
              <w:ind w:hanging="283" w:left="283"/>
              <w:rPr>
                <w:rFonts w:ascii="Arial" w:hAnsi="Arial" w:cs="Arial"/>
                <w:sz w:val="20"/>
                <w:szCs w:val="20"/>
                <w:lang w:val="ro-RO" w:bidi="ar-SA"/>
              </w:rPr>
            </w:pPr>
            <w:r>
              <w:rPr>
                <w:rFonts w:ascii="Arial" w:hAnsi="Arial" w:cs="Arial"/>
                <w:sz w:val="20"/>
                <w:szCs w:val="20"/>
              </w:rPr>
              <w:t>MRI (field strength at least 1.5 Tesla)</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3.4</w:t>
            </w:r>
          </w:p>
        </w:tc>
        <w:tc>
          <w:tcPr>
            <w:tcW w:w="1" w:type="dxa"/>
          </w:tcPr>
          <w:p>
            <w:pPr>
              <w:spacing w:before="0" w:after="19"/>
              <w:ind w:left="0" w:right="0"/>
              <w:rPr>
                <w:rFonts w:ascii="Arial" w:hAnsi="Arial" w:cs="Arial"/>
                <w:sz w:val="20"/>
                <w:szCs w:val="20"/>
              </w:rPr>
            </w:pPr>
            <w:r>
              <w:rPr>
                <w:rFonts w:ascii="Arial" w:hAnsi="Arial" w:cs="Arial"/>
                <w:sz w:val="20"/>
                <w:szCs w:val="20"/>
              </w:rPr>
              <w:t>Radiology process descriptions (SOPs)</w:t>
            </w:r>
          </w:p>
          <w:p>
            <w:pPr>
              <w:spacing w:before="0" w:after="19"/>
              <w:rPr>
                <w:rFonts w:ascii="Arial" w:hAnsi="Arial" w:cs="Arial"/>
                <w:sz w:val="20"/>
                <w:szCs w:val="20"/>
                <w:lang w:val="ro-RO" w:bidi="ar-SA"/>
              </w:rPr>
            </w:pPr>
            <w:r>
              <w:rPr>
                <w:rFonts w:ascii="Arial" w:hAnsi="Arial" w:cs="Arial"/>
                <w:sz w:val="20"/>
                <w:szCs w:val="20"/>
              </w:rPr>
              <w:t>The imaging procedures must be described and checked once a year to ensure that they are up to date.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3.5</w:t>
            </w:r>
          </w:p>
        </w:tc>
        <w:tc>
          <w:tcPr>
            <w:tcW w:w="1" w:type="dxa"/>
          </w:tcPr>
          <w:p>
            <w:pPr>
              <w:spacing w:before="0" w:after="19"/>
              <w:ind w:left="0" w:right="0"/>
              <w:rPr>
                <w:rFonts w:ascii="Arial" w:hAnsi="Arial" w:cs="Arial"/>
                <w:sz w:val="20"/>
                <w:szCs w:val="20"/>
              </w:rPr>
            </w:pPr>
            <w:r>
              <w:rPr>
                <w:rFonts w:ascii="Arial" w:hAnsi="Arial" w:cs="Arial"/>
                <w:sz w:val="20"/>
                <w:szCs w:val="20"/>
              </w:rPr>
              <w:t>Creation of findings</w:t>
            </w:r>
          </w:p>
          <w:p>
            <w:pPr>
              <w:spacing w:before="0" w:after="19"/>
              <w:rPr>
                <w:rFonts w:ascii="Arial" w:hAnsi="Arial" w:cs="Arial"/>
                <w:sz w:val="20"/>
                <w:szCs w:val="20"/>
                <w:lang w:val="ro-RO" w:bidi="ar-SA"/>
              </w:rPr>
            </w:pPr>
            <w:r>
              <w:rPr>
                <w:rFonts w:ascii="Arial" w:hAnsi="Arial" w:cs="Arial"/>
                <w:sz w:val="20"/>
                <w:szCs w:val="20"/>
              </w:rPr>
              <w:t>The radiologist's written findings must be available to the co-treating physicians no later than 24 hours after the examination.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3.6</w:t>
            </w:r>
          </w:p>
        </w:tc>
        <w:tc>
          <w:tcPr>
            <w:tcW w:w="1" w:type="dxa"/>
          </w:tcPr>
          <w:p>
            <w:pPr>
              <w:spacing w:before="0" w:after="19"/>
              <w:ind w:left="0" w:right="0"/>
              <w:rPr>
                <w:rFonts w:ascii="Arial" w:hAnsi="Arial" w:cs="Arial"/>
                <w:sz w:val="20"/>
                <w:szCs w:val="20"/>
              </w:rPr>
            </w:pPr>
            <w:r>
              <w:rPr>
                <w:rFonts w:ascii="Arial" w:hAnsi="Arial" w:cs="Arial"/>
                <w:sz w:val="20"/>
                <w:szCs w:val="20"/>
              </w:rPr>
              <w:t>Induction training for new employees</w:t>
            </w:r>
          </w:p>
          <w:p>
            <w:pPr>
              <w:spacing w:before="0" w:after="19"/>
              <w:ind w:left="0" w:right="0"/>
              <w:rPr>
                <w:rFonts w:ascii="Arial" w:hAnsi="Arial" w:cs="Arial"/>
                <w:sz w:val="20"/>
                <w:szCs w:val="20"/>
              </w:rPr>
            </w:pPr>
            <w:r>
              <w:rPr>
                <w:rFonts w:ascii="Arial" w:hAnsi="Arial" w:cs="Arial"/>
                <w:sz w:val="20"/>
                <w:szCs w:val="20"/>
              </w:rPr>
              <w:t>A systematic, recorded induction for new employees must be ensured, which imparts knowledge of the centre in relation to the respective area of activity.</w:t>
            </w:r>
          </w:p>
          <w:p>
            <w:pPr>
              <w:spacing w:before="0" w:after="19"/>
              <w:rPr>
                <w:rFonts w:ascii="Arial" w:hAnsi="Arial" w:cs="Arial"/>
                <w:sz w:val="20"/>
                <w:szCs w:val="20"/>
                <w:lang w:val="ro-RO" w:bidi="ar-SA"/>
              </w:rPr>
            </w:pPr>
            <w:r>
              <w:rPr>
                <w:rFonts w:ascii="Arial" w:hAnsi="Arial" w:cs="Arial"/>
                <w:sz w:val="20"/>
                <w:szCs w:val="20"/>
              </w:rPr>
              <w:t>This familiarisation must take place within 3 months of the start of employment.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3.7</w:t>
            </w:r>
          </w:p>
        </w:tc>
        <w:tc>
          <w:tcPr>
            <w:tcW w:w="1" w:type="dxa"/>
          </w:tcPr>
          <w:p>
            <w:pPr>
              <w:spacing w:before="0" w:after="19"/>
              <w:ind w:left="0" w:right="0"/>
              <w:rPr>
                <w:rFonts w:ascii="Arial" w:hAnsi="Arial" w:cs="Arial"/>
                <w:sz w:val="20"/>
                <w:szCs w:val="20"/>
              </w:rPr>
            </w:pPr>
            <w:r>
              <w:rPr>
                <w:rFonts w:ascii="Arial" w:hAnsi="Arial" w:cs="Arial"/>
                <w:sz w:val="20"/>
                <w:szCs w:val="20"/>
              </w:rPr>
              <w:t>Continuing education/ specialty training</w:t>
            </w:r>
          </w:p>
          <w:p>
            <w:pPr>
              <w:numPr>
                <w:ilvl w:val="0"/>
                <w:numId w:val="116"/>
              </w:numPr>
              <w:spacing w:before="0" w:after="19"/>
              <w:ind w:hanging="283" w:left="283" w:right="0"/>
              <w:rPr>
                <w:rFonts w:ascii="Arial" w:hAnsi="Arial" w:cs="Arial"/>
                <w:sz w:val="20"/>
                <w:szCs w:val="20"/>
              </w:rPr>
            </w:pPr>
            <w:r>
              <w:rPr>
                <w:rFonts w:ascii="Arial" w:hAnsi="Arial" w:cs="Arial"/>
                <w:sz w:val="20"/>
                <w:szCs w:val="20"/>
              </w:rPr>
              <w:t>A qualification plan for the medical and assistant staff must be submitted in which the qualifications planned for a one-year period are presented.</w:t>
            </w:r>
          </w:p>
          <w:p>
            <w:pPr>
              <w:numPr>
                <w:ilvl w:val="0"/>
                <w:numId w:val="116"/>
              </w:numPr>
              <w:spacing w:before="0" w:after="19"/>
              <w:ind w:hanging="283" w:left="283"/>
              <w:rPr>
                <w:rFonts w:ascii="Arial" w:hAnsi="Arial" w:cs="Arial"/>
                <w:sz w:val="20"/>
                <w:szCs w:val="20"/>
                <w:lang w:val="ro-RO" w:bidi="ar-SA"/>
              </w:rPr>
            </w:pPr>
            <w:r>
              <w:rPr>
                <w:rFonts w:ascii="Arial" w:hAnsi="Arial" w:cs="Arial"/>
                <w:sz w:val="20"/>
                <w:szCs w:val="20"/>
              </w:rPr>
              <w:t xml:space="preserve">At least 1 specific training/ further training per employee per year (at least 1 day per year), provided that the employee performs quality-relevant activities for the Centre for </w:t>
            </w:r>
            <w:r>
              <w:rPr>
                <w:rFonts w:ascii="Arial" w:hAnsi="Arial" w:cs="Arial" w:eastAsia="Calibri"/>
                <w:sz w:val="20"/>
                <w:szCs w:val="20"/>
              </w:rPr>
              <w:t>Haematological Neoplasms</w:t>
            </w:r>
            <w:r>
              <w:rPr>
                <w:rFonts w:ascii="Arial" w:hAnsi="Arial" w:cs="Arial"/>
                <w:sz w:val="20"/>
                <w:szCs w:val="20"/>
              </w:rPr>
              <w:t>.</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4.</w:t>
        <w:tab/>
        <w:t xml:space="preserve"> Nuclear medicine</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4.1</w:t>
            </w:r>
          </w:p>
        </w:tc>
        <w:tc>
          <w:tcPr>
            <w:tcW w:w="1" w:type="dxa"/>
          </w:tcPr>
          <w:p>
            <w:pPr>
              <w:spacing w:before="0" w:after="19"/>
              <w:ind w:left="0" w:right="0"/>
              <w:rPr>
                <w:rFonts w:ascii="Arial" w:hAnsi="Arial" w:cs="Arial"/>
                <w:sz w:val="20"/>
                <w:szCs w:val="20"/>
              </w:rPr>
            </w:pPr>
            <w:r>
              <w:rPr>
                <w:rFonts w:ascii="Arial" w:hAnsi="Arial" w:cs="Arial"/>
                <w:sz w:val="20"/>
                <w:szCs w:val="20"/>
              </w:rPr>
              <w:t>Specialists in nuclear medicine</w:t>
            </w:r>
          </w:p>
          <w:p>
            <w:pPr>
              <w:numPr>
                <w:ilvl w:val="0"/>
                <w:numId w:val="117"/>
              </w:numPr>
              <w:spacing w:before="0" w:after="19"/>
              <w:ind w:hanging="283" w:left="283" w:right="0"/>
              <w:rPr>
                <w:rFonts w:ascii="Arial" w:hAnsi="Arial" w:cs="Arial"/>
                <w:sz w:val="20"/>
                <w:szCs w:val="20"/>
              </w:rPr>
            </w:pPr>
            <w:r>
              <w:rPr>
                <w:rFonts w:ascii="Arial" w:hAnsi="Arial" w:cs="Arial"/>
                <w:sz w:val="20"/>
                <w:szCs w:val="20"/>
              </w:rPr>
              <w:t>At least 1 specialist in nuclear medicine is available</w:t>
            </w:r>
          </w:p>
          <w:p>
            <w:pPr>
              <w:numPr>
                <w:ilvl w:val="0"/>
                <w:numId w:val="117"/>
              </w:numPr>
              <w:spacing w:before="0" w:after="19"/>
              <w:ind w:hanging="283" w:left="283" w:right="0"/>
              <w:rPr>
                <w:rFonts w:ascii="Arial" w:hAnsi="Arial" w:cs="Arial"/>
                <w:sz w:val="20"/>
                <w:szCs w:val="20"/>
              </w:rPr>
            </w:pPr>
            <w:r>
              <w:rPr>
                <w:rFonts w:ascii="Arial" w:hAnsi="Arial" w:cs="Arial"/>
                <w:sz w:val="20"/>
                <w:szCs w:val="20"/>
              </w:rPr>
              <w:t>Substitution regulation with the same qualification must be documented in writing</w:t>
            </w:r>
          </w:p>
          <w:p>
            <w:pPr>
              <w:numPr>
                <w:ilvl w:val="0"/>
                <w:numId w:val="117"/>
              </w:numPr>
              <w:spacing w:before="0" w:after="19"/>
              <w:ind w:hanging="283" w:left="283"/>
              <w:rPr>
                <w:rFonts w:ascii="Arial" w:hAnsi="Arial" w:cs="Arial"/>
                <w:sz w:val="20"/>
                <w:szCs w:val="20"/>
                <w:lang w:val="ro-RO" w:bidi="ar-SA"/>
              </w:rPr>
            </w:pPr>
            <w:r>
              <w:rPr>
                <w:rFonts w:ascii="Arial" w:hAnsi="Arial" w:cs="Arial"/>
                <w:sz w:val="20"/>
                <w:szCs w:val="20"/>
              </w:rPr>
              <w:t>Specialist and representative must be named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4.2</w:t>
            </w:r>
          </w:p>
        </w:tc>
        <w:tc>
          <w:tcPr>
            <w:tcW w:w="1" w:type="dxa"/>
          </w:tcPr>
          <w:p>
            <w:pPr>
              <w:spacing w:before="0" w:after="19"/>
              <w:ind w:left="0" w:right="0"/>
              <w:rPr>
                <w:rFonts w:ascii="Arial" w:hAnsi="Arial" w:cs="Arial"/>
                <w:sz w:val="20"/>
                <w:szCs w:val="20"/>
              </w:rPr>
            </w:pPr>
            <w:r>
              <w:rPr>
                <w:rFonts w:ascii="Arial" w:hAnsi="Arial" w:cs="Arial"/>
                <w:sz w:val="20"/>
                <w:szCs w:val="20"/>
              </w:rPr>
              <w:t>MTR (= medical technologists for radiology) of nuclear medicine</w:t>
            </w:r>
          </w:p>
          <w:p>
            <w:pPr>
              <w:spacing w:before="0" w:after="19"/>
              <w:rPr>
                <w:rFonts w:ascii="Arial" w:hAnsi="Arial" w:cs="Arial"/>
                <w:sz w:val="20"/>
                <w:szCs w:val="20"/>
                <w:lang w:val="ro-RO" w:bidi="ar-SA"/>
              </w:rPr>
            </w:pPr>
            <w:r>
              <w:rPr>
                <w:rFonts w:ascii="Arial" w:hAnsi="Arial" w:cs="Arial"/>
                <w:sz w:val="20"/>
                <w:szCs w:val="20"/>
              </w:rPr>
              <w:t>At least 2 qualified MTRs must be available.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4.3</w:t>
            </w:r>
          </w:p>
        </w:tc>
        <w:tc>
          <w:tcPr>
            <w:tcW w:w="1" w:type="dxa"/>
          </w:tcPr>
          <w:p>
            <w:pPr>
              <w:spacing w:before="0" w:after="19"/>
              <w:ind w:left="0" w:right="0"/>
              <w:rPr>
                <w:rFonts w:ascii="Arial" w:hAnsi="Arial" w:cs="Arial"/>
                <w:sz w:val="20"/>
                <w:szCs w:val="20"/>
              </w:rPr>
            </w:pPr>
            <w:r>
              <w:rPr>
                <w:rFonts w:ascii="Arial" w:hAnsi="Arial" w:cs="Arial"/>
                <w:sz w:val="20"/>
                <w:szCs w:val="20"/>
              </w:rPr>
              <w:t>Methods to be used in nuclear medicine</w:t>
            </w:r>
          </w:p>
          <w:p>
            <w:pPr>
              <w:numPr>
                <w:ilvl w:val="0"/>
                <w:numId w:val="118"/>
              </w:numPr>
              <w:spacing w:before="0" w:after="19"/>
              <w:ind w:hanging="283" w:left="283"/>
              <w:rPr>
                <w:rFonts w:ascii="Arial" w:hAnsi="Arial" w:cs="Arial"/>
                <w:sz w:val="20"/>
                <w:szCs w:val="20"/>
                <w:lang w:val="ro-RO" w:bidi="ar-SA"/>
              </w:rPr>
            </w:pPr>
            <w:r>
              <w:rPr>
                <w:rFonts w:ascii="Arial" w:hAnsi="Arial" w:cs="Arial"/>
                <w:sz w:val="20"/>
                <w:szCs w:val="20"/>
              </w:rPr>
              <w:t>Access to FDG-PET-CT or PET-MRI must be ensured.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4.4</w:t>
            </w:r>
          </w:p>
        </w:tc>
        <w:tc>
          <w:tcPr>
            <w:tcW w:w="1" w:type="dxa"/>
          </w:tcPr>
          <w:p>
            <w:pPr>
              <w:spacing w:before="0" w:after="19"/>
              <w:ind w:left="0" w:right="0"/>
              <w:rPr>
                <w:rFonts w:ascii="Arial" w:hAnsi="Arial" w:cs="Arial"/>
                <w:sz w:val="20"/>
                <w:szCs w:val="20"/>
              </w:rPr>
            </w:pPr>
            <w:r>
              <w:rPr>
                <w:rFonts w:ascii="Arial" w:hAnsi="Arial" w:cs="Arial"/>
                <w:sz w:val="20"/>
                <w:szCs w:val="20"/>
              </w:rPr>
              <w:t>Process descriptions (SOPs)</w:t>
            </w:r>
          </w:p>
          <w:p>
            <w:pPr>
              <w:spacing w:before="0" w:after="19"/>
              <w:rPr>
                <w:rFonts w:ascii="Arial" w:hAnsi="Arial" w:cs="Arial"/>
                <w:sz w:val="20"/>
                <w:szCs w:val="20"/>
                <w:lang w:val="ro-RO" w:bidi="ar-SA"/>
              </w:rPr>
            </w:pPr>
            <w:r>
              <w:rPr>
                <w:rFonts w:ascii="Arial" w:hAnsi="Arial" w:cs="Arial"/>
                <w:sz w:val="20"/>
                <w:szCs w:val="20"/>
              </w:rPr>
              <w:t>The imaging procedures in nuclear medicine must be described and reviewed once a year to ensure that they are up to date.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4.5</w:t>
            </w:r>
          </w:p>
        </w:tc>
        <w:tc>
          <w:tcPr>
            <w:tcW w:w="1" w:type="dxa"/>
          </w:tcPr>
          <w:p>
            <w:pPr>
              <w:spacing w:before="0" w:after="19"/>
              <w:ind w:left="0" w:right="0"/>
              <w:rPr>
                <w:rFonts w:ascii="Arial" w:hAnsi="Arial" w:cs="Arial"/>
                <w:sz w:val="20"/>
                <w:szCs w:val="20"/>
              </w:rPr>
            </w:pPr>
            <w:r>
              <w:rPr>
                <w:rFonts w:ascii="Arial" w:hAnsi="Arial" w:cs="Arial"/>
                <w:sz w:val="20"/>
                <w:szCs w:val="20"/>
              </w:rPr>
              <w:t>Creation of findings</w:t>
            </w:r>
          </w:p>
          <w:p>
            <w:pPr>
              <w:spacing w:before="0" w:after="19"/>
              <w:rPr>
                <w:rFonts w:ascii="Arial" w:hAnsi="Arial" w:cs="Arial"/>
                <w:sz w:val="20"/>
                <w:szCs w:val="20"/>
                <w:lang w:val="ro-RO" w:bidi="ar-SA"/>
              </w:rPr>
            </w:pPr>
            <w:r>
              <w:rPr>
                <w:rFonts w:ascii="Arial" w:hAnsi="Arial" w:cs="Arial"/>
                <w:sz w:val="20"/>
                <w:szCs w:val="20"/>
              </w:rPr>
              <w:t>The written findings of the nuclear medicine specialist must be available to the co-treating physicians no later than 24 hours after the examination.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4.6</w:t>
            </w:r>
          </w:p>
        </w:tc>
        <w:tc>
          <w:tcPr>
            <w:tcW w:w="1" w:type="dxa"/>
          </w:tcPr>
          <w:p>
            <w:pPr>
              <w:spacing w:before="0" w:after="19"/>
              <w:ind w:left="0" w:right="0"/>
              <w:rPr>
                <w:rFonts w:ascii="Arial" w:hAnsi="Arial" w:cs="Arial"/>
                <w:sz w:val="20"/>
                <w:szCs w:val="20"/>
              </w:rPr>
            </w:pPr>
            <w:r>
              <w:rPr>
                <w:rFonts w:ascii="Arial" w:hAnsi="Arial" w:cs="Arial"/>
                <w:sz w:val="20"/>
                <w:szCs w:val="20"/>
              </w:rPr>
              <w:t>Induction training for new employees</w:t>
            </w:r>
          </w:p>
          <w:p>
            <w:pPr>
              <w:spacing w:before="0" w:after="19"/>
              <w:ind w:left="0" w:right="0"/>
              <w:rPr>
                <w:rFonts w:ascii="Arial" w:hAnsi="Arial" w:cs="Arial"/>
                <w:sz w:val="20"/>
                <w:szCs w:val="20"/>
              </w:rPr>
            </w:pPr>
            <w:r>
              <w:rPr>
                <w:rFonts w:ascii="Arial" w:hAnsi="Arial" w:cs="Arial"/>
                <w:sz w:val="20"/>
                <w:szCs w:val="20"/>
              </w:rPr>
              <w:t>A systematic, recorded induction for new employees must be ensured, which imparts knowledge of the centre in relation to the respective area of activity.</w:t>
            </w:r>
          </w:p>
          <w:p>
            <w:pPr>
              <w:spacing w:before="0" w:after="19"/>
              <w:rPr>
                <w:rFonts w:ascii="Arial" w:hAnsi="Arial" w:cs="Arial"/>
                <w:sz w:val="20"/>
                <w:szCs w:val="20"/>
                <w:lang w:val="ro-RO" w:bidi="ar-SA"/>
              </w:rPr>
            </w:pPr>
            <w:r>
              <w:rPr>
                <w:rFonts w:ascii="Arial" w:hAnsi="Arial" w:cs="Arial"/>
                <w:sz w:val="20"/>
                <w:szCs w:val="20"/>
              </w:rPr>
              <w:t>This familiarisation must take place within 3 months of the start of employment.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4.7</w:t>
            </w:r>
          </w:p>
        </w:tc>
        <w:tc>
          <w:tcPr>
            <w:tcW w:w="1" w:type="dxa"/>
          </w:tcPr>
          <w:p>
            <w:pPr>
              <w:spacing w:before="0" w:after="19"/>
              <w:ind w:left="0" w:right="0"/>
              <w:rPr>
                <w:rFonts w:ascii="Arial" w:hAnsi="Arial" w:cs="Arial"/>
                <w:sz w:val="20"/>
                <w:szCs w:val="20"/>
              </w:rPr>
            </w:pPr>
            <w:r>
              <w:rPr>
                <w:rFonts w:ascii="Arial" w:hAnsi="Arial" w:cs="Arial"/>
                <w:sz w:val="20"/>
                <w:szCs w:val="20"/>
              </w:rPr>
              <w:t>Continuing education</w:t>
            </w:r>
          </w:p>
          <w:p>
            <w:pPr>
              <w:numPr>
                <w:ilvl w:val="0"/>
                <w:numId w:val="119"/>
              </w:numPr>
              <w:spacing w:before="0" w:after="19"/>
              <w:ind w:hanging="283" w:left="283" w:right="0"/>
              <w:rPr>
                <w:rFonts w:ascii="Arial" w:hAnsi="Arial" w:cs="Arial"/>
                <w:sz w:val="20"/>
                <w:szCs w:val="20"/>
              </w:rPr>
            </w:pPr>
            <w:r>
              <w:rPr>
                <w:rFonts w:ascii="Arial" w:hAnsi="Arial" w:cs="Arial"/>
                <w:sz w:val="20"/>
                <w:szCs w:val="20"/>
              </w:rPr>
              <w:t>A qualification plan for the medical and nursing staff must be submitted in which the qualifications planned for a one-year period are presented.</w:t>
            </w:r>
          </w:p>
          <w:p>
            <w:pPr>
              <w:numPr>
                <w:ilvl w:val="0"/>
                <w:numId w:val="119"/>
              </w:numPr>
              <w:spacing w:before="0" w:after="19"/>
              <w:ind w:hanging="283" w:left="283"/>
              <w:rPr>
                <w:rFonts w:ascii="Arial" w:hAnsi="Arial" w:cs="Arial"/>
                <w:sz w:val="20"/>
                <w:szCs w:val="20"/>
                <w:lang w:val="ro-RO" w:bidi="ar-SA"/>
              </w:rPr>
            </w:pPr>
            <w:r>
              <w:rPr>
                <w:rFonts w:ascii="Arial" w:hAnsi="Arial" w:cs="Arial"/>
                <w:sz w:val="20"/>
                <w:szCs w:val="20"/>
              </w:rPr>
              <w:t xml:space="preserve">At least 1 specific further education/ training course per employee per year (at least 1 day per year), provided that the employee performs quality-relevant activities for the Centre for </w:t>
            </w:r>
            <w:r>
              <w:rPr>
                <w:rFonts w:ascii="Arial" w:hAnsi="Arial" w:cs="Arial" w:eastAsia="Calibri"/>
                <w:sz w:val="20"/>
                <w:szCs w:val="20"/>
              </w:rPr>
              <w:t>Haematological Neoplasms</w:t>
            </w:r>
            <w:r>
              <w:rPr>
                <w:rFonts w:ascii="Arial" w:hAnsi="Arial" w:cs="Arial"/>
                <w:sz w:val="20"/>
                <w:szCs w:val="20"/>
              </w:rPr>
              <w:t>.</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5.</w:t>
        <w:tab/>
        <w:t xml:space="preserve"> Surgical oncology</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5.1</w:t>
              <w:tab/>
              <w:t xml:space="preserve"> Multi-organ surgical therapy</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5.1</w:t>
            </w:r>
          </w:p>
        </w:tc>
        <w:tc>
          <w:tcPr>
            <w:tcW w:w="1" w:type="dxa"/>
          </w:tcPr>
          <w:p>
            <w:pPr>
              <w:spacing w:before="0" w:after="19"/>
              <w:ind w:left="0" w:right="0"/>
              <w:rPr>
                <w:rFonts w:ascii="Arial" w:hAnsi="Arial" w:cs="Arial"/>
                <w:sz w:val="20"/>
                <w:szCs w:val="20"/>
              </w:rPr>
            </w:pPr>
            <w:r>
              <w:rPr>
                <w:rFonts w:ascii="Arial" w:hAnsi="Arial" w:cs="Arial"/>
                <w:sz w:val="20"/>
                <w:szCs w:val="20"/>
              </w:rPr>
              <w:t>The Catalogue of Requirements of the organ cancer centres and the oncology centre have a standardised table of contents.</w:t>
            </w:r>
          </w:p>
          <w:p>
            <w:pPr>
              <w:spacing w:before="0" w:after="19"/>
              <w:rPr>
                <w:rFonts w:ascii="Arial" w:hAnsi="Arial" w:cs="Arial"/>
                <w:sz w:val="20"/>
                <w:szCs w:val="20"/>
                <w:lang w:val="ro-RO" w:bidi="ar-SA"/>
              </w:rPr>
            </w:pPr>
            <w:r>
              <w:rPr>
                <w:rFonts w:ascii="Arial" w:hAnsi="Arial" w:cs="Arial"/>
                <w:sz w:val="20"/>
                <w:szCs w:val="20"/>
              </w:rPr>
              <w:t xml:space="preserve">For </w:t>
            </w:r>
            <w:r>
              <w:rPr>
                <w:rFonts w:ascii="Arial" w:hAnsi="Arial" w:cs="Arial" w:eastAsia="Calibri"/>
                <w:sz w:val="20"/>
                <w:szCs w:val="20"/>
              </w:rPr>
              <w:t>Haematological Neoplasms</w:t>
            </w:r>
            <w:r>
              <w:rPr>
                <w:rFonts w:ascii="Arial" w:hAnsi="Arial" w:cs="Arial"/>
                <w:sz w:val="20"/>
                <w:szCs w:val="20"/>
              </w:rPr>
              <w:t xml:space="preserve"> Centres, this section does not contain technical requirements.</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5.2</w:t>
              <w:tab/>
              <w:t xml:space="preserve"> Organ-specific surgical therapy</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5.2</w:t>
            </w:r>
          </w:p>
        </w:tc>
        <w:tc>
          <w:tcPr>
            <w:tcW w:w="1" w:type="dxa"/>
          </w:tcPr>
          <w:p>
            <w:pPr>
              <w:spacing w:before="0" w:after="19"/>
              <w:ind w:left="0" w:right="0"/>
              <w:rPr>
                <w:rFonts w:ascii="Arial" w:hAnsi="Arial" w:cs="Arial"/>
                <w:sz w:val="20"/>
                <w:szCs w:val="20"/>
              </w:rPr>
            </w:pPr>
            <w:r>
              <w:rPr>
                <w:rFonts w:ascii="Arial" w:hAnsi="Arial" w:cs="Arial"/>
                <w:sz w:val="20"/>
                <w:szCs w:val="20"/>
              </w:rPr>
              <w:t>The Catalogue of Requirements of the organ cancer centres and the oncology centre have a standardised table of contents.</w:t>
            </w:r>
          </w:p>
          <w:p>
            <w:pPr>
              <w:spacing w:before="0" w:after="19"/>
              <w:rPr>
                <w:rFonts w:ascii="Arial" w:hAnsi="Arial" w:cs="Arial"/>
                <w:sz w:val="20"/>
                <w:szCs w:val="20"/>
                <w:lang w:val="ro-RO" w:bidi="ar-SA"/>
              </w:rPr>
            </w:pPr>
            <w:r>
              <w:rPr>
                <w:rFonts w:ascii="Arial" w:hAnsi="Arial" w:cs="Arial"/>
                <w:sz w:val="20"/>
                <w:szCs w:val="20"/>
              </w:rPr>
              <w:t>For Haematological Neoplasms Centres, this section does not contain technical requirements.</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6.</w:t>
        <w:tab/>
        <w:t xml:space="preserve"> Medicinal oncology/ Systemic therapy</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6.1</w:t>
              <w:tab/>
              <w:t xml:space="preserve"> Medical oncology</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6.1.1</w:t>
            </w:r>
          </w:p>
        </w:tc>
        <w:tc>
          <w:tcPr>
            <w:tcW w:w="1" w:type="dxa"/>
          </w:tcPr>
          <w:p>
            <w:pPr>
              <w:spacing w:before="0" w:after="19"/>
              <w:rPr>
                <w:rFonts w:ascii="Arial" w:hAnsi="Arial" w:cs="Arial"/>
                <w:sz w:val="20"/>
                <w:szCs w:val="20"/>
                <w:lang w:val="ro-RO" w:bidi="ar-SA"/>
              </w:rPr>
            </w:pPr>
            <w:r>
              <w:rPr>
                <w:rFonts w:ascii="Arial" w:hAnsi="Arial" w:cs="Arial"/>
                <w:sz w:val="20"/>
                <w:szCs w:val="20"/>
              </w:rPr>
              <w:t>The Centre for Haematological Neoplasms</w:t>
            </w:r>
            <w:r>
              <w:rPr>
                <w:rFonts w:ascii="Arial" w:hAnsi="Arial" w:cs="Arial" w:eastAsia="Calibri"/>
                <w:sz w:val="20"/>
                <w:szCs w:val="20"/>
              </w:rPr>
              <w:t xml:space="preserve"> </w:t>
            </w:r>
            <w:r>
              <w:rPr>
                <w:rFonts w:ascii="Arial" w:hAnsi="Arial" w:cs="Arial"/>
                <w:sz w:val="20"/>
                <w:szCs w:val="20"/>
              </w:rPr>
              <w:t xml:space="preserve">has an independent bed-managing </w:t>
            </w:r>
            <w:r>
              <w:rPr>
                <w:rFonts w:ascii="Arial" w:hAnsi="Arial" w:cs="Arial"/>
                <w:sz w:val="20"/>
                <w:szCs w:val="20"/>
                <w:shd w:val="clear" w:color="auto" w:fill="00FF00"/>
              </w:rPr>
              <w:t xml:space="preserve">area </w:t>
            </w:r>
            <w:r>
              <w:rPr>
                <w:rFonts w:ascii="Arial" w:hAnsi="Arial" w:cs="Arial"/>
                <w:strike w:val="1"/>
                <w:sz w:val="20"/>
                <w:szCs w:val="20"/>
                <w:shd w:val="clear" w:color="auto" w:fill="00FE00"/>
              </w:rPr>
              <w:t>department</w:t>
            </w:r>
            <w:r>
              <w:rPr>
                <w:rFonts w:ascii="Arial" w:hAnsi="Arial" w:cs="Arial"/>
                <w:sz w:val="20"/>
                <w:szCs w:val="20"/>
              </w:rPr>
              <w:t xml:space="preserve"> for haematology and oncology </w:t>
            </w:r>
            <w:r>
              <w:rPr>
                <w:rFonts w:ascii="Arial" w:hAnsi="Arial" w:cs="Arial"/>
                <w:sz w:val="20"/>
                <w:szCs w:val="20"/>
                <w:shd w:val="clear" w:color="auto" w:fill="00FF00"/>
              </w:rPr>
              <w:t>with independent medical responsibility for haematological oncology management.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6.1.2</w:t>
            </w:r>
          </w:p>
        </w:tc>
        <w:tc>
          <w:tcPr>
            <w:tcW w:w="1" w:type="dxa"/>
          </w:tcPr>
          <w:p>
            <w:pPr>
              <w:spacing w:before="0" w:after="19"/>
              <w:ind w:left="0" w:right="0"/>
              <w:rPr>
                <w:rFonts w:ascii="Arial" w:hAnsi="Arial" w:cs="Arial"/>
                <w:sz w:val="20"/>
                <w:szCs w:val="20"/>
              </w:rPr>
            </w:pPr>
            <w:r>
              <w:rPr>
                <w:rFonts w:ascii="Arial" w:hAnsi="Arial" w:cs="Arial"/>
                <w:sz w:val="20"/>
                <w:szCs w:val="20"/>
              </w:rPr>
              <w:t>Medical qualification Head of specialised department</w:t>
            </w:r>
          </w:p>
          <w:p>
            <w:pPr>
              <w:numPr>
                <w:ilvl w:val="0"/>
                <w:numId w:val="120"/>
              </w:numPr>
              <w:spacing w:before="0" w:after="19"/>
              <w:ind w:hanging="283" w:left="283" w:right="0"/>
              <w:rPr>
                <w:rFonts w:ascii="Arial" w:hAnsi="Arial" w:cs="Arial"/>
                <w:sz w:val="20"/>
                <w:szCs w:val="20"/>
              </w:rPr>
            </w:pPr>
            <w:r>
              <w:rPr>
                <w:rFonts w:ascii="Arial" w:hAnsi="Arial" w:cs="Arial"/>
                <w:sz w:val="20"/>
                <w:szCs w:val="20"/>
              </w:rPr>
              <w:t>Specialist in internal medicine and haematology and oncology.</w:t>
            </w:r>
          </w:p>
          <w:p>
            <w:pPr>
              <w:numPr>
                <w:ilvl w:val="0"/>
                <w:numId w:val="120"/>
              </w:numPr>
              <w:spacing w:before="0" w:after="19"/>
              <w:ind w:hanging="283" w:left="283" w:right="0"/>
              <w:rPr>
                <w:rFonts w:ascii="Arial" w:hAnsi="Arial" w:cs="Arial"/>
                <w:sz w:val="20"/>
                <w:szCs w:val="20"/>
              </w:rPr>
            </w:pPr>
            <w:r>
              <w:rPr>
                <w:rFonts w:ascii="Arial" w:hAnsi="Arial" w:cs="Arial"/>
                <w:sz w:val="20"/>
                <w:szCs w:val="20"/>
              </w:rPr>
              <w:t>Authorisation for further training as a specialist in internal medicine and haematology and oncology from the relevant medical association.</w:t>
            </w:r>
          </w:p>
          <w:p>
            <w:pPr>
              <w:numPr>
                <w:ilvl w:val="0"/>
                <w:numId w:val="120"/>
              </w:numPr>
              <w:spacing w:before="0" w:after="19"/>
              <w:ind w:hanging="283" w:left="283"/>
              <w:rPr>
                <w:rFonts w:ascii="Arial" w:hAnsi="Arial" w:cs="Arial"/>
                <w:sz w:val="20"/>
                <w:szCs w:val="20"/>
                <w:lang w:val="ro-RO" w:bidi="ar-SA"/>
              </w:rPr>
            </w:pPr>
            <w:r>
              <w:rPr>
                <w:rFonts w:ascii="Arial" w:hAnsi="Arial" w:cs="Arial"/>
                <w:sz w:val="20"/>
                <w:szCs w:val="20"/>
              </w:rPr>
              <w:t>A representative with the above-mentioned qualifications must be appointed.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6.1.3</w:t>
            </w:r>
          </w:p>
        </w:tc>
        <w:tc>
          <w:tcPr>
            <w:tcW w:w="1" w:type="dxa"/>
          </w:tcPr>
          <w:p>
            <w:pPr>
              <w:spacing w:before="0" w:after="19"/>
              <w:ind w:left="0" w:right="0"/>
              <w:rPr>
                <w:rFonts w:ascii="Arial" w:hAnsi="Arial" w:cs="Arial"/>
                <w:sz w:val="20"/>
                <w:szCs w:val="20"/>
              </w:rPr>
            </w:pPr>
            <w:r>
              <w:rPr>
                <w:rFonts w:ascii="Arial" w:hAnsi="Arial" w:cs="Arial"/>
                <w:sz w:val="20"/>
                <w:szCs w:val="20"/>
              </w:rPr>
              <w:t xml:space="preserve">Availability Specialist in haematology and oncology in the </w:t>
            </w:r>
            <w:r>
              <w:rPr>
                <w:rFonts w:ascii="Arial" w:hAnsi="Arial" w:cs="Arial"/>
                <w:sz w:val="20"/>
                <w:szCs w:val="20"/>
                <w:shd w:val="clear" w:color="auto" w:fill="00FF00"/>
              </w:rPr>
              <w:t>area</w:t>
            </w:r>
            <w:r>
              <w:rPr>
                <w:rFonts w:ascii="Arial" w:hAnsi="Arial" w:cs="Arial"/>
                <w:sz w:val="20"/>
                <w:szCs w:val="20"/>
              </w:rPr>
              <w:t xml:space="preserve"> </w:t>
            </w:r>
            <w:r>
              <w:rPr>
                <w:rFonts w:ascii="Arial" w:hAnsi="Arial" w:cs="Arial"/>
                <w:strike w:val="1"/>
                <w:sz w:val="20"/>
                <w:szCs w:val="20"/>
                <w:shd w:val="clear" w:color="auto" w:fill="00FE00"/>
              </w:rPr>
              <w:t xml:space="preserve">department </w:t>
            </w:r>
            <w:r>
              <w:rPr>
                <w:rFonts w:ascii="Arial" w:hAnsi="Arial" w:cs="Arial"/>
                <w:sz w:val="20"/>
                <w:szCs w:val="20"/>
              </w:rPr>
              <w:t>providing the bed</w:t>
            </w:r>
          </w:p>
          <w:p>
            <w:pPr>
              <w:numPr>
                <w:ilvl w:val="0"/>
                <w:numId w:val="121"/>
              </w:numPr>
              <w:spacing w:before="0" w:after="19"/>
              <w:ind w:hanging="283" w:left="283" w:right="0"/>
              <w:rPr>
                <w:rFonts w:ascii="Arial" w:hAnsi="Arial" w:cs="Arial"/>
                <w:sz w:val="20"/>
                <w:szCs w:val="20"/>
              </w:rPr>
            </w:pPr>
            <w:r>
              <w:rPr>
                <w:rFonts w:ascii="Arial" w:hAnsi="Arial" w:cs="Arial"/>
                <w:sz w:val="20"/>
                <w:szCs w:val="20"/>
              </w:rPr>
              <w:t>Presence of at least one specialist doctor on weekdays during regular working hours.</w:t>
            </w:r>
          </w:p>
          <w:p>
            <w:pPr>
              <w:numPr>
                <w:ilvl w:val="0"/>
                <w:numId w:val="121"/>
              </w:numPr>
              <w:spacing w:before="0" w:after="19"/>
              <w:ind w:hanging="283" w:left="283" w:right="0"/>
              <w:rPr>
                <w:rFonts w:ascii="Arial" w:hAnsi="Arial" w:cs="Arial"/>
                <w:sz w:val="20"/>
                <w:szCs w:val="20"/>
              </w:rPr>
            </w:pPr>
            <w:r>
              <w:rPr>
                <w:rFonts w:ascii="Arial" w:hAnsi="Arial" w:cs="Arial"/>
                <w:sz w:val="20"/>
                <w:szCs w:val="20"/>
              </w:rPr>
              <w:t>24-hour/ 7-day availability of a specialist doctor (on-call service).</w:t>
            </w:r>
          </w:p>
          <w:p>
            <w:pPr>
              <w:numPr>
                <w:ilvl w:val="0"/>
                <w:numId w:val="121"/>
              </w:numPr>
              <w:spacing w:before="0" w:after="19"/>
              <w:ind w:hanging="283" w:left="283" w:right="0"/>
              <w:rPr>
                <w:rFonts w:ascii="Arial" w:hAnsi="Arial" w:cs="Arial"/>
                <w:sz w:val="20"/>
                <w:szCs w:val="20"/>
              </w:rPr>
            </w:pPr>
            <w:r>
              <w:rPr>
                <w:rFonts w:ascii="Arial" w:hAnsi="Arial" w:cs="Arial"/>
                <w:sz w:val="20"/>
                <w:szCs w:val="20"/>
              </w:rPr>
              <w:t>At least 3 full-time positions.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6.1.4</w:t>
            </w:r>
          </w:p>
        </w:tc>
        <w:tc>
          <w:tcPr>
            <w:tcW w:w="1" w:type="dxa"/>
          </w:tcPr>
          <w:p>
            <w:pPr>
              <w:spacing w:before="0" w:after="19"/>
              <w:ind w:left="0" w:right="0"/>
              <w:rPr>
                <w:rFonts w:ascii="Arial" w:hAnsi="Arial" w:cs="Arial"/>
                <w:sz w:val="20"/>
                <w:szCs w:val="20"/>
              </w:rPr>
            </w:pPr>
            <w:r>
              <w:rPr>
                <w:rFonts w:ascii="Arial" w:hAnsi="Arial" w:cs="Arial"/>
                <w:sz w:val="20"/>
                <w:szCs w:val="20"/>
              </w:rPr>
              <w:t>Ward round at the weekend</w:t>
            </w:r>
          </w:p>
          <w:p>
            <w:pPr>
              <w:numPr>
                <w:ilvl w:val="0"/>
                <w:numId w:val="122"/>
              </w:numPr>
              <w:spacing w:before="0" w:after="19"/>
              <w:ind w:hanging="283" w:left="283"/>
              <w:rPr>
                <w:rFonts w:ascii="Arial" w:hAnsi="Arial" w:cs="Arial"/>
                <w:sz w:val="20"/>
                <w:szCs w:val="20"/>
                <w:lang w:val="ro-RO" w:bidi="ar-SA"/>
              </w:rPr>
            </w:pPr>
            <w:r>
              <w:rPr>
                <w:rFonts w:ascii="Arial" w:hAnsi="Arial" w:cs="Arial"/>
                <w:sz w:val="20"/>
                <w:szCs w:val="20"/>
              </w:rPr>
              <w:t>Weekend ward round by a doctor from the haematology and oncology department.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6.1.5</w:t>
            </w:r>
          </w:p>
        </w:tc>
        <w:tc>
          <w:tcPr>
            <w:tcW w:w="1" w:type="dxa"/>
          </w:tcPr>
          <w:p>
            <w:pPr>
              <w:numPr>
                <w:ilvl w:val="0"/>
                <w:numId w:val="123"/>
              </w:numPr>
              <w:spacing w:before="0" w:after="19"/>
              <w:ind w:hanging="283" w:left="283" w:right="0"/>
              <w:rPr>
                <w:rFonts w:ascii="Arial" w:hAnsi="Arial" w:cs="Arial"/>
                <w:sz w:val="20"/>
                <w:szCs w:val="20"/>
              </w:rPr>
            </w:pPr>
            <w:r>
              <w:rPr>
                <w:rFonts w:ascii="Arial" w:hAnsi="Arial" w:cs="Arial"/>
                <w:sz w:val="20"/>
                <w:szCs w:val="20"/>
              </w:rPr>
              <w:t>Isolation of patients and reverse isolation must be possible and appropriate measures (e.g. hand disinfection, screening for problem germs, filters) must be regulated (procedural instructions).</w:t>
            </w:r>
          </w:p>
          <w:p>
            <w:pPr>
              <w:numPr>
                <w:ilvl w:val="0"/>
                <w:numId w:val="123"/>
              </w:numPr>
              <w:spacing w:before="0" w:after="19"/>
              <w:ind w:hanging="283" w:left="283" w:right="0"/>
              <w:rPr>
                <w:rFonts w:ascii="Arial" w:hAnsi="Arial" w:cs="Arial"/>
                <w:sz w:val="20"/>
                <w:szCs w:val="20"/>
              </w:rPr>
            </w:pPr>
            <w:r>
              <w:rPr>
                <w:rFonts w:ascii="Arial" w:hAnsi="Arial" w:cs="Arial"/>
                <w:sz w:val="20"/>
                <w:szCs w:val="20"/>
              </w:rPr>
              <w:t xml:space="preserve">Compliance with measures to reduce infections caused by airborne and waterborne germs for stem cell </w:t>
            </w:r>
            <w:r>
              <w:rPr>
                <w:rFonts w:ascii="Arial" w:hAnsi="Arial" w:cs="Arial" w:eastAsia="Calibri"/>
                <w:sz w:val="20"/>
                <w:szCs w:val="20"/>
              </w:rPr>
              <w:t>transplantation</w:t>
            </w:r>
            <w:r>
              <w:rPr>
                <w:rFonts w:ascii="Arial" w:hAnsi="Arial" w:cs="Arial"/>
                <w:sz w:val="20"/>
                <w:szCs w:val="20"/>
              </w:rPr>
              <w:t xml:space="preserve"> (see also section 6.1.6 g)) and for patients with acute leukaemia (reference in particular to the "Requirements for hygiene in the medical care of immunosuppressed people" of the Robert Koch Institute).</w:t>
            </w:r>
          </w:p>
          <w:p>
            <w:pPr>
              <w:numPr>
                <w:ilvl w:val="0"/>
                <w:numId w:val="123"/>
              </w:numPr>
              <w:spacing w:before="0" w:after="19"/>
              <w:ind w:hanging="283" w:left="283"/>
              <w:rPr>
                <w:rFonts w:ascii="Arial" w:hAnsi="Arial" w:cs="Arial"/>
                <w:sz w:val="20"/>
                <w:szCs w:val="20"/>
                <w:lang w:val="ro-RO" w:bidi="ar-SA"/>
              </w:rPr>
            </w:pPr>
            <w:r>
              <w:rPr>
                <w:rFonts w:ascii="Arial" w:hAnsi="Arial" w:cs="Arial"/>
                <w:sz w:val="20"/>
                <w:szCs w:val="20"/>
              </w:rPr>
              <w:t xml:space="preserve">Individual monitoring stations or monitors and access to intensive care must be available at all times in the same hospital for patients with </w:t>
            </w:r>
            <w:r>
              <w:rPr>
                <w:rFonts w:ascii="Arial" w:hAnsi="Arial" w:cs="Arial" w:eastAsia="Calibri"/>
                <w:sz w:val="20"/>
                <w:szCs w:val="20"/>
              </w:rPr>
              <w:t>Haematological Neoplasms</w:t>
            </w:r>
            <w:r>
              <w:rPr>
                <w:rFonts w:ascii="Arial" w:hAnsi="Arial" w:cs="Arial"/>
                <w:sz w:val="20"/>
                <w:szCs w:val="20"/>
              </w:rPr>
              <w: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6.1.6.a</w:t>
            </w:r>
          </w:p>
        </w:tc>
        <w:tc>
          <w:tcPr>
            <w:tcW w:w="1" w:type="dxa"/>
          </w:tcPr>
          <w:p>
            <w:pPr>
              <w:spacing w:before="0" w:after="19"/>
              <w:ind w:left="0" w:right="0"/>
              <w:rPr>
                <w:rFonts w:ascii="Arial" w:hAnsi="Arial" w:cs="Arial"/>
                <w:sz w:val="20"/>
                <w:szCs w:val="20"/>
              </w:rPr>
            </w:pPr>
            <w:r>
              <w:rPr>
                <w:rFonts w:ascii="Arial" w:hAnsi="Arial" w:cs="Arial"/>
                <w:sz w:val="20"/>
                <w:szCs w:val="20"/>
              </w:rPr>
              <w:t>Stem cell transplantation and CAR T-cell therapy</w:t>
            </w:r>
          </w:p>
          <w:p>
            <w:pPr>
              <w:spacing w:before="0" w:after="19"/>
              <w:ind w:left="0" w:right="0"/>
              <w:rPr>
                <w:rFonts w:ascii="Arial" w:hAnsi="Arial" w:cs="Arial"/>
                <w:sz w:val="20"/>
                <w:szCs w:val="20"/>
              </w:rPr>
            </w:pPr>
            <w:r>
              <w:rPr>
                <w:rFonts w:ascii="Arial" w:hAnsi="Arial" w:cs="Arial"/>
                <w:sz w:val="20"/>
                <w:szCs w:val="20"/>
              </w:rPr>
              <w:t>(no distance limit for co-operation partners)</w:t>
            </w:r>
          </w:p>
          <w:p>
            <w:pPr>
              <w:numPr>
                <w:ilvl w:val="0"/>
                <w:numId w:val="124"/>
              </w:numPr>
              <w:spacing w:before="0" w:after="19"/>
              <w:ind w:hanging="283" w:left="283" w:right="0"/>
              <w:rPr>
                <w:rFonts w:ascii="Arial" w:hAnsi="Arial" w:cs="Arial"/>
                <w:sz w:val="20"/>
                <w:szCs w:val="20"/>
              </w:rPr>
            </w:pPr>
            <w:r>
              <w:rPr>
                <w:rFonts w:ascii="Arial" w:hAnsi="Arial" w:cs="Arial"/>
                <w:sz w:val="20"/>
                <w:szCs w:val="20"/>
              </w:rPr>
              <w:t>The possibility of allogeneic and autologous stem cell transplantation and CAR-T cell therapy must be available.</w:t>
            </w:r>
          </w:p>
          <w:p>
            <w:pPr>
              <w:numPr>
                <w:ilvl w:val="0"/>
                <w:numId w:val="124"/>
              </w:numPr>
              <w:spacing w:before="0" w:after="19"/>
              <w:ind w:hanging="283" w:left="283" w:right="0"/>
              <w:rPr>
                <w:rFonts w:ascii="Arial" w:hAnsi="Arial" w:cs="Arial"/>
                <w:sz w:val="20"/>
                <w:szCs w:val="20"/>
              </w:rPr>
            </w:pPr>
            <w:r>
              <w:rPr>
                <w:rFonts w:ascii="Arial" w:hAnsi="Arial" w:cs="Arial"/>
                <w:sz w:val="20"/>
                <w:szCs w:val="20"/>
              </w:rPr>
              <w:t xml:space="preserve">Allogeneic and/ or autologous stem cell </w:t>
            </w:r>
            <w:r>
              <w:rPr>
                <w:rFonts w:ascii="Arial" w:hAnsi="Arial" w:cs="Arial" w:eastAsia="Calibri"/>
                <w:sz w:val="20"/>
                <w:szCs w:val="20"/>
              </w:rPr>
              <w:t>transplantation</w:t>
            </w:r>
            <w:r>
              <w:rPr>
                <w:rFonts w:ascii="Arial" w:hAnsi="Arial" w:cs="Arial"/>
                <w:sz w:val="20"/>
                <w:szCs w:val="20"/>
              </w:rPr>
              <w:t xml:space="preserve"> and/ or CAR T-cell therapies can also be provided by an external cooperation partner (written cooperation agreement required).</w:t>
            </w:r>
          </w:p>
          <w:p>
            <w:pPr>
              <w:numPr>
                <w:ilvl w:val="0"/>
                <w:numId w:val="124"/>
              </w:numPr>
              <w:spacing w:before="0" w:after="19"/>
              <w:ind w:hanging="283" w:left="283" w:right="0"/>
              <w:rPr>
                <w:rFonts w:ascii="Arial" w:hAnsi="Arial" w:cs="Arial"/>
                <w:sz w:val="20"/>
                <w:szCs w:val="20"/>
              </w:rPr>
            </w:pPr>
            <w:r>
              <w:rPr>
                <w:rFonts w:ascii="Arial" w:hAnsi="Arial" w:cs="Arial"/>
                <w:sz w:val="20"/>
                <w:szCs w:val="20"/>
              </w:rPr>
              <w:t>The co-operation partner for stem cell transplantation and CAR T-cell therapy must be named.</w:t>
            </w:r>
          </w:p>
          <w:p>
            <w:pPr>
              <w:numPr>
                <w:ilvl w:val="0"/>
                <w:numId w:val="124"/>
              </w:numPr>
              <w:spacing w:before="0" w:after="19"/>
              <w:ind w:hanging="283" w:left="283" w:right="0"/>
              <w:rPr>
                <w:rFonts w:ascii="Arial" w:hAnsi="Arial" w:cs="Arial"/>
                <w:sz w:val="20"/>
                <w:szCs w:val="20"/>
              </w:rPr>
            </w:pPr>
            <w:r>
              <w:rPr>
                <w:rFonts w:ascii="Arial" w:hAnsi="Arial" w:cs="Arial"/>
                <w:sz w:val="20"/>
                <w:szCs w:val="20"/>
              </w:rPr>
              <w:t>The co-operation agreement must define which treatment stages are provided by which cooperation partner. Counting patient cases is possible for both partners under these conditions.</w:t>
            </w:r>
          </w:p>
          <w:p>
            <w:pPr>
              <w:numPr>
                <w:ilvl w:val="0"/>
                <w:numId w:val="124"/>
              </w:numPr>
              <w:spacing w:before="0" w:after="19"/>
              <w:ind w:hanging="283" w:left="283" w:right="0"/>
              <w:rPr>
                <w:rFonts w:ascii="Arial" w:hAnsi="Arial" w:cs="Arial"/>
                <w:sz w:val="20"/>
                <w:szCs w:val="20"/>
              </w:rPr>
            </w:pPr>
            <w:r>
              <w:rPr>
                <w:rFonts w:ascii="Arial" w:hAnsi="Arial" w:cs="Arial"/>
                <w:sz w:val="20"/>
                <w:szCs w:val="20"/>
              </w:rPr>
              <w:t xml:space="preserve">The external cooperation partner for stem cell transplantation must itself be part of a centre for </w:t>
            </w:r>
            <w:r>
              <w:rPr>
                <w:rFonts w:ascii="Arial" w:hAnsi="Arial" w:cs="Arial" w:eastAsia="Calibri"/>
                <w:sz w:val="20"/>
                <w:szCs w:val="20"/>
              </w:rPr>
              <w:t>Haematological Neoplasms</w:t>
            </w:r>
            <w:r>
              <w:rPr>
                <w:rFonts w:ascii="Arial" w:hAnsi="Arial" w:cs="Arial"/>
                <w:sz w:val="20"/>
                <w:szCs w:val="20"/>
              </w:rPr>
              <w:t>. Alternatively, fulfilment of the requirements 6.1.6 b) to i) must be proven (proof also possible via JACIE accreditation, see section 6.1.6 c)).</w:t>
            </w:r>
          </w:p>
          <w:p>
            <w:pPr>
              <w:numPr>
                <w:ilvl w:val="0"/>
                <w:numId w:val="124"/>
              </w:numPr>
              <w:spacing w:before="0" w:after="19"/>
              <w:ind w:hanging="283" w:left="283" w:right="0"/>
              <w:rPr>
                <w:rFonts w:ascii="Arial" w:hAnsi="Arial" w:cs="Arial"/>
                <w:sz w:val="20"/>
                <w:szCs w:val="20"/>
              </w:rPr>
            </w:pPr>
            <w:r>
              <w:rPr>
                <w:rFonts w:ascii="Arial" w:hAnsi="Arial" w:cs="Arial"/>
                <w:sz w:val="20"/>
                <w:szCs w:val="20"/>
              </w:rPr>
              <w:t>In particular, the cooperation agreement must contain regulations for the transfer of patients to the unit for stem cell transplantation and preparation of allogeneic transplants (e.g. HLA typing).</w:t>
            </w:r>
          </w:p>
          <w:p>
            <w:pPr>
              <w:numPr>
                <w:ilvl w:val="0"/>
                <w:numId w:val="124"/>
              </w:numPr>
              <w:spacing w:before="0" w:after="19"/>
              <w:ind w:hanging="283" w:left="283" w:right="0"/>
              <w:rPr>
                <w:rFonts w:ascii="Arial" w:hAnsi="Arial" w:cs="Arial"/>
                <w:sz w:val="20"/>
                <w:szCs w:val="20"/>
              </w:rPr>
            </w:pPr>
            <w:r>
              <w:rPr>
                <w:rFonts w:ascii="Arial" w:hAnsi="Arial" w:cs="Arial"/>
                <w:sz w:val="20"/>
                <w:szCs w:val="20"/>
              </w:rPr>
              <w:t>For patients with acute leukaemia &lt;70 years of age, HLA typing and presentation at the Bone marrow transplantation (BMT) conference at the start of induction chemotherapy must be ensured together with the cooperation partner for stem cell transplantation.</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6.1.6.b</w:t>
            </w:r>
          </w:p>
        </w:tc>
        <w:tc>
          <w:tcPr>
            <w:tcW w:w="1" w:type="dxa"/>
          </w:tcPr>
          <w:p>
            <w:pPr>
              <w:spacing w:before="0" w:after="19"/>
              <w:ind w:left="0" w:right="0"/>
              <w:rPr>
                <w:rFonts w:ascii="Arial" w:hAnsi="Arial" w:cs="Arial"/>
                <w:sz w:val="20"/>
                <w:szCs w:val="20"/>
              </w:rPr>
            </w:pPr>
            <w:r>
              <w:rPr>
                <w:rFonts w:ascii="Arial" w:hAnsi="Arial" w:cs="Arial"/>
                <w:sz w:val="20"/>
                <w:szCs w:val="20"/>
              </w:rPr>
              <w:t>The following stem cell transplantation procedures must be available (in co-operation if necessary):</w:t>
            </w:r>
          </w:p>
          <w:p>
            <w:pPr>
              <w:numPr>
                <w:ilvl w:val="0"/>
                <w:numId w:val="125"/>
              </w:numPr>
              <w:spacing w:before="0" w:after="19"/>
              <w:ind w:hanging="283" w:left="283" w:right="0"/>
              <w:rPr>
                <w:rFonts w:ascii="Arial" w:hAnsi="Arial" w:cs="Arial"/>
                <w:sz w:val="20"/>
                <w:szCs w:val="20"/>
              </w:rPr>
            </w:pPr>
            <w:r>
              <w:rPr>
                <w:rFonts w:ascii="Arial" w:hAnsi="Arial" w:cs="Arial"/>
                <w:sz w:val="20"/>
                <w:szCs w:val="20"/>
              </w:rPr>
              <w:t>Autologous stem cell transplantation</w:t>
            </w:r>
          </w:p>
          <w:p>
            <w:pPr>
              <w:numPr>
                <w:ilvl w:val="0"/>
                <w:numId w:val="125"/>
              </w:numPr>
              <w:spacing w:before="0" w:after="19"/>
              <w:ind w:hanging="283" w:left="283" w:right="0"/>
              <w:rPr>
                <w:rFonts w:ascii="Arial" w:hAnsi="Arial" w:cs="Arial"/>
                <w:sz w:val="20"/>
                <w:szCs w:val="20"/>
              </w:rPr>
            </w:pPr>
            <w:r>
              <w:rPr>
                <w:rFonts w:ascii="Arial" w:hAnsi="Arial" w:cs="Arial"/>
                <w:sz w:val="20"/>
                <w:szCs w:val="20"/>
              </w:rPr>
              <w:t>Allogeneic stem cell transplantation</w:t>
            </w:r>
          </w:p>
          <w:p>
            <w:pPr>
              <w:spacing w:before="0" w:after="19"/>
              <w:ind w:left="0" w:right="0"/>
              <w:rPr>
                <w:rFonts w:ascii="Arial" w:hAnsi="Arial" w:cs="Arial"/>
                <w:sz w:val="20"/>
                <w:szCs w:val="20"/>
              </w:rPr>
            </w:pPr>
            <w:r>
              <w:rPr>
                <w:rFonts w:ascii="Arial" w:hAnsi="Arial" w:cs="Arial"/>
                <w:sz w:val="20"/>
                <w:szCs w:val="20"/>
              </w:rPr>
              <w:t>o HLA-compatible (family donation)</w:t>
            </w:r>
          </w:p>
          <w:p>
            <w:pPr>
              <w:spacing w:before="0" w:after="19"/>
              <w:ind w:left="0" w:right="0"/>
              <w:rPr>
                <w:rFonts w:ascii="Arial" w:hAnsi="Arial" w:cs="Arial"/>
                <w:sz w:val="20"/>
                <w:szCs w:val="20"/>
              </w:rPr>
            </w:pPr>
            <w:r>
              <w:rPr>
                <w:rFonts w:ascii="Arial" w:hAnsi="Arial" w:cs="Arial"/>
                <w:sz w:val="20"/>
                <w:szCs w:val="20"/>
              </w:rPr>
              <w:t>o HLA-compatible (foreign donation)</w:t>
            </w:r>
          </w:p>
          <w:p>
            <w:pPr>
              <w:spacing w:before="0" w:after="19"/>
              <w:rPr>
                <w:rFonts w:ascii="Arial" w:hAnsi="Arial" w:cs="Arial"/>
                <w:sz w:val="20"/>
                <w:szCs w:val="20"/>
                <w:lang w:val="ro-RO" w:bidi="ar-SA"/>
              </w:rPr>
            </w:pPr>
            <w:r>
              <w:rPr>
                <w:rFonts w:ascii="Arial" w:hAnsi="Arial" w:cs="Arial"/>
                <w:sz w:val="20"/>
                <w:szCs w:val="20"/>
              </w:rPr>
              <w:t>o Haploident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6.1.6.c</w:t>
            </w:r>
          </w:p>
        </w:tc>
        <w:tc>
          <w:tcPr>
            <w:tcW w:w="1" w:type="dxa"/>
          </w:tcPr>
          <w:p>
            <w:pPr>
              <w:spacing w:before="0" w:after="19"/>
              <w:ind w:left="0" w:right="0"/>
              <w:rPr>
                <w:rFonts w:ascii="Arial" w:hAnsi="Arial" w:cs="Arial"/>
                <w:sz w:val="20"/>
                <w:szCs w:val="20"/>
              </w:rPr>
            </w:pPr>
            <w:r>
              <w:rPr>
                <w:rFonts w:ascii="Arial" w:hAnsi="Arial" w:cs="Arial"/>
                <w:sz w:val="20"/>
                <w:szCs w:val="20"/>
              </w:rPr>
              <w:t>The guidelines for the production and use of haematopoietic stem cell preparations issued by the German Medical Association must be complied with. In particular, the following requirements (6.1.6 d) to 6.1.6 i)) must be fulfilled.</w:t>
            </w:r>
          </w:p>
          <w:p>
            <w:pPr>
              <w:spacing w:before="0" w:after="19"/>
              <w:rPr>
                <w:rFonts w:ascii="Arial" w:hAnsi="Arial" w:cs="Arial"/>
                <w:sz w:val="20"/>
                <w:szCs w:val="20"/>
                <w:lang w:val="ro-RO" w:bidi="ar-SA"/>
              </w:rPr>
            </w:pPr>
            <w:r>
              <w:rPr>
                <w:rFonts w:ascii="Arial" w:hAnsi="Arial" w:cs="Arial"/>
                <w:sz w:val="20"/>
                <w:szCs w:val="20"/>
              </w:rPr>
              <w:t>A valid accreditation according to the guidelines of the "Joint Accreditation Committee ISCT-Europe &amp; EBMT" (JACIE) can replace the proof of the following requirements (6.1.6 d) to 6.1.6 j)).</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6.1.6.d</w:t>
            </w:r>
          </w:p>
        </w:tc>
        <w:tc>
          <w:tcPr>
            <w:tcW w:w="1" w:type="dxa"/>
          </w:tcPr>
          <w:p>
            <w:pPr>
              <w:spacing w:before="0" w:after="19"/>
              <w:ind w:left="0" w:right="0"/>
              <w:rPr>
                <w:rFonts w:ascii="Arial" w:hAnsi="Arial" w:cs="Arial"/>
                <w:sz w:val="20"/>
                <w:szCs w:val="20"/>
              </w:rPr>
            </w:pPr>
            <w:r>
              <w:rPr>
                <w:rFonts w:ascii="Arial" w:hAnsi="Arial" w:cs="Arial"/>
                <w:sz w:val="20"/>
                <w:szCs w:val="20"/>
              </w:rPr>
              <w:t>Management - Qualification:</w:t>
            </w:r>
          </w:p>
          <w:p>
            <w:pPr>
              <w:spacing w:before="0" w:after="19"/>
              <w:ind w:left="0" w:right="0"/>
              <w:rPr>
                <w:rFonts w:ascii="Arial" w:hAnsi="Arial" w:cs="Arial"/>
                <w:sz w:val="20"/>
                <w:szCs w:val="20"/>
              </w:rPr>
            </w:pPr>
            <w:r>
              <w:rPr>
                <w:rFonts w:ascii="Arial" w:hAnsi="Arial" w:cs="Arial"/>
                <w:sz w:val="20"/>
                <w:szCs w:val="20"/>
              </w:rPr>
              <w:t>Head and deputy head of the unit for allogeneic and autologous stem cell transplantation</w:t>
            </w:r>
          </w:p>
          <w:p>
            <w:pPr>
              <w:numPr>
                <w:ilvl w:val="0"/>
                <w:numId w:val="126"/>
              </w:numPr>
              <w:spacing w:before="0" w:after="19"/>
              <w:ind w:hanging="283" w:left="283" w:right="0"/>
              <w:rPr>
                <w:rFonts w:ascii="Arial" w:hAnsi="Arial" w:cs="Arial"/>
                <w:sz w:val="20"/>
                <w:szCs w:val="20"/>
              </w:rPr>
            </w:pPr>
            <w:r>
              <w:rPr>
                <w:rFonts w:ascii="Arial" w:hAnsi="Arial" w:cs="Arial"/>
                <w:sz w:val="20"/>
                <w:szCs w:val="20"/>
              </w:rPr>
              <w:t>Specialist in internal medicine and haematology and oncology</w:t>
            </w:r>
          </w:p>
          <w:p>
            <w:pPr>
              <w:numPr>
                <w:ilvl w:val="0"/>
                <w:numId w:val="126"/>
              </w:numPr>
              <w:spacing w:before="0" w:after="19"/>
              <w:ind w:hanging="283" w:left="283" w:right="0"/>
              <w:rPr>
                <w:rFonts w:ascii="Arial" w:hAnsi="Arial" w:cs="Arial"/>
                <w:sz w:val="20"/>
                <w:szCs w:val="20"/>
              </w:rPr>
            </w:pPr>
            <w:r>
              <w:rPr>
                <w:rFonts w:ascii="Arial" w:hAnsi="Arial" w:cs="Arial"/>
                <w:sz w:val="20"/>
                <w:szCs w:val="20"/>
              </w:rPr>
              <w:t>At least 2 years of professional experience in unit for allogeneic and autologous stem cell transplantation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Head of the unit for allogeneic and autologous stem cell transplantation</w:t>
            </w:r>
          </w:p>
          <w:p>
            <w:pPr>
              <w:numPr>
                <w:ilvl w:val="0"/>
                <w:numId w:val="127"/>
              </w:numPr>
              <w:spacing w:before="0" w:after="19"/>
              <w:ind w:hanging="283" w:left="283"/>
              <w:rPr>
                <w:rFonts w:ascii="Arial" w:hAnsi="Arial" w:cs="Arial"/>
                <w:sz w:val="20"/>
                <w:szCs w:val="20"/>
                <w:lang w:val="ro-RO" w:bidi="ar-SA"/>
              </w:rPr>
            </w:pPr>
            <w:r>
              <w:rPr>
                <w:rFonts w:ascii="Arial" w:hAnsi="Arial" w:cs="Arial"/>
                <w:sz w:val="20"/>
                <w:szCs w:val="20"/>
              </w:rPr>
              <w:t xml:space="preserve">Personal experience with at least 50 allogeneic stem cell </w:t>
            </w:r>
            <w:r>
              <w:rPr>
                <w:rFonts w:ascii="Arial" w:hAnsi="Arial" w:cs="Arial" w:eastAsia="Calibri"/>
                <w:sz w:val="20"/>
                <w:szCs w:val="20"/>
              </w:rPr>
              <w:t>transplantation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6.1.6.e</w:t>
            </w:r>
          </w:p>
        </w:tc>
        <w:tc>
          <w:tcPr>
            <w:tcW w:w="1" w:type="dxa"/>
          </w:tcPr>
          <w:p>
            <w:pPr>
              <w:spacing w:before="0" w:after="19"/>
              <w:ind w:left="0" w:right="0"/>
              <w:rPr>
                <w:rFonts w:ascii="Arial" w:hAnsi="Arial" w:cs="Arial"/>
                <w:sz w:val="20"/>
                <w:szCs w:val="20"/>
              </w:rPr>
            </w:pPr>
            <w:r>
              <w:rPr>
                <w:rFonts w:ascii="Arial" w:hAnsi="Arial" w:cs="Arial"/>
                <w:sz w:val="20"/>
                <w:szCs w:val="20"/>
              </w:rPr>
              <w:t>Nursing staff</w:t>
            </w:r>
          </w:p>
          <w:p>
            <w:pPr>
              <w:numPr>
                <w:ilvl w:val="0"/>
                <w:numId w:val="128"/>
              </w:numPr>
              <w:spacing w:before="0" w:after="19"/>
              <w:ind w:hanging="283" w:left="283" w:right="0"/>
              <w:rPr>
                <w:rFonts w:ascii="Arial" w:hAnsi="Arial" w:cs="Arial"/>
                <w:sz w:val="20"/>
                <w:szCs w:val="20"/>
              </w:rPr>
            </w:pPr>
            <w:r>
              <w:rPr>
                <w:rFonts w:ascii="Arial" w:hAnsi="Arial" w:cs="Arial"/>
                <w:sz w:val="20"/>
                <w:szCs w:val="20"/>
              </w:rPr>
              <w:t xml:space="preserve">Staffing for allogeneic stem cell </w:t>
            </w:r>
            <w:r>
              <w:rPr>
                <w:rFonts w:ascii="Arial" w:hAnsi="Arial" w:cs="Arial" w:eastAsia="Calibri"/>
                <w:sz w:val="20"/>
                <w:szCs w:val="20"/>
              </w:rPr>
              <w:t>transplantation</w:t>
            </w:r>
            <w:r>
              <w:rPr>
                <w:rFonts w:ascii="Arial" w:hAnsi="Arial" w:cs="Arial"/>
                <w:sz w:val="20"/>
                <w:szCs w:val="20"/>
              </w:rPr>
              <w:t xml:space="preserve"> corresponding to at least one intermediate care unit.</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6.1.6.f</w:t>
            </w:r>
          </w:p>
        </w:tc>
        <w:tc>
          <w:tcPr>
            <w:tcW w:w="1" w:type="dxa"/>
          </w:tcPr>
          <w:p>
            <w:pPr>
              <w:spacing w:before="0" w:after="19"/>
              <w:ind w:left="0" w:right="0"/>
              <w:rPr>
                <w:rFonts w:ascii="Arial" w:hAnsi="Arial" w:cs="Arial"/>
                <w:sz w:val="20"/>
                <w:szCs w:val="20"/>
              </w:rPr>
            </w:pPr>
            <w:r>
              <w:rPr>
                <w:rFonts w:ascii="Arial" w:hAnsi="Arial" w:cs="Arial"/>
                <w:sz w:val="20"/>
                <w:szCs w:val="20"/>
              </w:rPr>
              <w:t>Additional staff</w:t>
            </w:r>
          </w:p>
          <w:p>
            <w:pPr>
              <w:spacing w:before="0" w:after="19"/>
              <w:ind w:left="0" w:right="0"/>
              <w:rPr>
                <w:rFonts w:ascii="Arial" w:hAnsi="Arial" w:cs="Arial"/>
                <w:sz w:val="20"/>
                <w:szCs w:val="20"/>
              </w:rPr>
            </w:pPr>
            <w:r>
              <w:rPr>
                <w:rFonts w:ascii="Arial" w:hAnsi="Arial" w:cs="Arial"/>
                <w:sz w:val="20"/>
                <w:szCs w:val="20"/>
              </w:rPr>
              <w:t>Regular availability of the following areas:</w:t>
            </w:r>
          </w:p>
          <w:p>
            <w:pPr>
              <w:numPr>
                <w:ilvl w:val="0"/>
                <w:numId w:val="129"/>
              </w:numPr>
              <w:spacing w:before="0" w:after="19"/>
              <w:ind w:hanging="283" w:left="283" w:right="0"/>
              <w:rPr>
                <w:rFonts w:ascii="Arial" w:hAnsi="Arial" w:cs="Arial"/>
                <w:sz w:val="20"/>
                <w:szCs w:val="20"/>
              </w:rPr>
            </w:pPr>
            <w:r>
              <w:rPr>
                <w:rFonts w:ascii="Arial" w:hAnsi="Arial" w:cs="Arial"/>
                <w:sz w:val="20"/>
                <w:szCs w:val="20"/>
              </w:rPr>
              <w:t>Transplant coordination for preparation, planning and implementation</w:t>
            </w:r>
          </w:p>
          <w:p>
            <w:pPr>
              <w:numPr>
                <w:ilvl w:val="0"/>
                <w:numId w:val="129"/>
              </w:numPr>
              <w:spacing w:before="0" w:after="19"/>
              <w:ind w:hanging="283" w:left="283" w:right="0"/>
              <w:rPr>
                <w:rFonts w:ascii="Arial" w:hAnsi="Arial" w:cs="Arial"/>
                <w:sz w:val="20"/>
                <w:szCs w:val="20"/>
              </w:rPr>
            </w:pPr>
            <w:r>
              <w:rPr>
                <w:rFonts w:ascii="Arial" w:hAnsi="Arial" w:cs="Arial"/>
                <w:sz w:val="20"/>
                <w:szCs w:val="20"/>
              </w:rPr>
              <w:t>Documentary for documentation and data reporting</w:t>
            </w:r>
          </w:p>
          <w:p>
            <w:pPr>
              <w:numPr>
                <w:ilvl w:val="0"/>
                <w:numId w:val="129"/>
              </w:numPr>
              <w:spacing w:before="0" w:after="19"/>
              <w:ind w:hanging="283" w:left="283" w:right="0"/>
              <w:rPr>
                <w:rFonts w:ascii="Arial" w:hAnsi="Arial" w:cs="Arial"/>
                <w:sz w:val="20"/>
                <w:szCs w:val="20"/>
              </w:rPr>
            </w:pPr>
            <w:r>
              <w:rPr>
                <w:rFonts w:ascii="Arial" w:hAnsi="Arial" w:cs="Arial"/>
                <w:sz w:val="20"/>
                <w:szCs w:val="20"/>
              </w:rPr>
              <w:t>Physiotherapy</w:t>
            </w:r>
          </w:p>
          <w:p>
            <w:pPr>
              <w:numPr>
                <w:ilvl w:val="0"/>
                <w:numId w:val="129"/>
              </w:numPr>
              <w:spacing w:before="0" w:after="19"/>
              <w:ind w:hanging="283" w:left="283" w:right="0"/>
              <w:rPr>
                <w:rFonts w:ascii="Arial" w:hAnsi="Arial" w:cs="Arial"/>
                <w:sz w:val="20"/>
                <w:szCs w:val="20"/>
              </w:rPr>
            </w:pPr>
            <w:r>
              <w:rPr>
                <w:rFonts w:ascii="Arial" w:hAnsi="Arial" w:cs="Arial"/>
                <w:sz w:val="20"/>
                <w:szCs w:val="20"/>
              </w:rPr>
              <w:t>Nutritional counselling</w:t>
            </w:r>
          </w:p>
          <w:p>
            <w:pPr>
              <w:numPr>
                <w:ilvl w:val="0"/>
                <w:numId w:val="129"/>
              </w:numPr>
              <w:spacing w:before="0" w:after="19"/>
              <w:ind w:hanging="283" w:left="283"/>
              <w:rPr>
                <w:rFonts w:ascii="Arial" w:hAnsi="Arial" w:cs="Arial"/>
                <w:sz w:val="20"/>
                <w:szCs w:val="20"/>
                <w:lang w:val="ro-RO" w:bidi="ar-SA"/>
              </w:rPr>
            </w:pPr>
            <w:r>
              <w:rPr>
                <w:rFonts w:ascii="Arial" w:hAnsi="Arial" w:cs="Arial"/>
                <w:sz w:val="20"/>
                <w:szCs w:val="20"/>
              </w:rPr>
              <w:t>Hygiene monitoring.</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6.1.6.g</w:t>
            </w:r>
          </w:p>
        </w:tc>
        <w:tc>
          <w:tcPr>
            <w:tcW w:w="1" w:type="dxa"/>
          </w:tcPr>
          <w:p>
            <w:pPr>
              <w:spacing w:before="0" w:after="19"/>
              <w:ind w:left="0" w:right="0"/>
              <w:rPr>
                <w:rFonts w:ascii="Arial" w:hAnsi="Arial" w:cs="Arial"/>
                <w:sz w:val="20"/>
                <w:szCs w:val="20"/>
              </w:rPr>
            </w:pPr>
            <w:r>
              <w:rPr>
                <w:rFonts w:ascii="Arial" w:hAnsi="Arial" w:cs="Arial"/>
                <w:sz w:val="20"/>
                <w:szCs w:val="20"/>
              </w:rPr>
              <w:t>Spatial conditions</w:t>
            </w:r>
          </w:p>
          <w:p>
            <w:pPr>
              <w:numPr>
                <w:ilvl w:val="0"/>
                <w:numId w:val="130"/>
              </w:numPr>
              <w:spacing w:before="0" w:after="19"/>
              <w:ind w:hanging="283" w:left="283" w:right="0"/>
              <w:rPr>
                <w:rFonts w:ascii="Arial" w:hAnsi="Arial" w:cs="Arial"/>
                <w:sz w:val="20"/>
                <w:szCs w:val="20"/>
              </w:rPr>
            </w:pPr>
            <w:r>
              <w:rPr>
                <w:rFonts w:ascii="Arial" w:hAnsi="Arial" w:cs="Arial"/>
                <w:sz w:val="20"/>
                <w:szCs w:val="20"/>
              </w:rPr>
              <w:t>Compliance with measures to reduce infections caused by airborne and waterborne germs (reference in particular to the "Hygiene requirements for the medical care of immunocompromised people" of the Robert Koch Institute).</w:t>
            </w:r>
          </w:p>
          <w:p>
            <w:pPr>
              <w:numPr>
                <w:ilvl w:val="0"/>
                <w:numId w:val="130"/>
              </w:numPr>
              <w:spacing w:before="0" w:after="19"/>
              <w:ind w:hanging="283" w:left="283" w:right="0"/>
              <w:rPr>
                <w:rFonts w:ascii="Arial" w:hAnsi="Arial" w:cs="Arial"/>
                <w:sz w:val="20"/>
                <w:szCs w:val="20"/>
              </w:rPr>
            </w:pPr>
            <w:r>
              <w:rPr>
                <w:rFonts w:ascii="Arial" w:hAnsi="Arial" w:cs="Arial"/>
                <w:sz w:val="20"/>
                <w:szCs w:val="20"/>
              </w:rPr>
              <w:t>Outpatient care, aftercare or follow-up care in a separate area with the option of isolating patients.</w:t>
            </w:r>
          </w:p>
          <w:p>
            <w:pPr>
              <w:numPr>
                <w:ilvl w:val="0"/>
                <w:numId w:val="130"/>
              </w:numPr>
              <w:spacing w:before="0" w:after="19"/>
              <w:ind w:hanging="283" w:left="283"/>
              <w:rPr>
                <w:rFonts w:ascii="Arial" w:hAnsi="Arial" w:cs="Arial"/>
                <w:sz w:val="20"/>
                <w:szCs w:val="20"/>
                <w:lang w:val="ro-RO" w:bidi="ar-SA"/>
              </w:rPr>
            </w:pPr>
            <w:r>
              <w:rPr>
                <w:rFonts w:ascii="Arial" w:hAnsi="Arial" w:cs="Arial"/>
                <w:sz w:val="20"/>
                <w:szCs w:val="20"/>
              </w:rPr>
              <w:t>Provision of sufficient bed capacity for the readmission of patients with transplant-specific problems (proof e.g. based on the bed plan).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6.1.6.h</w:t>
            </w:r>
          </w:p>
        </w:tc>
        <w:tc>
          <w:tcPr>
            <w:tcW w:w="1" w:type="dxa"/>
          </w:tcPr>
          <w:p>
            <w:pPr>
              <w:spacing w:before="0" w:after="19"/>
              <w:ind w:left="0" w:right="0"/>
              <w:rPr>
                <w:rFonts w:ascii="Arial" w:hAnsi="Arial" w:cs="Arial"/>
                <w:sz w:val="20"/>
                <w:szCs w:val="20"/>
              </w:rPr>
            </w:pPr>
            <w:r>
              <w:rPr>
                <w:rFonts w:ascii="Arial" w:hAnsi="Arial" w:cs="Arial"/>
                <w:sz w:val="20"/>
                <w:szCs w:val="20"/>
              </w:rPr>
              <w:t xml:space="preserve">Preparation and implementation of stem cell </w:t>
            </w:r>
            <w:r>
              <w:rPr>
                <w:rFonts w:ascii="Arial" w:hAnsi="Arial" w:cs="Arial" w:eastAsia="Calibri"/>
                <w:sz w:val="20"/>
                <w:szCs w:val="20"/>
              </w:rPr>
              <w:t>transplantation</w:t>
            </w:r>
          </w:p>
          <w:p>
            <w:pPr>
              <w:spacing w:before="0" w:after="19"/>
              <w:ind w:left="0" w:right="0"/>
              <w:rPr>
                <w:rFonts w:ascii="Arial" w:hAnsi="Arial" w:cs="Arial"/>
                <w:sz w:val="20"/>
                <w:szCs w:val="20"/>
              </w:rPr>
            </w:pPr>
            <w:r>
              <w:rPr>
                <w:rFonts w:ascii="Arial" w:hAnsi="Arial" w:cs="Arial"/>
                <w:sz w:val="20"/>
                <w:szCs w:val="20"/>
              </w:rPr>
              <w:t>There are procedural instructions specifying responsibilities for the following processes:</w:t>
            </w:r>
          </w:p>
          <w:p>
            <w:pPr>
              <w:spacing w:before="0" w:after="19"/>
              <w:ind w:left="0" w:right="0"/>
              <w:rPr>
                <w:rFonts w:ascii="Arial" w:hAnsi="Arial" w:cs="Arial"/>
                <w:sz w:val="20"/>
                <w:szCs w:val="20"/>
              </w:rPr>
            </w:pPr>
            <w:r>
              <w:rPr>
                <w:rFonts w:ascii="Arial" w:hAnsi="Arial" w:cs="Arial"/>
                <w:sz w:val="20"/>
                <w:szCs w:val="20"/>
              </w:rPr>
              <w:t> </w:t>
            </w:r>
          </w:p>
          <w:p>
            <w:pPr>
              <w:numPr>
                <w:ilvl w:val="0"/>
                <w:numId w:val="131"/>
              </w:numPr>
              <w:spacing w:before="0" w:after="19"/>
              <w:ind w:hanging="283" w:left="283" w:right="0"/>
              <w:rPr>
                <w:rFonts w:ascii="Arial" w:hAnsi="Arial" w:cs="Arial"/>
                <w:sz w:val="20"/>
                <w:szCs w:val="20"/>
              </w:rPr>
            </w:pPr>
            <w:r>
              <w:rPr>
                <w:rFonts w:ascii="Arial" w:hAnsi="Arial" w:cs="Arial"/>
                <w:sz w:val="20"/>
                <w:szCs w:val="20"/>
              </w:rPr>
              <w:t>Coordination of donor selection, preliminary examination and treatment</w:t>
            </w:r>
          </w:p>
          <w:p>
            <w:pPr>
              <w:numPr>
                <w:ilvl w:val="0"/>
                <w:numId w:val="131"/>
              </w:numPr>
              <w:spacing w:before="0" w:after="19"/>
              <w:ind w:hanging="283" w:left="283" w:right="0"/>
              <w:rPr>
                <w:rFonts w:ascii="Arial" w:hAnsi="Arial" w:cs="Arial"/>
                <w:sz w:val="20"/>
                <w:szCs w:val="20"/>
              </w:rPr>
            </w:pPr>
            <w:r>
              <w:rPr>
                <w:rFonts w:ascii="Arial" w:hAnsi="Arial" w:cs="Arial"/>
                <w:sz w:val="20"/>
                <w:szCs w:val="20"/>
              </w:rPr>
              <w:t>Patient information and consent</w:t>
            </w:r>
          </w:p>
          <w:p>
            <w:pPr>
              <w:numPr>
                <w:ilvl w:val="0"/>
                <w:numId w:val="131"/>
              </w:numPr>
              <w:spacing w:before="0" w:after="19"/>
              <w:ind w:hanging="283" w:left="283" w:right="0"/>
              <w:rPr>
                <w:rFonts w:ascii="Arial" w:hAnsi="Arial" w:cs="Arial"/>
                <w:sz w:val="20"/>
                <w:szCs w:val="20"/>
              </w:rPr>
            </w:pPr>
            <w:r>
              <w:rPr>
                <w:rFonts w:ascii="Arial" w:hAnsi="Arial" w:cs="Arial"/>
                <w:sz w:val="20"/>
                <w:szCs w:val="20"/>
              </w:rPr>
              <w:t>Conditioning programmes and radiation concept</w:t>
            </w:r>
          </w:p>
          <w:p>
            <w:pPr>
              <w:numPr>
                <w:ilvl w:val="0"/>
                <w:numId w:val="131"/>
              </w:numPr>
              <w:spacing w:before="0" w:after="19"/>
              <w:ind w:hanging="283" w:left="283" w:right="0"/>
              <w:rPr>
                <w:rFonts w:ascii="Arial" w:hAnsi="Arial" w:cs="Arial"/>
                <w:sz w:val="20"/>
                <w:szCs w:val="20"/>
              </w:rPr>
            </w:pPr>
            <w:r>
              <w:rPr>
                <w:rFonts w:ascii="Arial" w:hAnsi="Arial" w:cs="Arial"/>
                <w:sz w:val="20"/>
                <w:szCs w:val="20"/>
              </w:rPr>
              <w:t>Administration of the HSZZ</w:t>
            </w:r>
          </w:p>
          <w:p>
            <w:pPr>
              <w:numPr>
                <w:ilvl w:val="0"/>
                <w:numId w:val="131"/>
              </w:numPr>
              <w:spacing w:before="0" w:after="19"/>
              <w:ind w:hanging="283" w:left="283" w:right="0"/>
              <w:rPr>
                <w:rFonts w:ascii="Arial" w:hAnsi="Arial" w:cs="Arial"/>
                <w:sz w:val="20"/>
                <w:szCs w:val="20"/>
              </w:rPr>
            </w:pPr>
            <w:r>
              <w:rPr>
                <w:rFonts w:ascii="Arial" w:hAnsi="Arial" w:cs="Arial"/>
                <w:sz w:val="20"/>
                <w:szCs w:val="20"/>
              </w:rPr>
              <w:t>Prophylactic or interventional donor lymphocyte administration</w:t>
            </w:r>
          </w:p>
          <w:p>
            <w:pPr>
              <w:numPr>
                <w:ilvl w:val="0"/>
                <w:numId w:val="131"/>
              </w:numPr>
              <w:spacing w:before="0" w:after="19"/>
              <w:ind w:hanging="283" w:left="283" w:right="0"/>
              <w:rPr>
                <w:rFonts w:ascii="Arial" w:hAnsi="Arial" w:cs="Arial"/>
                <w:sz w:val="20"/>
                <w:szCs w:val="20"/>
              </w:rPr>
            </w:pPr>
            <w:r>
              <w:rPr>
                <w:rFonts w:ascii="Arial" w:hAnsi="Arial" w:cs="Arial"/>
                <w:sz w:val="20"/>
                <w:szCs w:val="20"/>
              </w:rPr>
              <w:t>Prophylaxis of common complications</w:t>
            </w:r>
          </w:p>
          <w:p>
            <w:pPr>
              <w:numPr>
                <w:ilvl w:val="0"/>
                <w:numId w:val="131"/>
              </w:numPr>
              <w:spacing w:before="0" w:after="19"/>
              <w:ind w:hanging="283" w:left="283" w:right="0"/>
              <w:rPr>
                <w:rFonts w:ascii="Arial" w:hAnsi="Arial" w:cs="Arial"/>
                <w:sz w:val="20"/>
                <w:szCs w:val="20"/>
              </w:rPr>
            </w:pPr>
            <w:r>
              <w:rPr>
                <w:rFonts w:ascii="Arial" w:hAnsi="Arial" w:cs="Arial"/>
                <w:sz w:val="20"/>
                <w:szCs w:val="20"/>
              </w:rPr>
              <w:t>Recognition and treatment of common complications</w:t>
            </w:r>
          </w:p>
          <w:p>
            <w:pPr>
              <w:numPr>
                <w:ilvl w:val="0"/>
                <w:numId w:val="131"/>
              </w:numPr>
              <w:spacing w:before="0" w:after="19"/>
              <w:ind w:hanging="283" w:left="283" w:right="0"/>
              <w:rPr>
                <w:rFonts w:ascii="Arial" w:hAnsi="Arial" w:cs="Arial"/>
                <w:sz w:val="20"/>
                <w:szCs w:val="20"/>
              </w:rPr>
            </w:pPr>
            <w:r>
              <w:rPr>
                <w:rFonts w:ascii="Arial" w:hAnsi="Arial" w:cs="Arial"/>
                <w:sz w:val="20"/>
                <w:szCs w:val="20"/>
              </w:rPr>
              <w:t>Aplasia management</w:t>
            </w:r>
          </w:p>
          <w:p>
            <w:pPr>
              <w:numPr>
                <w:ilvl w:val="0"/>
                <w:numId w:val="131"/>
              </w:numPr>
              <w:spacing w:before="0" w:after="19"/>
              <w:ind w:hanging="283" w:left="283" w:right="0"/>
              <w:rPr>
                <w:rFonts w:ascii="Arial" w:hAnsi="Arial" w:cs="Arial"/>
                <w:sz w:val="20"/>
                <w:szCs w:val="20"/>
              </w:rPr>
            </w:pPr>
            <w:r>
              <w:rPr>
                <w:rFonts w:ascii="Arial" w:hAnsi="Arial" w:cs="Arial"/>
                <w:sz w:val="20"/>
                <w:szCs w:val="20"/>
              </w:rPr>
              <w:t>Hygiene regulations, infection prophylaxis and therapy</w:t>
            </w:r>
          </w:p>
          <w:p>
            <w:pPr>
              <w:numPr>
                <w:ilvl w:val="0"/>
                <w:numId w:val="131"/>
              </w:numPr>
              <w:spacing w:before="0" w:after="19"/>
              <w:ind w:hanging="283" w:left="283"/>
              <w:rPr>
                <w:rFonts w:ascii="Arial" w:hAnsi="Arial" w:cs="Arial"/>
                <w:sz w:val="20"/>
                <w:szCs w:val="20"/>
                <w:lang w:val="ro-RO" w:bidi="ar-SA"/>
              </w:rPr>
            </w:pPr>
            <w:r>
              <w:rPr>
                <w:rFonts w:ascii="Arial" w:hAnsi="Arial" w:cs="Arial"/>
                <w:sz w:val="20"/>
                <w:szCs w:val="20"/>
              </w:rPr>
              <w:t>Transfusion concept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6.1.6.i</w:t>
            </w:r>
          </w:p>
        </w:tc>
        <w:tc>
          <w:tcPr>
            <w:tcW w:w="1" w:type="dxa"/>
          </w:tcPr>
          <w:p>
            <w:pPr>
              <w:spacing w:before="0" w:after="19"/>
              <w:ind w:left="0" w:right="0"/>
              <w:rPr>
                <w:rFonts w:ascii="Arial" w:hAnsi="Arial" w:cs="Arial"/>
                <w:sz w:val="20"/>
                <w:szCs w:val="20"/>
              </w:rPr>
            </w:pPr>
            <w:r>
              <w:rPr>
                <w:rFonts w:ascii="Arial" w:hAnsi="Arial" w:cs="Arial"/>
                <w:sz w:val="20"/>
                <w:szCs w:val="20"/>
              </w:rPr>
              <w:t>Documentation</w:t>
            </w:r>
          </w:p>
          <w:p>
            <w:pPr>
              <w:spacing w:before="0" w:after="19"/>
              <w:rPr>
                <w:rFonts w:ascii="Arial" w:hAnsi="Arial" w:cs="Arial"/>
                <w:sz w:val="20"/>
                <w:szCs w:val="20"/>
                <w:lang w:val="ro-RO" w:bidi="ar-SA"/>
              </w:rPr>
            </w:pPr>
            <w:r>
              <w:rPr>
                <w:rFonts w:ascii="Arial" w:hAnsi="Arial" w:cs="Arial"/>
                <w:sz w:val="20"/>
                <w:szCs w:val="20"/>
              </w:rPr>
              <w:t>Mandatory reporting of transplant cases to the German Register for Stem Cell Transplantation.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6.1.7</w:t>
            </w:r>
          </w:p>
        </w:tc>
        <w:tc>
          <w:tcPr>
            <w:tcW w:w="1" w:type="dxa"/>
          </w:tcPr>
          <w:p>
            <w:pPr>
              <w:spacing w:before="0" w:after="19"/>
              <w:ind w:left="0" w:right="0"/>
              <w:rPr>
                <w:rFonts w:ascii="Arial" w:hAnsi="Arial" w:cs="Arial"/>
                <w:sz w:val="20"/>
                <w:szCs w:val="20"/>
              </w:rPr>
            </w:pPr>
            <w:r>
              <w:rPr>
                <w:rFonts w:ascii="Arial" w:hAnsi="Arial" w:cs="Arial"/>
                <w:sz w:val="20"/>
                <w:szCs w:val="20"/>
              </w:rPr>
              <w:t>Further education</w:t>
            </w:r>
          </w:p>
          <w:p>
            <w:pPr>
              <w:numPr>
                <w:ilvl w:val="0"/>
                <w:numId w:val="132"/>
              </w:numPr>
              <w:spacing w:before="0" w:after="19"/>
              <w:ind w:hanging="283" w:left="283" w:right="0"/>
              <w:rPr>
                <w:rFonts w:ascii="Arial" w:hAnsi="Arial" w:cs="Arial"/>
                <w:sz w:val="20"/>
                <w:szCs w:val="20"/>
              </w:rPr>
            </w:pPr>
            <w:r>
              <w:rPr>
                <w:rFonts w:ascii="Arial" w:hAnsi="Arial" w:cs="Arial"/>
                <w:sz w:val="20"/>
                <w:szCs w:val="20"/>
              </w:rPr>
              <w:t>A qualification plan for the medical and nursing staff must be submitted in which the qualifications planned for a one-year period are presented.</w:t>
            </w:r>
          </w:p>
          <w:p>
            <w:pPr>
              <w:numPr>
                <w:ilvl w:val="0"/>
                <w:numId w:val="132"/>
              </w:numPr>
              <w:spacing w:before="0" w:after="19"/>
              <w:ind w:hanging="283" w:left="283"/>
              <w:rPr>
                <w:rFonts w:ascii="Arial" w:hAnsi="Arial" w:cs="Arial"/>
                <w:sz w:val="20"/>
                <w:szCs w:val="20"/>
                <w:lang w:val="ro-RO" w:bidi="ar-SA"/>
              </w:rPr>
            </w:pPr>
            <w:r>
              <w:rPr>
                <w:rFonts w:ascii="Arial" w:hAnsi="Arial" w:cs="Arial"/>
                <w:sz w:val="20"/>
                <w:szCs w:val="20"/>
              </w:rPr>
              <w:t>At least 1 specific training/ further training per employee per year (at least 1 day per year), provided that the employee performs quality-relevant activities for the centre.</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6.2</w:t>
              <w:tab/>
              <w:t xml:space="preserve"> Organ-specific systemic therapy</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6.2.1</w:t>
            </w:r>
          </w:p>
        </w:tc>
        <w:tc>
          <w:tcPr>
            <w:tcW w:w="1" w:type="dxa"/>
          </w:tcPr>
          <w:p>
            <w:pPr>
              <w:spacing w:before="0" w:after="19"/>
              <w:ind w:left="0" w:right="0"/>
              <w:rPr>
                <w:rFonts w:ascii="Arial" w:hAnsi="Arial" w:cs="Arial"/>
                <w:sz w:val="20"/>
                <w:szCs w:val="20"/>
              </w:rPr>
            </w:pPr>
            <w:r>
              <w:rPr>
                <w:rFonts w:ascii="Arial" w:hAnsi="Arial" w:cs="Arial"/>
                <w:sz w:val="20"/>
                <w:szCs w:val="20"/>
              </w:rPr>
              <w:t>The following statements refer to the following co-operation partners: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General note</w:t>
            </w:r>
          </w:p>
          <w:p>
            <w:pPr>
              <w:spacing w:before="0" w:after="19"/>
              <w:ind w:left="0" w:right="0"/>
              <w:rPr>
                <w:rFonts w:ascii="Arial" w:hAnsi="Arial" w:cs="Arial"/>
                <w:sz w:val="20"/>
                <w:szCs w:val="20"/>
              </w:rPr>
            </w:pPr>
            <w:r>
              <w:rPr>
                <w:rFonts w:ascii="Arial" w:hAnsi="Arial" w:cs="Arial"/>
                <w:sz w:val="20"/>
                <w:szCs w:val="20"/>
              </w:rPr>
              <w:t>The requirements in this section of the questionnaire must be verified individually by each cooperation partner of the centre for the area of medical oncological therapy. Therefore, this section must be completed specifically by each cooperation partner in this speciality or specific statements must be made by each cooperation partner in this section.</w:t>
            </w:r>
          </w:p>
          <w:p>
            <w:pPr>
              <w:spacing w:before="0" w:after="19"/>
              <w:rPr>
                <w:rFonts w:ascii="Arial" w:hAnsi="Arial" w:cs="Arial"/>
                <w:sz w:val="20"/>
                <w:szCs w:val="20"/>
                <w:lang w:val="ro-RO" w:bidi="ar-SA"/>
              </w:rPr>
            </w:pPr>
            <w:r>
              <w:rPr>
                <w:rFonts w:ascii="Arial" w:hAnsi="Arial" w:cs="Arial"/>
                <w:sz w:val="20"/>
                <w:szCs w:val="20"/>
              </w:rPr>
              <w:t>This also applies if inpatient and outpatient therapy is provided by different co-operation partners (separation of inpatient/ outpatient).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6.2.2</w:t>
            </w:r>
          </w:p>
        </w:tc>
        <w:tc>
          <w:tcPr>
            <w:tcW w:w="1" w:type="dxa"/>
          </w:tcPr>
          <w:p>
            <w:pPr>
              <w:spacing w:before="0" w:after="19"/>
              <w:ind w:left="0" w:right="0"/>
              <w:rPr>
                <w:rFonts w:ascii="Arial" w:hAnsi="Arial" w:cs="Arial"/>
                <w:sz w:val="20"/>
                <w:szCs w:val="20"/>
              </w:rPr>
            </w:pPr>
            <w:r>
              <w:rPr>
                <w:rFonts w:ascii="Arial" w:hAnsi="Arial" w:cs="Arial"/>
                <w:sz w:val="20"/>
                <w:szCs w:val="20"/>
              </w:rPr>
              <w:t>Implementation of drug-based tumour therapy (e.g. chemotherapy, Antibody therapy, cellular therapy)</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Specialist for</w:t>
            </w:r>
          </w:p>
          <w:p>
            <w:pPr>
              <w:numPr>
                <w:ilvl w:val="0"/>
                <w:numId w:val="133"/>
              </w:numPr>
              <w:spacing w:before="0" w:after="19"/>
              <w:ind w:hanging="283" w:left="283" w:right="0"/>
              <w:rPr>
                <w:rFonts w:ascii="Arial" w:hAnsi="Arial" w:cs="Arial"/>
                <w:sz w:val="20"/>
                <w:szCs w:val="20"/>
              </w:rPr>
            </w:pPr>
            <w:r>
              <w:rPr>
                <w:rFonts w:ascii="Arial" w:hAnsi="Arial" w:cs="Arial"/>
                <w:sz w:val="20"/>
                <w:szCs w:val="20"/>
              </w:rPr>
              <w:t>Internal medicine and haematology and oncology</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A representative with the above qualifications must be appointed.</w:t>
            </w:r>
          </w:p>
          <w:p>
            <w:pPr>
              <w:spacing w:before="0" w:after="19"/>
              <w:ind w:left="0" w:right="0"/>
              <w:rPr>
                <w:rFonts w:ascii="Arial" w:hAnsi="Arial" w:cs="Arial"/>
                <w:sz w:val="20"/>
                <w:szCs w:val="20"/>
              </w:rPr>
            </w:pPr>
            <w:r>
              <w:rPr>
                <w:rFonts w:ascii="Arial" w:hAnsi="Arial" w:cs="Arial"/>
                <w:sz w:val="20"/>
                <w:szCs w:val="20"/>
              </w:rPr>
              <w:t>The specialists named here must supervise the oncological drug therapy. It is not possible to delegate responsibilities to doctors without the above qualifications.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6.2.3</w:t>
            </w:r>
          </w:p>
        </w:tc>
        <w:tc>
          <w:tcPr>
            <w:tcW w:w="1" w:type="dxa"/>
          </w:tcPr>
          <w:p>
            <w:pPr>
              <w:spacing w:before="0" w:after="19"/>
              <w:ind w:left="0" w:right="0"/>
              <w:rPr>
                <w:rFonts w:ascii="Arial" w:hAnsi="Arial" w:cs="Arial"/>
                <w:sz w:val="20"/>
                <w:szCs w:val="20"/>
              </w:rPr>
            </w:pPr>
            <w:r>
              <w:rPr>
                <w:rFonts w:ascii="Arial" w:hAnsi="Arial" w:cs="Arial"/>
                <w:sz w:val="20"/>
                <w:szCs w:val="20"/>
              </w:rPr>
              <w:t>Carer/ MFA (outpatient/ inpatient)</w:t>
            </w:r>
          </w:p>
          <w:p>
            <w:pPr>
              <w:spacing w:before="0" w:after="19"/>
              <w:ind w:left="0" w:right="0"/>
              <w:rPr>
                <w:rFonts w:ascii="Arial" w:hAnsi="Arial" w:cs="Arial"/>
                <w:sz w:val="20"/>
                <w:szCs w:val="20"/>
              </w:rPr>
            </w:pPr>
            <w:r>
              <w:rPr>
                <w:rFonts w:ascii="Arial" w:hAnsi="Arial" w:cs="Arial"/>
                <w:sz w:val="20"/>
                <w:szCs w:val="20"/>
              </w:rPr>
              <w:t>Requirements for the carer who administers chemotherapy:</w:t>
            </w:r>
          </w:p>
          <w:p>
            <w:pPr>
              <w:numPr>
                <w:ilvl w:val="0"/>
                <w:numId w:val="134"/>
              </w:numPr>
              <w:spacing w:before="0" w:after="19"/>
              <w:ind w:hanging="283" w:left="283" w:right="0"/>
              <w:rPr>
                <w:rFonts w:ascii="Arial" w:hAnsi="Arial" w:cs="Arial"/>
                <w:sz w:val="20"/>
                <w:szCs w:val="20"/>
              </w:rPr>
            </w:pPr>
            <w:r>
              <w:rPr>
                <w:rFonts w:ascii="Arial" w:hAnsi="Arial" w:cs="Arial"/>
                <w:sz w:val="20"/>
                <w:szCs w:val="20"/>
              </w:rPr>
              <w:t>Inpatient, day-care or outpatient areas in which oncological drug therapy is carried out by non-medical staff must be under the supervision of an oncological nurse. Co-operating practices are not affected by this regulation.</w:t>
            </w:r>
          </w:p>
          <w:p>
            <w:pPr>
              <w:numPr>
                <w:ilvl w:val="0"/>
                <w:numId w:val="134"/>
              </w:numPr>
              <w:spacing w:before="0" w:after="19"/>
              <w:ind w:hanging="283" w:left="283" w:right="0"/>
              <w:rPr>
                <w:rFonts w:ascii="Arial" w:hAnsi="Arial" w:cs="Arial"/>
                <w:sz w:val="20"/>
                <w:szCs w:val="20"/>
              </w:rPr>
            </w:pPr>
            <w:r>
              <w:rPr>
                <w:rFonts w:ascii="Arial" w:hAnsi="Arial" w:cs="Arial"/>
                <w:sz w:val="20"/>
                <w:szCs w:val="20"/>
              </w:rPr>
              <w:t>At least 1 year of professional experience in oncology.</w:t>
            </w:r>
          </w:p>
          <w:p>
            <w:pPr>
              <w:numPr>
                <w:ilvl w:val="0"/>
                <w:numId w:val="134"/>
              </w:numPr>
              <w:spacing w:before="0" w:after="19"/>
              <w:ind w:hanging="283" w:left="283" w:right="0"/>
              <w:rPr>
                <w:rFonts w:ascii="Arial" w:hAnsi="Arial" w:cs="Arial"/>
                <w:sz w:val="20"/>
                <w:szCs w:val="20"/>
              </w:rPr>
            </w:pPr>
            <w:r>
              <w:rPr>
                <w:rFonts w:ascii="Arial" w:hAnsi="Arial" w:cs="Arial"/>
                <w:sz w:val="20"/>
                <w:szCs w:val="20"/>
              </w:rPr>
              <w:t>Proof of 50 chemotherapy applications/ year must be provided (an estimate is possible for initial certification; in subsequent years, proof must be provided in the audit).</w:t>
            </w:r>
          </w:p>
          <w:p>
            <w:pPr>
              <w:numPr>
                <w:ilvl w:val="0"/>
                <w:numId w:val="134"/>
              </w:numPr>
              <w:spacing w:before="0" w:after="19"/>
              <w:ind w:hanging="283" w:left="283" w:right="0"/>
              <w:rPr>
                <w:rFonts w:ascii="Arial" w:hAnsi="Arial" w:cs="Arial"/>
                <w:sz w:val="20"/>
                <w:szCs w:val="20"/>
              </w:rPr>
            </w:pPr>
            <w:r>
              <w:rPr>
                <w:rFonts w:ascii="Arial" w:hAnsi="Arial" w:cs="Arial"/>
                <w:sz w:val="20"/>
                <w:szCs w:val="20"/>
              </w:rPr>
              <w:t>Proof of training in accordance with the recommendations of the KOK (KOK recommendation for action, application of cytostatics by nursing staff).</w:t>
            </w:r>
          </w:p>
          <w:p>
            <w:pPr>
              <w:numPr>
                <w:ilvl w:val="0"/>
                <w:numId w:val="134"/>
              </w:numPr>
              <w:spacing w:before="0" w:after="19"/>
              <w:ind w:hanging="283" w:left="283" w:right="0"/>
              <w:rPr>
                <w:rFonts w:ascii="Arial" w:hAnsi="Arial" w:cs="Arial"/>
                <w:sz w:val="20"/>
                <w:szCs w:val="20"/>
              </w:rPr>
            </w:pPr>
            <w:r>
              <w:rPr>
                <w:rFonts w:ascii="Arial" w:hAnsi="Arial" w:cs="Arial"/>
                <w:sz w:val="20"/>
                <w:szCs w:val="20"/>
              </w:rPr>
              <w:t>Active involvement in the implementation of the requirements for emergency treatment and therapy of concomitant and secondary diseases. Nursing counselling and/ or education of patients must be documented.</w:t>
            </w:r>
          </w:p>
          <w:p>
            <w:pPr>
              <w:numPr>
                <w:ilvl w:val="0"/>
                <w:numId w:val="134"/>
              </w:numPr>
              <w:spacing w:before="0" w:after="19"/>
              <w:ind w:hanging="283" w:left="283"/>
              <w:rPr>
                <w:rFonts w:ascii="Arial" w:hAnsi="Arial" w:cs="Arial"/>
                <w:sz w:val="20"/>
                <w:szCs w:val="20"/>
                <w:lang w:val="ro-RO" w:bidi="ar-SA"/>
              </w:rPr>
            </w:pPr>
            <w:r>
              <w:rPr>
                <w:rFonts w:ascii="Arial" w:hAnsi="Arial" w:cs="Arial"/>
                <w:sz w:val="20"/>
                <w:szCs w:val="20"/>
              </w:rPr>
              <w:t>Proof of qualification for the application of chemotherapeutic agents by the medical specialists named under 6.2.2. Proof of annual training, including the content of 6.2.10 and 6.2.11, is required for the qualification.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6.2.4</w:t>
            </w:r>
          </w:p>
        </w:tc>
        <w:tc>
          <w:tcPr>
            <w:tcW w:w="1" w:type="dxa"/>
          </w:tcPr>
          <w:p>
            <w:pPr>
              <w:spacing w:before="0" w:after="19"/>
              <w:ind w:left="0" w:right="0"/>
              <w:rPr>
                <w:rFonts w:ascii="Arial" w:hAnsi="Arial" w:cs="Arial"/>
                <w:sz w:val="20"/>
                <w:szCs w:val="20"/>
              </w:rPr>
            </w:pPr>
            <w:r>
              <w:rPr>
                <w:rFonts w:ascii="Arial" w:hAnsi="Arial" w:cs="Arial"/>
                <w:sz w:val="20"/>
                <w:szCs w:val="20"/>
              </w:rPr>
              <w:t>Case numbers per treatment unit</w:t>
            </w:r>
          </w:p>
          <w:p>
            <w:pPr>
              <w:numPr>
                <w:ilvl w:val="0"/>
                <w:numId w:val="135"/>
              </w:numPr>
              <w:spacing w:before="0" w:after="19"/>
              <w:ind w:hanging="283" w:left="283" w:right="0"/>
              <w:rPr>
                <w:rFonts w:ascii="Arial" w:hAnsi="Arial" w:cs="Arial"/>
                <w:sz w:val="20"/>
                <w:szCs w:val="20"/>
              </w:rPr>
            </w:pPr>
            <w:r>
              <w:rPr>
                <w:rFonts w:ascii="Arial" w:hAnsi="Arial" w:cs="Arial"/>
                <w:sz w:val="20"/>
                <w:szCs w:val="20"/>
              </w:rPr>
              <w:t>At least 200 drug-based tumour therapies (cytostatic therapies and/ or targeted therapeutics and/ or AK/ immune therapies, no hormone therapies) per year.</w:t>
            </w:r>
          </w:p>
          <w:p>
            <w:pPr>
              <w:numPr>
                <w:ilvl w:val="0"/>
                <w:numId w:val="135"/>
              </w:numPr>
              <w:spacing w:before="0" w:after="19"/>
              <w:ind w:hanging="283" w:left="283" w:right="0"/>
              <w:rPr>
                <w:rFonts w:ascii="Arial" w:hAnsi="Arial" w:cs="Arial"/>
                <w:sz w:val="20"/>
                <w:szCs w:val="20"/>
              </w:rPr>
            </w:pPr>
            <w:r>
              <w:rPr>
                <w:rFonts w:ascii="Arial" w:hAnsi="Arial" w:cs="Arial"/>
                <w:sz w:val="20"/>
                <w:szCs w:val="20"/>
              </w:rPr>
              <w:t>Counting method: completed systemic/ cytostatic/ targeted therapy per patient (consisting of several cycles or applications, combination therapies count as 1 therapy). For therapies spanning several years, the therapy started in the survey year counts. 1 therapy per patient = 1 therapy line per disease per patient.</w:t>
            </w:r>
          </w:p>
          <w:p>
            <w:pPr>
              <w:numPr>
                <w:ilvl w:val="0"/>
                <w:numId w:val="135"/>
              </w:numPr>
              <w:spacing w:before="0" w:after="19"/>
              <w:ind w:hanging="283" w:left="283" w:right="0"/>
              <w:rPr>
                <w:rFonts w:ascii="Arial" w:hAnsi="Arial" w:cs="Arial"/>
                <w:sz w:val="20"/>
                <w:szCs w:val="20"/>
              </w:rPr>
            </w:pPr>
            <w:r>
              <w:rPr>
                <w:rFonts w:ascii="Arial" w:hAnsi="Arial" w:cs="Arial"/>
                <w:sz w:val="20"/>
                <w:szCs w:val="20"/>
              </w:rPr>
              <w:t>If this threshold is not met, expertise cannot be proven through cooperation (to be proven individually by each treatment centre).</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6.2.5</w:t>
            </w:r>
          </w:p>
        </w:tc>
        <w:tc>
          <w:tcPr>
            <w:tcW w:w="1" w:type="dxa"/>
          </w:tcPr>
          <w:p>
            <w:pPr>
              <w:spacing w:before="0" w:after="19"/>
              <w:ind w:left="0" w:right="0"/>
              <w:rPr>
                <w:rFonts w:ascii="Arial" w:hAnsi="Arial" w:cs="Arial"/>
                <w:sz w:val="20"/>
                <w:szCs w:val="20"/>
              </w:rPr>
            </w:pPr>
            <w:r>
              <w:rPr>
                <w:rFonts w:ascii="Arial" w:hAnsi="Arial" w:cs="Arial"/>
                <w:sz w:val="20"/>
                <w:szCs w:val="20"/>
              </w:rPr>
              <w:t>Premises Drug oncological therapy (outpatient only)</w:t>
            </w:r>
          </w:p>
          <w:p>
            <w:pPr>
              <w:spacing w:before="0" w:after="19"/>
              <w:rPr>
                <w:rFonts w:ascii="Arial" w:hAnsi="Arial" w:cs="Arial"/>
                <w:sz w:val="20"/>
                <w:szCs w:val="20"/>
                <w:lang w:val="ro-RO" w:bidi="ar-SA"/>
              </w:rPr>
            </w:pPr>
            <w:r>
              <w:rPr>
                <w:rFonts w:ascii="Arial" w:hAnsi="Arial" w:cs="Arial"/>
                <w:sz w:val="20"/>
                <w:szCs w:val="20"/>
              </w:rPr>
              <w:t>At least 4 treatment places for intravenous tumour therapy and blood transfusions in a separate room.</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6.2.6</w:t>
            </w:r>
          </w:p>
        </w:tc>
        <w:tc>
          <w:tcPr>
            <w:tcW w:w="1" w:type="dxa"/>
          </w:tcPr>
          <w:p>
            <w:pPr>
              <w:spacing w:before="0" w:after="19"/>
              <w:ind w:left="0" w:right="0"/>
              <w:rPr>
                <w:rFonts w:ascii="Arial" w:hAnsi="Arial" w:cs="Arial"/>
                <w:sz w:val="20"/>
                <w:szCs w:val="20"/>
              </w:rPr>
            </w:pPr>
            <w:r>
              <w:rPr>
                <w:rFonts w:ascii="Arial" w:hAnsi="Arial" w:cs="Arial"/>
                <w:sz w:val="20"/>
                <w:szCs w:val="20"/>
              </w:rPr>
              <w:t>Basic diagnostics laboratory</w:t>
            </w:r>
          </w:p>
          <w:p>
            <w:pPr>
              <w:spacing w:before="0" w:after="19"/>
              <w:rPr>
                <w:rFonts w:ascii="Arial" w:hAnsi="Arial" w:cs="Arial"/>
                <w:sz w:val="20"/>
                <w:szCs w:val="20"/>
                <w:lang w:val="ro-RO" w:bidi="ar-SA"/>
              </w:rPr>
            </w:pPr>
            <w:r>
              <w:rPr>
                <w:rFonts w:ascii="Arial" w:hAnsi="Arial" w:cs="Arial"/>
                <w:sz w:val="20"/>
                <w:szCs w:val="20"/>
              </w:rPr>
              <w:t>Basic diagnostics including emergency laboratory during working hours must be possible. If external, proof of cooperation agreement.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6.2.7</w:t>
            </w:r>
          </w:p>
        </w:tc>
        <w:tc>
          <w:tcPr>
            <w:tcW w:w="1" w:type="dxa"/>
          </w:tcPr>
          <w:p>
            <w:pPr>
              <w:spacing w:before="0" w:after="19"/>
              <w:ind w:left="0" w:right="0"/>
              <w:rPr>
                <w:rFonts w:ascii="Arial" w:hAnsi="Arial" w:cs="Arial"/>
                <w:sz w:val="20"/>
                <w:szCs w:val="20"/>
              </w:rPr>
            </w:pPr>
            <w:r>
              <w:rPr>
                <w:rFonts w:ascii="Arial" w:hAnsi="Arial" w:cs="Arial"/>
                <w:sz w:val="20"/>
                <w:szCs w:val="20"/>
              </w:rPr>
              <w:t>Basic diagnostics Imaging</w:t>
            </w:r>
          </w:p>
          <w:p>
            <w:pPr>
              <w:numPr>
                <w:ilvl w:val="0"/>
                <w:numId w:val="136"/>
              </w:numPr>
              <w:spacing w:before="0" w:after="19"/>
              <w:ind w:hanging="283" w:left="283" w:right="0"/>
              <w:rPr>
                <w:rFonts w:ascii="Arial" w:hAnsi="Arial" w:cs="Arial"/>
                <w:sz w:val="20"/>
                <w:szCs w:val="20"/>
              </w:rPr>
            </w:pPr>
            <w:r>
              <w:rPr>
                <w:rFonts w:ascii="Arial" w:hAnsi="Arial" w:cs="Arial"/>
                <w:sz w:val="20"/>
                <w:szCs w:val="20"/>
              </w:rPr>
              <w:t>24-hour daily access to sonographic diagnostics.</w:t>
            </w:r>
          </w:p>
          <w:p>
            <w:pPr>
              <w:numPr>
                <w:ilvl w:val="0"/>
                <w:numId w:val="136"/>
              </w:numPr>
              <w:spacing w:before="0" w:after="19"/>
              <w:ind w:hanging="283" w:left="283" w:right="0"/>
              <w:rPr>
                <w:rFonts w:ascii="Arial" w:hAnsi="Arial" w:cs="Arial"/>
                <w:sz w:val="20"/>
                <w:szCs w:val="20"/>
              </w:rPr>
            </w:pPr>
            <w:r>
              <w:rPr>
                <w:rFonts w:ascii="Arial" w:hAnsi="Arial" w:cs="Arial"/>
                <w:sz w:val="20"/>
                <w:szCs w:val="20"/>
              </w:rPr>
              <w:t>24-hour daily access to radiological emergency diagnostics incl. CT.</w:t>
            </w:r>
          </w:p>
          <w:p>
            <w:pPr>
              <w:numPr>
                <w:ilvl w:val="0"/>
                <w:numId w:val="136"/>
              </w:numPr>
              <w:spacing w:before="0" w:after="19"/>
              <w:ind w:hanging="283" w:left="283"/>
              <w:rPr>
                <w:rFonts w:ascii="Arial" w:hAnsi="Arial" w:cs="Arial"/>
                <w:sz w:val="20"/>
                <w:szCs w:val="20"/>
                <w:lang w:val="ro-RO" w:bidi="ar-SA"/>
              </w:rPr>
            </w:pPr>
            <w:r>
              <w:rPr>
                <w:rFonts w:ascii="Arial" w:hAnsi="Arial" w:cs="Arial"/>
                <w:sz w:val="20"/>
                <w:szCs w:val="20"/>
              </w:rPr>
              <w:t>Availability of MRI diagnostics (proof via a cooperation agreement if necessary).</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6.2.8</w:t>
            </w:r>
          </w:p>
        </w:tc>
        <w:tc>
          <w:tcPr>
            <w:tcW w:w="1" w:type="dxa"/>
          </w:tcPr>
          <w:p>
            <w:pPr>
              <w:spacing w:before="0" w:after="19"/>
              <w:ind w:left="0" w:right="0"/>
              <w:rPr>
                <w:rFonts w:ascii="Arial" w:hAnsi="Arial" w:cs="Arial"/>
                <w:sz w:val="20"/>
                <w:szCs w:val="20"/>
              </w:rPr>
            </w:pPr>
            <w:r>
              <w:rPr>
                <w:rFonts w:ascii="Arial" w:hAnsi="Arial" w:cs="Arial"/>
                <w:sz w:val="20"/>
                <w:szCs w:val="20"/>
              </w:rPr>
              <w:t>a) Uniform standardised schemes for systemic therapies at the centre</w:t>
            </w:r>
          </w:p>
          <w:p>
            <w:pPr>
              <w:numPr>
                <w:ilvl w:val="0"/>
                <w:numId w:val="137"/>
              </w:numPr>
              <w:spacing w:before="0" w:after="19"/>
              <w:ind w:hanging="283" w:left="283" w:right="0"/>
              <w:rPr>
                <w:rFonts w:ascii="Arial" w:hAnsi="Arial" w:cs="Arial"/>
                <w:sz w:val="20"/>
                <w:szCs w:val="20"/>
              </w:rPr>
            </w:pPr>
            <w:r>
              <w:rPr>
                <w:rFonts w:ascii="Arial" w:hAnsi="Arial" w:cs="Arial"/>
                <w:sz w:val="20"/>
                <w:szCs w:val="20"/>
              </w:rPr>
              <w:t>The creation/ modification of existing treatment regimens must be subject to regulated approval.</w:t>
            </w:r>
          </w:p>
          <w:p>
            <w:pPr>
              <w:numPr>
                <w:ilvl w:val="0"/>
                <w:numId w:val="137"/>
              </w:numPr>
              <w:spacing w:before="0" w:after="19"/>
              <w:ind w:hanging="283" w:left="283" w:right="0"/>
              <w:rPr>
                <w:rFonts w:ascii="Arial" w:hAnsi="Arial" w:cs="Arial"/>
                <w:sz w:val="20"/>
                <w:szCs w:val="20"/>
              </w:rPr>
            </w:pPr>
            <w:r>
              <w:rPr>
                <w:rFonts w:ascii="Arial" w:hAnsi="Arial" w:cs="Arial"/>
                <w:sz w:val="20"/>
                <w:szCs w:val="20"/>
              </w:rPr>
              <w:t>LL-appropriate antiemetics should be included in the treatment plans.</w:t>
            </w:r>
          </w:p>
          <w:p>
            <w:pPr>
              <w:spacing w:before="0" w:after="19"/>
              <w:ind w:left="0" w:right="0"/>
              <w:rPr>
                <w:rFonts w:ascii="Arial" w:hAnsi="Arial" w:cs="Arial"/>
                <w:sz w:val="20"/>
                <w:szCs w:val="20"/>
              </w:rPr>
            </w:pPr>
            <w:r>
              <w:rPr>
                <w:rFonts w:ascii="Arial" w:hAnsi="Arial" w:cs="Arial"/>
                <w:sz w:val="20"/>
                <w:szCs w:val="20"/>
              </w:rPr>
              <w:t xml:space="preserve">In the case of highly emetogenic/ moderate emetogenic therapies in particular, the guideline-compliant antiemetic prophylaxis and therapy should be included in the treatment plan: </w:t>
            </w:r>
            <w:hyperlink xmlns:r="http://schemas.openxmlformats.org/officeDocument/2006/relationships" r:id="R3" w:tgtFrame="_blank">
              <w:r>
                <w:rPr>
                  <w:rFonts w:ascii="Arial" w:hAnsi="Arial" w:cs="Arial"/>
                  <w:color w:val="0000FF"/>
                  <w:sz w:val="20"/>
                  <w:szCs w:val="20"/>
                  <w:u w:val="single"/>
                </w:rPr>
                <w:t>http://www.leitlinienprogramm-onkologie.de/leitlinien/supportive-therapie/</w:t>
              </w:r>
            </w:hyperlink>
            <w:r>
              <w:rPr>
                <w:rFonts w:ascii="Arial" w:hAnsi="Arial" w:cs="Arial"/>
                <w:sz w:val="20"/>
                <w:szCs w:val="20"/>
              </w:rPr>
              <w:t>, Tab. 33.</w:t>
            </w:r>
          </w:p>
          <w:p>
            <w:pPr>
              <w:numPr>
                <w:ilvl w:val="0"/>
                <w:numId w:val="138"/>
              </w:numPr>
              <w:spacing w:before="0" w:after="19"/>
              <w:ind w:hanging="283" w:left="283" w:right="0"/>
              <w:rPr>
                <w:rFonts w:ascii="Arial" w:hAnsi="Arial" w:cs="Arial"/>
                <w:sz w:val="20"/>
                <w:szCs w:val="20"/>
              </w:rPr>
            </w:pPr>
            <w:r>
              <w:rPr>
                <w:rFonts w:ascii="Arial" w:hAnsi="Arial" w:cs="Arial"/>
                <w:sz w:val="20"/>
                <w:szCs w:val="20"/>
              </w:rPr>
              <w:t>The pharmacists' expertise can be sought before approving or changing the treatment regimens.</w:t>
            </w:r>
          </w:p>
          <w:p>
            <w:pPr>
              <w:numPr>
                <w:ilvl w:val="0"/>
                <w:numId w:val="138"/>
              </w:numPr>
              <w:spacing w:before="0" w:after="19"/>
              <w:ind w:hanging="283" w:left="283" w:right="0"/>
              <w:rPr>
                <w:rFonts w:ascii="Arial" w:hAnsi="Arial" w:cs="Arial"/>
                <w:sz w:val="20"/>
                <w:szCs w:val="20"/>
              </w:rPr>
            </w:pPr>
            <w:r>
              <w:rPr>
                <w:rFonts w:ascii="Arial" w:hAnsi="Arial" w:cs="Arial"/>
                <w:sz w:val="20"/>
                <w:szCs w:val="20"/>
              </w:rPr>
              <w:t>The treatment regimens must be protected against unintentional changes.</w:t>
            </w:r>
          </w:p>
          <w:p>
            <w:pPr>
              <w:numPr>
                <w:ilvl w:val="0"/>
                <w:numId w:val="138"/>
              </w:numPr>
              <w:spacing w:before="0" w:after="19"/>
              <w:ind w:hanging="283" w:left="283" w:right="0"/>
              <w:rPr>
                <w:rFonts w:ascii="Arial" w:hAnsi="Arial" w:cs="Arial"/>
                <w:sz w:val="20"/>
                <w:szCs w:val="20"/>
              </w:rPr>
            </w:pPr>
            <w:r>
              <w:rPr>
                <w:rFonts w:ascii="Arial" w:hAnsi="Arial" w:cs="Arial"/>
                <w:sz w:val="20"/>
                <w:szCs w:val="20"/>
              </w:rPr>
              <w:t>The treatment regimes are comparable between the outpatient and inpatient units.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b) Individual therapy plan</w:t>
            </w:r>
          </w:p>
          <w:p>
            <w:pPr>
              <w:numPr>
                <w:ilvl w:val="0"/>
                <w:numId w:val="139"/>
              </w:numPr>
              <w:spacing w:before="0" w:after="19"/>
              <w:ind w:hanging="283" w:left="283" w:right="0"/>
              <w:rPr>
                <w:rFonts w:ascii="Arial" w:hAnsi="Arial" w:cs="Arial"/>
                <w:sz w:val="20"/>
                <w:szCs w:val="20"/>
              </w:rPr>
            </w:pPr>
            <w:r>
              <w:rPr>
                <w:rFonts w:ascii="Arial" w:hAnsi="Arial" w:cs="Arial"/>
                <w:sz w:val="20"/>
                <w:szCs w:val="20"/>
              </w:rPr>
              <w:t>Every systemic therapy plan must be based on a therapy scheme.</w:t>
            </w:r>
          </w:p>
          <w:p>
            <w:pPr>
              <w:numPr>
                <w:ilvl w:val="0"/>
                <w:numId w:val="139"/>
              </w:numPr>
              <w:spacing w:before="0" w:after="19"/>
              <w:ind w:hanging="283" w:left="283" w:right="0"/>
              <w:rPr>
                <w:rFonts w:ascii="Arial" w:hAnsi="Arial" w:cs="Arial"/>
                <w:sz w:val="20"/>
                <w:szCs w:val="20"/>
              </w:rPr>
            </w:pPr>
            <w:r>
              <w:rPr>
                <w:rFonts w:ascii="Arial" w:hAnsi="Arial" w:cs="Arial"/>
                <w:sz w:val="20"/>
                <w:szCs w:val="20"/>
              </w:rPr>
              <w:t>The treatment plan must be reviewed and approved.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c) Release/ administration of the therapy</w:t>
            </w:r>
          </w:p>
          <w:p>
            <w:pPr>
              <w:spacing w:before="0" w:after="19"/>
              <w:rPr>
                <w:rFonts w:ascii="Arial" w:hAnsi="Arial" w:cs="Arial"/>
                <w:sz w:val="20"/>
                <w:szCs w:val="20"/>
                <w:lang w:val="ro-RO" w:bidi="ar-SA"/>
              </w:rPr>
            </w:pPr>
            <w:r>
              <w:rPr>
                <w:rFonts w:ascii="Arial" w:hAnsi="Arial" w:cs="Arial"/>
                <w:sz w:val="20"/>
                <w:szCs w:val="20"/>
              </w:rPr>
              <w:t>The therapy must be checked on the day of application, released for the patient and the administration including the time documented.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6.2.9</w:t>
            </w:r>
          </w:p>
        </w:tc>
        <w:tc>
          <w:tcPr>
            <w:tcW w:w="1" w:type="dxa"/>
          </w:tcPr>
          <w:p>
            <w:pPr>
              <w:spacing w:before="0" w:after="19"/>
              <w:ind w:left="0" w:right="0"/>
              <w:rPr>
                <w:rFonts w:ascii="Arial" w:hAnsi="Arial" w:cs="Arial"/>
                <w:sz w:val="20"/>
                <w:szCs w:val="20"/>
              </w:rPr>
            </w:pPr>
            <w:r>
              <w:rPr>
                <w:rFonts w:ascii="Arial" w:hAnsi="Arial" w:cs="Arial"/>
                <w:sz w:val="20"/>
                <w:szCs w:val="20"/>
              </w:rPr>
              <w:t>Cytostatic preparation</w:t>
            </w:r>
          </w:p>
          <w:p>
            <w:pPr>
              <w:numPr>
                <w:ilvl w:val="0"/>
                <w:numId w:val="140"/>
              </w:numPr>
              <w:spacing w:before="0" w:after="19"/>
              <w:ind w:hanging="283" w:left="283" w:right="0"/>
              <w:rPr>
                <w:rFonts w:ascii="Arial" w:hAnsi="Arial" w:cs="Arial"/>
                <w:sz w:val="20"/>
                <w:szCs w:val="20"/>
              </w:rPr>
            </w:pPr>
            <w:r>
              <w:rPr>
                <w:rFonts w:ascii="Arial" w:hAnsi="Arial" w:cs="Arial"/>
                <w:sz w:val="20"/>
                <w:szCs w:val="20"/>
              </w:rPr>
              <w:t>Production takes place in a pharmacy in compliance with the legal requirements (including AMG, GMP, GCP, Eudralex (Vol. 10)). If this is not part of the organisation, a supply contract must be concluded.</w:t>
            </w:r>
          </w:p>
          <w:p>
            <w:pPr>
              <w:numPr>
                <w:ilvl w:val="0"/>
                <w:numId w:val="140"/>
              </w:numPr>
              <w:spacing w:before="0" w:after="19"/>
              <w:ind w:hanging="283" w:left="283" w:right="0"/>
              <w:rPr>
                <w:rFonts w:ascii="Arial" w:hAnsi="Arial" w:cs="Arial"/>
                <w:sz w:val="20"/>
                <w:szCs w:val="20"/>
              </w:rPr>
            </w:pPr>
            <w:r>
              <w:rPr>
                <w:rFonts w:ascii="Arial" w:hAnsi="Arial" w:cs="Arial"/>
                <w:sz w:val="20"/>
                <w:szCs w:val="20"/>
              </w:rPr>
              <w:t>Consultation with the pharmacy must be possible during the time the therapy is being administered. 24-hour on-call service required for inpatients.</w:t>
            </w:r>
          </w:p>
          <w:p>
            <w:pPr>
              <w:numPr>
                <w:ilvl w:val="0"/>
                <w:numId w:val="140"/>
              </w:numPr>
              <w:spacing w:before="0" w:after="19"/>
              <w:ind w:hanging="283" w:left="283"/>
              <w:rPr>
                <w:rFonts w:ascii="Arial" w:hAnsi="Arial" w:cs="Arial"/>
                <w:sz w:val="20"/>
                <w:szCs w:val="20"/>
                <w:lang w:val="ro-RO" w:bidi="ar-SA"/>
              </w:rPr>
            </w:pPr>
            <w:r>
              <w:rPr>
                <w:rFonts w:ascii="Arial" w:hAnsi="Arial" w:cs="Arial"/>
                <w:sz w:val="20"/>
                <w:szCs w:val="20"/>
              </w:rPr>
              <w:t>Process descriptions for production must be drawn up.</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6.2.10</w:t>
            </w:r>
          </w:p>
        </w:tc>
        <w:tc>
          <w:tcPr>
            <w:tcW w:w="1" w:type="dxa"/>
          </w:tcPr>
          <w:p>
            <w:pPr>
              <w:spacing w:before="0" w:after="19"/>
              <w:ind w:left="0" w:right="0"/>
              <w:rPr>
                <w:rFonts w:ascii="Arial" w:hAnsi="Arial" w:cs="Arial"/>
                <w:sz w:val="20"/>
                <w:szCs w:val="20"/>
              </w:rPr>
            </w:pPr>
            <w:r>
              <w:rPr>
                <w:rFonts w:ascii="Arial" w:hAnsi="Arial" w:cs="Arial"/>
                <w:sz w:val="20"/>
                <w:szCs w:val="20"/>
              </w:rPr>
              <w:t>Process descriptions</w:t>
            </w:r>
          </w:p>
          <w:p>
            <w:pPr>
              <w:numPr>
                <w:ilvl w:val="0"/>
                <w:numId w:val="141"/>
              </w:numPr>
              <w:spacing w:before="0" w:after="19"/>
              <w:ind w:hanging="283" w:left="283" w:right="0"/>
              <w:rPr>
                <w:rFonts w:ascii="Arial" w:hAnsi="Arial" w:cs="Arial"/>
                <w:sz w:val="20"/>
                <w:szCs w:val="20"/>
              </w:rPr>
            </w:pPr>
            <w:r>
              <w:rPr>
                <w:rFonts w:ascii="Arial" w:hAnsi="Arial" w:cs="Arial"/>
                <w:sz w:val="20"/>
                <w:szCs w:val="20"/>
              </w:rPr>
              <w:t>The delegation of medical tasks to nursing staff (e.g. application of cytostatics) must be described.</w:t>
            </w:r>
          </w:p>
          <w:p>
            <w:pPr>
              <w:numPr>
                <w:ilvl w:val="0"/>
                <w:numId w:val="141"/>
              </w:numPr>
              <w:spacing w:before="0" w:after="19"/>
              <w:ind w:hanging="283" w:left="283" w:right="0"/>
              <w:rPr>
                <w:rFonts w:ascii="Arial" w:hAnsi="Arial" w:cs="Arial"/>
                <w:sz w:val="20"/>
                <w:szCs w:val="20"/>
              </w:rPr>
            </w:pPr>
            <w:r>
              <w:rPr>
                <w:rFonts w:ascii="Arial" w:hAnsi="Arial" w:cs="Arial"/>
                <w:sz w:val="20"/>
                <w:szCs w:val="20"/>
              </w:rPr>
              <w:t>The procedure for drug-based oncological therapy must be described for all phases (start of therapy, implementation of therapy and completion of therapy).</w:t>
            </w:r>
          </w:p>
          <w:p>
            <w:pPr>
              <w:numPr>
                <w:ilvl w:val="0"/>
                <w:numId w:val="141"/>
              </w:numPr>
              <w:spacing w:before="0" w:after="19"/>
              <w:ind w:hanging="283" w:left="283"/>
              <w:rPr>
                <w:rFonts w:ascii="Arial" w:hAnsi="Arial" w:cs="Arial"/>
                <w:sz w:val="20"/>
                <w:szCs w:val="20"/>
                <w:lang w:val="ro-RO" w:bidi="ar-SA"/>
              </w:rPr>
            </w:pPr>
            <w:r>
              <w:rPr>
                <w:rFonts w:ascii="Arial" w:hAnsi="Arial" w:cs="Arial"/>
                <w:sz w:val="20"/>
                <w:szCs w:val="20"/>
              </w:rPr>
              <w:t>Guideline-compliant supportive measures must be described for the individual therapy concepts and documented in detail for each patient.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6.2.11</w:t>
            </w:r>
          </w:p>
        </w:tc>
        <w:tc>
          <w:tcPr>
            <w:tcW w:w="1" w:type="dxa"/>
          </w:tcPr>
          <w:p>
            <w:pPr>
              <w:spacing w:before="0" w:after="19"/>
              <w:ind w:left="0" w:right="0"/>
              <w:rPr>
                <w:rFonts w:ascii="Arial" w:hAnsi="Arial" w:cs="Arial"/>
                <w:sz w:val="20"/>
                <w:szCs w:val="20"/>
              </w:rPr>
            </w:pPr>
            <w:r>
              <w:rPr>
                <w:rFonts w:ascii="Arial" w:hAnsi="Arial" w:cs="Arial"/>
                <w:sz w:val="20"/>
                <w:szCs w:val="20"/>
              </w:rPr>
              <w:t>Standards Concomitant and secondary diseases</w:t>
            </w:r>
          </w:p>
          <w:p>
            <w:pPr>
              <w:spacing w:before="0" w:after="19"/>
              <w:ind w:left="0" w:right="0"/>
              <w:rPr>
                <w:rFonts w:ascii="Arial" w:hAnsi="Arial" w:cs="Arial"/>
                <w:sz w:val="20"/>
                <w:szCs w:val="20"/>
              </w:rPr>
            </w:pPr>
            <w:r>
              <w:rPr>
                <w:rFonts w:ascii="Arial" w:hAnsi="Arial" w:cs="Arial"/>
                <w:sz w:val="20"/>
                <w:szCs w:val="20"/>
              </w:rPr>
              <w:t>For the prophylaxis/ therapy of concomitant and secondary diseases,</w:t>
            </w:r>
          </w:p>
          <w:p>
            <w:pPr>
              <w:numPr>
                <w:ilvl w:val="0"/>
                <w:numId w:val="142"/>
              </w:numPr>
              <w:spacing w:before="0" w:after="19"/>
              <w:ind w:hanging="283" w:left="283" w:right="0"/>
              <w:rPr>
                <w:rFonts w:ascii="Arial" w:hAnsi="Arial" w:cs="Arial"/>
                <w:sz w:val="20"/>
                <w:szCs w:val="20"/>
              </w:rPr>
            </w:pPr>
            <w:r>
              <w:rPr>
                <w:rFonts w:ascii="Arial" w:hAnsi="Arial" w:cs="Arial"/>
                <w:sz w:val="20"/>
                <w:szCs w:val="20"/>
              </w:rPr>
              <w:t>in particular the treatment of extravasations (extravasation set and SOP), infections, thromboembolic complications, allergic reactions and procedures for fever in neutropenia</w:t>
            </w:r>
          </w:p>
          <w:p>
            <w:pPr>
              <w:numPr>
                <w:ilvl w:val="0"/>
                <w:numId w:val="142"/>
              </w:numPr>
              <w:spacing w:before="0" w:after="19"/>
              <w:ind w:hanging="283" w:left="283" w:right="0"/>
              <w:rPr>
                <w:rFonts w:ascii="Arial" w:hAnsi="Arial" w:cs="Arial"/>
                <w:sz w:val="20"/>
                <w:szCs w:val="20"/>
              </w:rPr>
            </w:pPr>
            <w:r>
              <w:rPr>
                <w:rFonts w:ascii="Arial" w:hAnsi="Arial" w:cs="Arial"/>
                <w:sz w:val="20"/>
                <w:szCs w:val="20"/>
              </w:rPr>
              <w:t>and side effect management for immunological and targeted therapies (e.g. osteoprotection with bisphosphonates, RANK ligand-AK, dental/ maxillofacial surgical examination before starting therapy),</w:t>
            </w:r>
          </w:p>
          <w:p>
            <w:pPr>
              <w:numPr>
                <w:ilvl w:val="0"/>
                <w:numId w:val="142"/>
              </w:numPr>
              <w:spacing w:before="0" w:after="19"/>
              <w:ind w:hanging="283" w:left="283"/>
              <w:rPr>
                <w:rFonts w:ascii="Arial" w:hAnsi="Arial" w:cs="Arial"/>
                <w:sz w:val="20"/>
                <w:szCs w:val="20"/>
                <w:lang w:val="ro-RO" w:bidi="ar-SA"/>
              </w:rPr>
            </w:pPr>
            <w:r>
              <w:rPr>
                <w:rFonts w:ascii="Arial" w:hAnsi="Arial" w:cs="Arial"/>
                <w:sz w:val="20"/>
                <w:szCs w:val="20"/>
              </w:rPr>
              <w:t>standards must be drawn up and the training for doctors and nursing staff must be documented (protocol).</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6.2.12</w:t>
            </w:r>
          </w:p>
        </w:tc>
        <w:tc>
          <w:tcPr>
            <w:tcW w:w="1" w:type="dxa"/>
          </w:tcPr>
          <w:p>
            <w:pPr>
              <w:spacing w:before="0" w:after="19"/>
              <w:ind w:left="0" w:right="0"/>
              <w:rPr>
                <w:rFonts w:ascii="Arial" w:hAnsi="Arial" w:cs="Arial"/>
                <w:sz w:val="20"/>
                <w:szCs w:val="20"/>
              </w:rPr>
            </w:pPr>
            <w:r>
              <w:rPr>
                <w:rFonts w:ascii="Arial" w:hAnsi="Arial" w:cs="Arial"/>
                <w:sz w:val="20"/>
                <w:szCs w:val="20"/>
              </w:rPr>
              <w:t>Emergency treatment</w:t>
            </w:r>
          </w:p>
          <w:p>
            <w:pPr>
              <w:numPr>
                <w:ilvl w:val="0"/>
                <w:numId w:val="143"/>
              </w:numPr>
              <w:spacing w:before="0" w:after="19"/>
              <w:ind w:hanging="283" w:left="283" w:right="0"/>
              <w:rPr>
                <w:rFonts w:ascii="Arial" w:hAnsi="Arial" w:cs="Arial"/>
                <w:sz w:val="20"/>
                <w:szCs w:val="20"/>
              </w:rPr>
            </w:pPr>
            <w:r>
              <w:rPr>
                <w:rFonts w:ascii="Arial" w:hAnsi="Arial" w:cs="Arial"/>
                <w:sz w:val="20"/>
                <w:szCs w:val="20"/>
              </w:rPr>
              <w:t>Availability of emergency equipment and written emergency plan.</w:t>
            </w:r>
          </w:p>
          <w:p>
            <w:pPr>
              <w:numPr>
                <w:ilvl w:val="0"/>
                <w:numId w:val="143"/>
              </w:numPr>
              <w:spacing w:before="0" w:after="19"/>
              <w:ind w:hanging="283" w:left="283"/>
              <w:rPr>
                <w:rFonts w:ascii="Arial" w:hAnsi="Arial" w:cs="Arial"/>
                <w:sz w:val="20"/>
                <w:szCs w:val="20"/>
                <w:lang w:val="ro-RO" w:bidi="ar-SA"/>
              </w:rPr>
            </w:pPr>
            <w:r>
              <w:rPr>
                <w:rFonts w:ascii="Arial" w:hAnsi="Arial" w:cs="Arial"/>
                <w:sz w:val="20"/>
                <w:szCs w:val="20"/>
              </w:rPr>
              <w:t>Annual training of the medical staff of the treatment centre must be documented (content e.g. allergic shock, resuscitation, etc.). The training records must be documented (training records with attendance for the last 12 months).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6.2.13</w:t>
            </w:r>
          </w:p>
        </w:tc>
        <w:tc>
          <w:tcPr>
            <w:tcW w:w="1" w:type="dxa"/>
          </w:tcPr>
          <w:p>
            <w:pPr>
              <w:spacing w:before="0" w:after="19"/>
              <w:ind w:left="0" w:right="0"/>
              <w:rPr>
                <w:rFonts w:ascii="Arial" w:hAnsi="Arial" w:cs="Arial"/>
                <w:sz w:val="20"/>
                <w:szCs w:val="20"/>
              </w:rPr>
            </w:pPr>
            <w:r>
              <w:rPr>
                <w:rFonts w:ascii="Arial" w:hAnsi="Arial" w:cs="Arial"/>
                <w:sz w:val="20"/>
                <w:szCs w:val="20"/>
              </w:rPr>
              <w:t>Case-related information/ dialogue with patients in accordance with the participatory decision-making model</w:t>
            </w:r>
          </w:p>
          <w:p>
            <w:pPr>
              <w:spacing w:before="0" w:after="19"/>
              <w:ind w:left="0" w:right="0"/>
              <w:rPr>
                <w:rFonts w:ascii="Arial" w:hAnsi="Arial" w:cs="Arial"/>
                <w:sz w:val="20"/>
                <w:szCs w:val="20"/>
              </w:rPr>
            </w:pPr>
            <w:r>
              <w:rPr>
                <w:rFonts w:ascii="Arial" w:hAnsi="Arial" w:cs="Arial"/>
                <w:sz w:val="20"/>
                <w:szCs w:val="20"/>
              </w:rPr>
              <w:t>With regard to diagnosis and treatment planning, sufficient information must be provided and a discussion must be held. This includes, among other things</w:t>
            </w:r>
          </w:p>
          <w:p>
            <w:pPr>
              <w:numPr>
                <w:ilvl w:val="0"/>
                <w:numId w:val="144"/>
              </w:numPr>
              <w:spacing w:before="0" w:after="19"/>
              <w:ind w:hanging="283" w:left="283" w:right="0"/>
              <w:rPr>
                <w:rFonts w:ascii="Arial" w:hAnsi="Arial" w:cs="Arial"/>
                <w:sz w:val="20"/>
                <w:szCs w:val="20"/>
              </w:rPr>
            </w:pPr>
            <w:r>
              <w:rPr>
                <w:rFonts w:ascii="Arial" w:hAnsi="Arial" w:cs="Arial"/>
                <w:sz w:val="20"/>
                <w:szCs w:val="20"/>
              </w:rPr>
              <w:t>Opportunities and risks of the therapy.</w:t>
            </w:r>
          </w:p>
          <w:p>
            <w:pPr>
              <w:numPr>
                <w:ilvl w:val="0"/>
                <w:numId w:val="144"/>
              </w:numPr>
              <w:spacing w:before="0" w:after="19"/>
              <w:ind w:hanging="283" w:left="283" w:right="0"/>
              <w:rPr>
                <w:rFonts w:ascii="Arial" w:hAnsi="Arial" w:cs="Arial"/>
                <w:sz w:val="20"/>
                <w:szCs w:val="20"/>
              </w:rPr>
            </w:pPr>
            <w:r>
              <w:rPr>
                <w:rFonts w:ascii="Arial" w:hAnsi="Arial" w:cs="Arial"/>
                <w:sz w:val="20"/>
                <w:szCs w:val="20"/>
              </w:rPr>
              <w:t>Presentation of alternative treatment concepts (including palliation where appropriate).</w:t>
            </w:r>
          </w:p>
          <w:p>
            <w:pPr>
              <w:numPr>
                <w:ilvl w:val="0"/>
                <w:numId w:val="144"/>
              </w:numPr>
              <w:spacing w:before="0" w:after="19"/>
              <w:ind w:hanging="283" w:left="283" w:right="0"/>
              <w:rPr>
                <w:rFonts w:ascii="Arial" w:hAnsi="Arial" w:cs="Arial"/>
                <w:sz w:val="20"/>
                <w:szCs w:val="20"/>
              </w:rPr>
            </w:pPr>
            <w:r>
              <w:rPr>
                <w:rFonts w:ascii="Arial" w:hAnsi="Arial" w:cs="Arial"/>
                <w:sz w:val="20"/>
                <w:szCs w:val="20"/>
              </w:rPr>
              <w:t>Offer and mediation of second opinions.</w:t>
            </w:r>
          </w:p>
          <w:p>
            <w:pPr>
              <w:numPr>
                <w:ilvl w:val="0"/>
                <w:numId w:val="144"/>
              </w:numPr>
              <w:spacing w:before="0" w:after="19"/>
              <w:ind w:hanging="283" w:left="283" w:right="0"/>
              <w:rPr>
                <w:rFonts w:ascii="Arial" w:hAnsi="Arial" w:cs="Arial"/>
                <w:sz w:val="20"/>
                <w:szCs w:val="20"/>
              </w:rPr>
            </w:pPr>
            <w:r>
              <w:rPr>
                <w:rFonts w:ascii="Arial" w:hAnsi="Arial" w:cs="Arial"/>
                <w:sz w:val="20"/>
                <w:szCs w:val="20"/>
              </w:rPr>
              <w:t>Final meetings as standard.</w:t>
            </w:r>
          </w:p>
          <w:p>
            <w:pPr>
              <w:numPr>
                <w:ilvl w:val="0"/>
                <w:numId w:val="144"/>
              </w:numPr>
              <w:spacing w:before="0" w:after="19"/>
              <w:ind w:hanging="283" w:left="283" w:right="0"/>
              <w:rPr>
                <w:rFonts w:ascii="Arial" w:hAnsi="Arial" w:cs="Arial"/>
                <w:sz w:val="20"/>
                <w:szCs w:val="20"/>
              </w:rPr>
            </w:pPr>
            <w:r>
              <w:rPr>
                <w:rFonts w:ascii="Arial" w:hAnsi="Arial" w:cs="Arial"/>
                <w:sz w:val="20"/>
                <w:szCs w:val="20"/>
              </w:rPr>
              <w:t>Written patient information (information sheet) on immunological/ targeted therapies and vaccination recommendations for immunosuppression, among other things, should be given to the patient.</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Patient-related discussions must be documented in medical reports or other protocols/ records.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6.2.14</w:t>
            </w:r>
          </w:p>
        </w:tc>
        <w:tc>
          <w:tcPr>
            <w:tcW w:w="1" w:type="dxa"/>
          </w:tcPr>
          <w:p>
            <w:pPr>
              <w:spacing w:before="0" w:after="19"/>
              <w:ind w:left="0" w:right="0"/>
              <w:rPr>
                <w:rFonts w:ascii="Arial" w:hAnsi="Arial" w:cs="Arial"/>
                <w:sz w:val="20"/>
                <w:szCs w:val="20"/>
              </w:rPr>
            </w:pPr>
            <w:r>
              <w:rPr>
                <w:rFonts w:ascii="Arial" w:hAnsi="Arial" w:cs="Arial"/>
                <w:sz w:val="20"/>
                <w:szCs w:val="20"/>
              </w:rPr>
              <w:t>Information on therapy implementation/ planning</w:t>
            </w:r>
          </w:p>
          <w:p>
            <w:pPr>
              <w:spacing w:before="0" w:after="19"/>
              <w:ind w:left="0" w:right="0"/>
              <w:rPr>
                <w:rFonts w:ascii="Arial" w:hAnsi="Arial" w:cs="Arial"/>
                <w:sz w:val="20"/>
                <w:szCs w:val="20"/>
              </w:rPr>
            </w:pPr>
            <w:r>
              <w:rPr>
                <w:rFonts w:ascii="Arial" w:hAnsi="Arial" w:cs="Arial"/>
                <w:sz w:val="20"/>
                <w:szCs w:val="20"/>
              </w:rPr>
              <w:t>After each application of systemic therapy, the patient and/ or the doctor providing further treatment receive information about the current status of therapy and further planning (blood tests, etc.), e.g. via a follow-up care/ therapy pass.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 xml:space="preserve">Discharge letter </w:t>
            </w:r>
          </w:p>
          <w:p>
            <w:pPr>
              <w:spacing w:before="0" w:after="19"/>
              <w:rPr>
                <w:rFonts w:ascii="Arial" w:hAnsi="Arial" w:cs="Arial"/>
                <w:sz w:val="20"/>
                <w:szCs w:val="20"/>
                <w:lang w:val="ro-RO" w:bidi="ar-SA"/>
              </w:rPr>
            </w:pPr>
            <w:r>
              <w:rPr>
                <w:rFonts w:ascii="Arial" w:hAnsi="Arial" w:cs="Arial"/>
                <w:sz w:val="20"/>
                <w:szCs w:val="20"/>
              </w:rPr>
              <w:t>After completion of systemic therapy (last application) and/ or in the event of a change in therapy and/ or after final staging/ cancellation of therapy, the continuing or co-treating doctor will receive the final discharge letter within 7 days.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6.2.15</w:t>
            </w:r>
          </w:p>
        </w:tc>
        <w:tc>
          <w:tcPr>
            <w:tcW w:w="1" w:type="dxa"/>
          </w:tcPr>
          <w:p>
            <w:pPr>
              <w:spacing w:before="0" w:after="19"/>
              <w:ind w:left="0" w:right="0"/>
              <w:rPr>
                <w:rFonts w:ascii="Arial" w:hAnsi="Arial" w:cs="Arial"/>
                <w:sz w:val="20"/>
                <w:szCs w:val="20"/>
              </w:rPr>
            </w:pPr>
            <w:r>
              <w:rPr>
                <w:rFonts w:ascii="Arial" w:hAnsi="Arial" w:cs="Arial"/>
                <w:sz w:val="20"/>
                <w:szCs w:val="20"/>
              </w:rPr>
              <w:t>Induction training for new employees</w:t>
            </w:r>
          </w:p>
          <w:p>
            <w:pPr>
              <w:spacing w:before="0" w:after="19"/>
              <w:ind w:left="0" w:right="0"/>
              <w:rPr>
                <w:rFonts w:ascii="Arial" w:hAnsi="Arial" w:cs="Arial"/>
                <w:sz w:val="20"/>
                <w:szCs w:val="20"/>
              </w:rPr>
            </w:pPr>
            <w:r>
              <w:rPr>
                <w:rFonts w:ascii="Arial" w:hAnsi="Arial" w:cs="Arial"/>
                <w:sz w:val="20"/>
                <w:szCs w:val="20"/>
              </w:rPr>
              <w:t>A systematic, recorded induction for new employees must be ensured, which imparts knowledge of the centre in relation to the respective area of activity.</w:t>
            </w:r>
          </w:p>
          <w:p>
            <w:pPr>
              <w:spacing w:before="0" w:after="19"/>
              <w:ind w:left="0" w:right="0"/>
              <w:rPr>
                <w:rFonts w:ascii="Arial" w:hAnsi="Arial" w:cs="Arial"/>
                <w:sz w:val="20"/>
                <w:szCs w:val="20"/>
              </w:rPr>
            </w:pPr>
            <w:r>
              <w:rPr>
                <w:rFonts w:ascii="Arial" w:hAnsi="Arial" w:cs="Arial"/>
                <w:sz w:val="20"/>
                <w:szCs w:val="20"/>
              </w:rPr>
              <w:t>This familiarisation must take place within 3 months of the start of employment.</w:t>
            </w:r>
          </w:p>
          <w:p>
            <w:pPr>
              <w:spacing w:before="0" w:after="19"/>
              <w:rPr>
                <w:rFonts w:ascii="Arial" w:hAnsi="Arial" w:cs="Arial"/>
                <w:sz w:val="20"/>
                <w:szCs w:val="20"/>
                <w:lang w:val="ro-RO" w:bidi="ar-SA"/>
              </w:rPr>
            </w:pPr>
            <w:r>
              <w:rPr>
                <w:rFonts w:ascii="Arial" w:hAnsi="Arial" w:cs="Arial"/>
                <w:sz w:val="20"/>
                <w:szCs w:val="20"/>
              </w:rPr>
              <w:t>Proof of implementation of the induction concept must be provided (submission of lists of newly hired employees from the last 12 months).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6.2.16</w:t>
            </w:r>
          </w:p>
        </w:tc>
        <w:tc>
          <w:tcPr>
            <w:tcW w:w="1" w:type="dxa"/>
          </w:tcPr>
          <w:p>
            <w:pPr>
              <w:spacing w:before="0" w:after="19"/>
              <w:ind w:left="0" w:right="0"/>
              <w:rPr>
                <w:rFonts w:ascii="Arial" w:hAnsi="Arial" w:cs="Arial"/>
                <w:sz w:val="20"/>
                <w:szCs w:val="20"/>
              </w:rPr>
            </w:pPr>
            <w:r>
              <w:rPr>
                <w:rFonts w:ascii="Arial" w:hAnsi="Arial" w:cs="Arial"/>
                <w:sz w:val="20"/>
                <w:szCs w:val="20"/>
              </w:rPr>
              <w:t>Continuing training</w:t>
            </w:r>
          </w:p>
          <w:p>
            <w:pPr>
              <w:numPr>
                <w:ilvl w:val="0"/>
                <w:numId w:val="145"/>
              </w:numPr>
              <w:spacing w:before="0" w:after="19"/>
              <w:ind w:hanging="283" w:left="283" w:right="0"/>
              <w:rPr>
                <w:rFonts w:ascii="Arial" w:hAnsi="Arial" w:cs="Arial"/>
                <w:sz w:val="20"/>
                <w:szCs w:val="20"/>
              </w:rPr>
            </w:pPr>
            <w:r>
              <w:rPr>
                <w:rFonts w:ascii="Arial" w:hAnsi="Arial" w:cs="Arial"/>
                <w:sz w:val="20"/>
                <w:szCs w:val="20"/>
              </w:rPr>
              <w:t>A qualification plan for the medical and nursing staff must be submitted in which the qualifications planned for a one-year period are presented.</w:t>
            </w:r>
          </w:p>
          <w:p>
            <w:pPr>
              <w:numPr>
                <w:ilvl w:val="0"/>
                <w:numId w:val="145"/>
              </w:numPr>
              <w:spacing w:before="0" w:after="19"/>
              <w:ind w:hanging="283" w:left="283"/>
              <w:rPr>
                <w:rFonts w:ascii="Arial" w:hAnsi="Arial" w:cs="Arial"/>
                <w:sz w:val="20"/>
                <w:szCs w:val="20"/>
                <w:lang w:val="ro-RO" w:bidi="ar-SA"/>
              </w:rPr>
            </w:pPr>
            <w:r>
              <w:rPr>
                <w:rFonts w:ascii="Arial" w:hAnsi="Arial" w:cs="Arial"/>
                <w:sz w:val="20"/>
                <w:szCs w:val="20"/>
              </w:rPr>
              <w:t xml:space="preserve">At least 1 specific further education/ training course per employee per year (at least 1 day per year), provided that the employee performs quality-relevant activities for the Centre for </w:t>
            </w:r>
            <w:r>
              <w:rPr>
                <w:rFonts w:ascii="Arial" w:hAnsi="Arial" w:cs="Arial" w:eastAsia="Calibri"/>
                <w:sz w:val="20"/>
                <w:szCs w:val="20"/>
              </w:rPr>
              <w:t>Haematological Neoplasms</w:t>
            </w:r>
            <w:r>
              <w:rPr>
                <w:rFonts w:ascii="Arial" w:hAnsi="Arial" w:cs="Arial"/>
                <w:sz w:val="20"/>
                <w:szCs w:val="20"/>
              </w:rPr>
              <w:t>.</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7.</w:t>
        <w:tab/>
        <w:t xml:space="preserve"> Radio-oncology</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7.0</w:t>
            </w:r>
          </w:p>
        </w:tc>
        <w:tc>
          <w:tcPr>
            <w:tcW w:w="1" w:type="dxa"/>
          </w:tcPr>
          <w:p>
            <w:pPr>
              <w:spacing w:before="0" w:after="19"/>
              <w:ind w:left="0" w:right="0"/>
              <w:rPr>
                <w:rFonts w:ascii="Arial" w:hAnsi="Arial" w:cs="Arial"/>
                <w:sz w:val="20"/>
                <w:szCs w:val="20"/>
              </w:rPr>
            </w:pPr>
            <w:r>
              <w:rPr>
                <w:rFonts w:ascii="Arial" w:hAnsi="Arial" w:cs="Arial"/>
                <w:sz w:val="20"/>
                <w:szCs w:val="20"/>
              </w:rPr>
              <w:t>The Technical and Medical Requirements to be met by radio-oncology are summed up in the "Catalogue of Requirements Radio-Oncology" in a cross-organ manner. Independently of the number of Organ Cancer Centres/ Modules, which work with a radio-oncology unit, this "Catalogue of Requirements Radio-Oncology" is only to be processed once and also only updated once per audit year (goal: no multiple presentations or on-site inspections within one audit year). The "Catalogue of Requirements Radio-Oncology" therefore constitutes an annex to this Catalogue of Requirements.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 xml:space="preserve">Download cross-organ "Catalogue of Requirements Radio-oncology" on </w:t>
            </w:r>
            <w:hyperlink xmlns:r="http://schemas.openxmlformats.org/officeDocument/2006/relationships" r:id="R4" w:tgtFrame="_blank">
              <w:r>
                <w:rPr>
                  <w:rFonts w:ascii="Arial" w:hAnsi="Arial" w:cs="Arial"/>
                  <w:color w:val="0000FF"/>
                  <w:sz w:val="20"/>
                  <w:szCs w:val="20"/>
                  <w:u w:val="single"/>
                </w:rPr>
                <w:t>www.ecc-cert.org</w:t>
              </w:r>
            </w:hyperlink>
            <w:r>
              <w:rPr>
                <w:rFonts w:ascii="Arial" w:hAnsi="Arial" w:cs="Arial"/>
                <w:sz w:val="20"/>
                <w:szCs w:val="20"/>
              </w:rPr>
              <w:t xml:space="preserve"> and </w:t>
            </w:r>
            <w:hyperlink xmlns:r="http://schemas.openxmlformats.org/officeDocument/2006/relationships" r:id="R5" w:tgtFrame="_blank">
              <w:r>
                <w:rPr>
                  <w:rFonts w:ascii="Arial" w:hAnsi="Arial" w:cs="Arial"/>
                  <w:color w:val="0000FF"/>
                  <w:sz w:val="20"/>
                  <w:szCs w:val="20"/>
                  <w:u w:val="single"/>
                </w:rPr>
                <w:t>www.onkozert.de</w:t>
              </w:r>
            </w:hyperlink>
            <w:r>
              <w:rPr>
                <w:rFonts w:ascii="Arial" w:hAnsi="Arial" w:cs="Arial"/>
                <w:sz w:val="20"/>
                <w:szCs w:val="20"/>
              </w:rPr>
              <w:t>.</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8.</w:t>
        <w:tab/>
        <w:t xml:space="preserve"> Pathology</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8.0</w:t>
            </w:r>
          </w:p>
        </w:tc>
        <w:tc>
          <w:tcPr>
            <w:tcW w:w="1" w:type="dxa"/>
          </w:tcPr>
          <w:p>
            <w:pPr>
              <w:spacing w:before="0" w:after="19"/>
              <w:ind w:left="0" w:right="0"/>
              <w:rPr>
                <w:rFonts w:ascii="Arial" w:hAnsi="Arial" w:cs="Arial"/>
                <w:sz w:val="20"/>
                <w:szCs w:val="20"/>
              </w:rPr>
            </w:pPr>
            <w:r>
              <w:rPr>
                <w:rFonts w:ascii="Arial" w:hAnsi="Arial" w:cs="Arial"/>
                <w:sz w:val="20"/>
                <w:szCs w:val="20"/>
              </w:rPr>
              <w:t>The Technical and Medical Requirements to be met by pathology are summed up in the "Catalogue of Requirements Pathology" in a cross-organ manner. Independently of the number of Organ Cancer Centres/ Modules, which work with a pathology, this "Catalogue of Requirements Pathology" is only to be processed once and also only updated once per audit year (goal: no multiple presentations or on-site inspections within one audit year). The "Catalogue of Requirements Pathology" therefore constitutes an annex to this Catalogue of Requirements.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 xml:space="preserve">Download cross-organ "Catalogue of Requirements Pathology" on </w:t>
            </w:r>
            <w:hyperlink xmlns:r="http://schemas.openxmlformats.org/officeDocument/2006/relationships" r:id="R6" w:tgtFrame="_blank">
              <w:r>
                <w:rPr>
                  <w:rFonts w:ascii="Arial" w:hAnsi="Arial" w:cs="Arial"/>
                  <w:color w:val="0000FF"/>
                  <w:sz w:val="20"/>
                  <w:szCs w:val="20"/>
                  <w:u w:val="single"/>
                </w:rPr>
                <w:t>www.ecc-cert.org</w:t>
              </w:r>
            </w:hyperlink>
            <w:r>
              <w:rPr>
                <w:rFonts w:ascii="Arial" w:hAnsi="Arial" w:cs="Arial"/>
                <w:sz w:val="20"/>
                <w:szCs w:val="20"/>
              </w:rPr>
              <w:t xml:space="preserve"> and </w:t>
            </w:r>
            <w:hyperlink xmlns:r="http://schemas.openxmlformats.org/officeDocument/2006/relationships" r:id="R7" w:tgtFrame="_blank">
              <w:r>
                <w:rPr>
                  <w:rFonts w:ascii="Arial" w:hAnsi="Arial" w:cs="Arial"/>
                  <w:color w:val="0000FF"/>
                  <w:sz w:val="20"/>
                  <w:szCs w:val="20"/>
                  <w:u w:val="single"/>
                </w:rPr>
                <w:t>www.onkozert.de</w:t>
              </w:r>
            </w:hyperlink>
            <w:r>
              <w:rPr>
                <w:rFonts w:ascii="Arial" w:hAnsi="Arial" w:cs="Arial"/>
                <w:sz w:val="20"/>
                <w:szCs w:val="20"/>
              </w:rPr>
              <w: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8.1</w:t>
            </w:r>
          </w:p>
        </w:tc>
        <w:tc>
          <w:tcPr>
            <w:tcW w:w="1" w:type="dxa"/>
          </w:tcPr>
          <w:p>
            <w:pPr>
              <w:spacing w:before="0" w:after="19"/>
              <w:rPr>
                <w:rFonts w:ascii="Arial" w:hAnsi="Arial" w:cs="Arial"/>
                <w:sz w:val="20"/>
                <w:szCs w:val="20"/>
                <w:lang w:val="ro-RO" w:bidi="ar-SA"/>
              </w:rPr>
            </w:pPr>
            <w:r>
              <w:rPr>
                <w:rFonts w:ascii="Arial" w:hAnsi="Arial" w:cs="Arial"/>
                <w:sz w:val="20"/>
                <w:szCs w:val="20"/>
              </w:rPr>
              <w:t>In particular, successful participation in round robin tests (see CR Pathology Appendix 1) on flow cytometry and cytomorphology should be demonstrated.</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9.</w:t>
        <w:tab/>
        <w:t xml:space="preserve"> Palliative care and hospice care</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9.1</w:t>
            </w:r>
          </w:p>
        </w:tc>
        <w:tc>
          <w:tcPr>
            <w:tcW w:w="1" w:type="dxa"/>
          </w:tcPr>
          <w:p>
            <w:pPr>
              <w:spacing w:before="0" w:after="19"/>
              <w:ind w:left="0" w:right="0"/>
              <w:rPr>
                <w:rFonts w:ascii="Arial" w:hAnsi="Arial" w:cs="Arial"/>
                <w:sz w:val="20"/>
                <w:szCs w:val="20"/>
              </w:rPr>
            </w:pPr>
            <w:r>
              <w:rPr>
                <w:rFonts w:ascii="Arial" w:hAnsi="Arial" w:cs="Arial"/>
                <w:sz w:val="20"/>
                <w:szCs w:val="20"/>
              </w:rPr>
              <w:t>Compared to other tumour entities, patients with a h</w:t>
            </w:r>
            <w:r>
              <w:rPr>
                <w:rFonts w:ascii="Arial" w:hAnsi="Arial" w:cs="Arial" w:eastAsia="Calibri"/>
                <w:sz w:val="20"/>
                <w:szCs w:val="20"/>
              </w:rPr>
              <w:t>aematological neoplasms</w:t>
            </w:r>
            <w:r>
              <w:rPr>
                <w:rFonts w:ascii="Arial" w:hAnsi="Arial" w:cs="Arial"/>
                <w:sz w:val="20"/>
                <w:szCs w:val="20"/>
              </w:rPr>
              <w:t xml:space="preserve"> that cannot be cured by definition can have a significantly longer life expectancy. The timing of information about palliative medical support services should therefore be based on the needs of the patient in question.</w:t>
            </w:r>
          </w:p>
          <w:p>
            <w:pPr>
              <w:spacing w:before="0" w:after="19"/>
              <w:ind w:left="0" w:right="0"/>
              <w:rPr>
                <w:rFonts w:ascii="Arial" w:hAnsi="Arial" w:cs="Arial"/>
                <w:sz w:val="20"/>
                <w:szCs w:val="20"/>
              </w:rPr>
            </w:pPr>
            <w:r>
              <w:rPr>
                <w:rFonts w:ascii="Arial" w:hAnsi="Arial" w:cs="Arial"/>
                <w:sz w:val="20"/>
                <w:szCs w:val="20"/>
              </w:rPr>
              <w:t> </w:t>
            </w:r>
          </w:p>
          <w:p>
            <w:pPr>
              <w:numPr>
                <w:ilvl w:val="0"/>
                <w:numId w:val="146"/>
              </w:numPr>
              <w:spacing w:before="0" w:after="19"/>
              <w:ind w:hanging="283" w:left="283" w:right="0"/>
              <w:rPr>
                <w:rFonts w:ascii="Arial" w:hAnsi="Arial" w:cs="Arial"/>
                <w:sz w:val="20"/>
                <w:szCs w:val="20"/>
              </w:rPr>
            </w:pPr>
            <w:r>
              <w:rPr>
                <w:rFonts w:ascii="Arial" w:hAnsi="Arial" w:cs="Arial"/>
                <w:sz w:val="20"/>
                <w:szCs w:val="20"/>
              </w:rPr>
              <w:t>Cooperation agreements with service providers of specialised inpatient and outpatient palliative care and inpatient hospices must be demonstrated. Regional concepts for the integration of palliative care must be described on the basis of the treatment pathway for patients and relatives from the S3 guideline on palliative medicine (Fig. 1, page 47), naming all parties involved.</w:t>
            </w:r>
          </w:p>
          <w:p>
            <w:pPr>
              <w:numPr>
                <w:ilvl w:val="0"/>
                <w:numId w:val="146"/>
              </w:numPr>
              <w:spacing w:before="0" w:after="19"/>
              <w:ind w:hanging="283" w:left="283" w:right="0"/>
              <w:rPr>
                <w:rFonts w:ascii="Arial" w:hAnsi="Arial" w:cs="Arial"/>
                <w:sz w:val="20"/>
                <w:szCs w:val="20"/>
              </w:rPr>
            </w:pPr>
            <w:r>
              <w:rPr>
                <w:rFonts w:ascii="Arial" w:hAnsi="Arial" w:cs="Arial"/>
                <w:sz w:val="20"/>
                <w:szCs w:val="20"/>
              </w:rPr>
              <w:t>A doctor with additional training in palliative medicine must be available for consultations and tumour boards.</w:t>
            </w:r>
          </w:p>
          <w:p>
            <w:pPr>
              <w:numPr>
                <w:ilvl w:val="0"/>
                <w:numId w:val="146"/>
              </w:numPr>
              <w:spacing w:before="0" w:after="19"/>
              <w:ind w:hanging="283" w:left="283" w:right="0"/>
              <w:rPr>
                <w:rFonts w:ascii="Arial" w:hAnsi="Arial" w:cs="Arial"/>
                <w:sz w:val="20"/>
                <w:szCs w:val="20"/>
              </w:rPr>
            </w:pPr>
            <w:r>
              <w:rPr>
                <w:rFonts w:ascii="Arial" w:hAnsi="Arial" w:cs="Arial"/>
                <w:sz w:val="20"/>
                <w:szCs w:val="20"/>
              </w:rPr>
              <w:t>The group of patients with incurable haematological neoplasia must be informed about palliative medical support services at an early stage (SOP).</w:t>
            </w:r>
          </w:p>
          <w:p>
            <w:pPr>
              <w:numPr>
                <w:ilvl w:val="0"/>
                <w:numId w:val="146"/>
              </w:numPr>
              <w:spacing w:before="0" w:after="19"/>
              <w:ind w:hanging="283" w:left="283" w:right="0"/>
              <w:rPr>
                <w:rFonts w:ascii="Arial" w:hAnsi="Arial" w:cs="Arial"/>
                <w:sz w:val="20"/>
                <w:szCs w:val="20"/>
              </w:rPr>
            </w:pPr>
            <w:r>
              <w:rPr>
                <w:rFonts w:ascii="Arial" w:hAnsi="Arial" w:cs="Arial"/>
                <w:sz w:val="20"/>
                <w:szCs w:val="20"/>
              </w:rPr>
              <w:t>To identify the need for treatment, it is necessary to carry out a screening to record symptoms and stress (see S3 guideline on palliative care) (e.g. MIDOS or IPOS).</w:t>
            </w:r>
          </w:p>
          <w:p>
            <w:pPr>
              <w:numPr>
                <w:ilvl w:val="0"/>
                <w:numId w:val="146"/>
              </w:numPr>
              <w:spacing w:before="0" w:after="19"/>
              <w:ind w:hanging="283" w:left="283" w:right="0"/>
              <w:rPr>
                <w:rFonts w:ascii="Arial" w:hAnsi="Arial" w:cs="Arial"/>
                <w:sz w:val="20"/>
                <w:szCs w:val="20"/>
              </w:rPr>
            </w:pPr>
            <w:r>
              <w:rPr>
                <w:rFonts w:ascii="Arial" w:hAnsi="Arial" w:cs="Arial"/>
                <w:sz w:val="20"/>
                <w:szCs w:val="20"/>
              </w:rPr>
              <w:t>Access to palliative care can be offered in parallel with tumour-specific therapy. The procedure in the centre must be described in an SOP.</w:t>
            </w:r>
          </w:p>
          <w:p>
            <w:pPr>
              <w:numPr>
                <w:ilvl w:val="0"/>
                <w:numId w:val="146"/>
              </w:numPr>
              <w:spacing w:before="0" w:after="19"/>
              <w:ind w:hanging="283" w:left="283" w:right="0"/>
              <w:rPr>
                <w:rFonts w:ascii="Arial" w:hAnsi="Arial" w:cs="Arial"/>
                <w:sz w:val="20"/>
                <w:szCs w:val="20"/>
              </w:rPr>
            </w:pPr>
            <w:r>
              <w:rPr>
                <w:rFonts w:ascii="Arial" w:hAnsi="Arial" w:cs="Arial"/>
                <w:sz w:val="20"/>
                <w:szCs w:val="20"/>
              </w:rPr>
              <w:t>The number of primary cases with a complex stress situation (positive screening result) must be documented.</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9.2</w:t>
            </w:r>
          </w:p>
        </w:tc>
        <w:tc>
          <w:tcPr>
            <w:tcW w:w="1" w:type="dxa"/>
          </w:tcPr>
          <w:p>
            <w:pPr>
              <w:spacing w:before="0" w:after="19"/>
              <w:ind w:left="0" w:right="0"/>
              <w:rPr>
                <w:rFonts w:ascii="Arial" w:hAnsi="Arial" w:cs="Arial"/>
                <w:sz w:val="20"/>
                <w:szCs w:val="20"/>
              </w:rPr>
            </w:pPr>
            <w:r>
              <w:rPr>
                <w:rFonts w:ascii="Arial" w:hAnsi="Arial" w:cs="Arial"/>
                <w:sz w:val="20"/>
                <w:szCs w:val="20"/>
              </w:rPr>
              <w:t>Supportive therapy and symptom relief in the palliative situation</w:t>
            </w:r>
          </w:p>
          <w:p>
            <w:pPr>
              <w:numPr>
                <w:ilvl w:val="0"/>
                <w:numId w:val="147"/>
              </w:numPr>
              <w:spacing w:before="0" w:after="19"/>
              <w:ind w:hanging="283" w:left="283" w:right="0"/>
              <w:rPr>
                <w:rFonts w:ascii="Arial" w:hAnsi="Arial" w:cs="Arial"/>
                <w:sz w:val="20"/>
                <w:szCs w:val="20"/>
              </w:rPr>
            </w:pPr>
            <w:r>
              <w:rPr>
                <w:rFonts w:ascii="Arial" w:hAnsi="Arial" w:cs="Arial"/>
                <w:sz w:val="20"/>
                <w:szCs w:val="20"/>
              </w:rPr>
              <w:t>The options for supportive/ palliative inpatient therapy must be described (process description/ algorithm)</w:t>
            </w:r>
          </w:p>
          <w:p>
            <w:pPr>
              <w:numPr>
                <w:ilvl w:val="0"/>
                <w:numId w:val="147"/>
              </w:numPr>
              <w:spacing w:before="0" w:after="19"/>
              <w:ind w:hanging="283" w:left="283" w:right="0"/>
              <w:rPr>
                <w:rFonts w:ascii="Arial" w:hAnsi="Arial" w:cs="Arial"/>
                <w:sz w:val="20"/>
                <w:szCs w:val="20"/>
              </w:rPr>
            </w:pPr>
            <w:r>
              <w:rPr>
                <w:rFonts w:ascii="Arial" w:hAnsi="Arial" w:cs="Arial"/>
                <w:sz w:val="20"/>
                <w:szCs w:val="20"/>
              </w:rPr>
              <w:t>A pain therapist must be available. The process for pain therapy (algorithm) must be described and documented cases must be provided for the period under review.</w:t>
            </w:r>
          </w:p>
          <w:p>
            <w:pPr>
              <w:numPr>
                <w:ilvl w:val="0"/>
                <w:numId w:val="147"/>
              </w:numPr>
              <w:spacing w:before="0" w:after="19"/>
              <w:ind w:hanging="283" w:left="283" w:right="0"/>
              <w:rPr>
                <w:rFonts w:ascii="Arial" w:hAnsi="Arial" w:cs="Arial"/>
                <w:sz w:val="20"/>
                <w:szCs w:val="20"/>
              </w:rPr>
            </w:pPr>
            <w:r>
              <w:rPr>
                <w:rFonts w:ascii="Arial" w:hAnsi="Arial" w:cs="Arial"/>
                <w:sz w:val="20"/>
                <w:szCs w:val="20"/>
              </w:rPr>
              <w:t>Access to nutritional counselling must be described and documented for the period under review.</w:t>
            </w:r>
          </w:p>
          <w:p>
            <w:pPr>
              <w:numPr>
                <w:ilvl w:val="0"/>
                <w:numId w:val="147"/>
              </w:numPr>
              <w:spacing w:before="0" w:after="19"/>
              <w:ind w:hanging="283" w:left="283" w:right="0"/>
              <w:rPr>
                <w:rFonts w:ascii="Arial" w:hAnsi="Arial" w:cs="Arial"/>
                <w:sz w:val="20"/>
                <w:szCs w:val="20"/>
              </w:rPr>
            </w:pPr>
            <w:r>
              <w:rPr>
                <w:rFonts w:ascii="Arial" w:hAnsi="Arial" w:cs="Arial"/>
                <w:sz w:val="20"/>
                <w:szCs w:val="20"/>
              </w:rPr>
              <w:t>Access to psycho-oncological and psychosocial care as well as pastoral care must be described.</w:t>
            </w:r>
          </w:p>
          <w:p>
            <w:pPr>
              <w:numPr>
                <w:ilvl w:val="0"/>
                <w:numId w:val="147"/>
              </w:numPr>
              <w:spacing w:before="0" w:after="19"/>
              <w:ind w:hanging="283" w:left="283"/>
              <w:rPr>
                <w:rFonts w:ascii="Arial" w:hAnsi="Arial" w:cs="Arial"/>
                <w:sz w:val="20"/>
                <w:szCs w:val="20"/>
                <w:lang w:val="ro-RO" w:bidi="ar-SA"/>
              </w:rPr>
            </w:pPr>
            <w:r>
              <w:rPr>
                <w:rFonts w:ascii="Arial" w:hAnsi="Arial" w:cs="Arial"/>
                <w:sz w:val="20"/>
                <w:szCs w:val="20"/>
              </w:rPr>
              <w:t>In the case of execution via co-operation partners, a co-operation agreement must be concluded for the above requirements.</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10.</w:t>
        <w:tab/>
        <w:t xml:space="preserve"> Tumour documentation / Outcome quality</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10.0.0</w:t>
            </w:r>
          </w:p>
        </w:tc>
        <w:tc>
          <w:tcPr>
            <w:tcW w:w="1" w:type="dxa"/>
          </w:tcPr>
          <w:p>
            <w:pPr>
              <w:spacing w:before="0" w:after="19"/>
              <w:rPr>
                <w:rFonts w:ascii="Arial" w:hAnsi="Arial" w:cs="Arial"/>
                <w:sz w:val="20"/>
                <w:szCs w:val="20"/>
                <w:lang w:val="ro-RO" w:bidi="ar-SA"/>
              </w:rPr>
            </w:pPr>
            <w:r>
              <w:rPr>
                <w:rFonts w:ascii="Arial" w:hAnsi="Arial" w:cs="Arial" w:eastAsia="Arial"/>
                <w:color w:val="1A2020"/>
                <w:sz w:val="20"/>
                <w:szCs w:val="20"/>
                <w:shd w:val="clear" w:color="auto" w:fill="FFFFFF"/>
              </w:rPr>
              <w:t>The data presented in the entire survey form and in the Data Sheet generally covers the indicator year (1 January to 31 December of the previous audit year), supplemented where necessary by information from the audit year (e.g. if targets from the previous audit year were not met, etc.).</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10.1.1</w:t>
            </w:r>
          </w:p>
        </w:tc>
        <w:tc>
          <w:tcPr>
            <w:tcW w:w="1" w:type="dxa"/>
          </w:tcPr>
          <w:p>
            <w:pPr>
              <w:spacing w:before="0" w:after="19"/>
              <w:ind w:left="0" w:right="0"/>
              <w:rPr>
                <w:rFonts w:ascii="Arial" w:hAnsi="Arial" w:cs="Arial"/>
                <w:sz w:val="20"/>
                <w:szCs w:val="20"/>
              </w:rPr>
            </w:pPr>
            <w:r>
              <w:rPr>
                <w:rFonts w:ascii="Arial" w:hAnsi="Arial" w:cs="Arial"/>
                <w:sz w:val="20"/>
                <w:szCs w:val="20"/>
              </w:rPr>
              <w:t>Scope</w:t>
            </w:r>
          </w:p>
          <w:p>
            <w:pPr>
              <w:spacing w:before="0" w:after="19"/>
              <w:ind w:left="0" w:right="0"/>
              <w:rPr>
                <w:rFonts w:ascii="Arial" w:hAnsi="Arial" w:cs="Arial"/>
                <w:sz w:val="20"/>
                <w:szCs w:val="20"/>
              </w:rPr>
            </w:pPr>
            <w:r>
              <w:rPr>
                <w:rFonts w:ascii="Arial" w:hAnsi="Arial" w:cs="Arial"/>
                <w:sz w:val="20"/>
                <w:szCs w:val="20"/>
              </w:rPr>
              <w:t>If tumour documentation is organised decentrally (= several independent organisational areas according to the centre matrix) and/or different documentation systems are used, then the tumour documentation units must be named (including the division of responsibilities for the tumour entities, organigram if applicable). If necessary, specific decentralised regulations must be specified in the Catalouge of Requirement in addition to the central regulations.</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10.1.2</w:t>
            </w:r>
          </w:p>
        </w:tc>
        <w:tc>
          <w:tcPr>
            <w:tcW w:w="1" w:type="dxa"/>
          </w:tcPr>
          <w:p>
            <w:pPr>
              <w:spacing w:before="0" w:after="19"/>
              <w:ind w:left="0" w:right="0"/>
              <w:rPr>
                <w:rFonts w:ascii="Arial" w:hAnsi="Arial" w:cs="Arial"/>
                <w:sz w:val="20"/>
                <w:szCs w:val="20"/>
              </w:rPr>
            </w:pPr>
            <w:r>
              <w:rPr>
                <w:rFonts w:ascii="Arial" w:hAnsi="Arial" w:cs="Arial"/>
                <w:sz w:val="20"/>
                <w:szCs w:val="20"/>
              </w:rPr>
              <w:t>Tumour documentation</w:t>
            </w:r>
          </w:p>
          <w:p>
            <w:pPr>
              <w:spacing w:before="0" w:after="19"/>
              <w:ind w:left="0" w:right="0"/>
              <w:rPr>
                <w:rFonts w:ascii="Arial" w:hAnsi="Arial" w:cs="Arial"/>
                <w:sz w:val="20"/>
                <w:szCs w:val="20"/>
              </w:rPr>
            </w:pPr>
            <w:r>
              <w:rPr>
                <w:rFonts w:ascii="Arial" w:hAnsi="Arial" w:cs="Arial"/>
                <w:sz w:val="20"/>
                <w:szCs w:val="20"/>
              </w:rPr>
              <w:t>At the time of initial certification, tumour documentation must be available that contains patient data for a period of at least three months.</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10.1.3</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Data Sheet (appendix Catalouge of Requirement)</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The tumour documentation must be able to provide the data required in the organ-specific Data Sheet (appendix Catalouge of Requirement) correctly and in a quality-assured manner.</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Organ-specific requirements for data presentation and its scope (basic data, indicators, result quality, etc.) are stored in the respective Data Sheet. If individual contents in the Data Sheet cannot be generated automatically via the tumour documentation system (TDS), the data presentation must be traceable.</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10.1.4</w:t>
            </w:r>
          </w:p>
        </w:tc>
        <w:tc>
          <w:tcPr>
            <w:tcW w:w="1" w:type="dxa"/>
          </w:tcPr>
          <w:p>
            <w:pPr>
              <w:spacing w:before="0" w:after="19"/>
              <w:ind w:left="0" w:right="0"/>
              <w:rPr>
                <w:rFonts w:ascii="Arial" w:hAnsi="Arial" w:cs="Arial"/>
                <w:sz w:val="20"/>
                <w:szCs w:val="20"/>
              </w:rPr>
            </w:pPr>
            <w:r>
              <w:rPr>
                <w:rFonts w:ascii="Arial" w:hAnsi="Arial" w:cs="Arial"/>
                <w:sz w:val="20"/>
                <w:szCs w:val="20"/>
              </w:rPr>
              <w:t>The indicators should be evaluated at least once during the year and discussed, for example, in a quality circle with the participation of a representative from tumour documentation.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If cross-clinic evaluations (e.g. DKG annual reports, etc.) relating to the Data Sheet are available, these should also be taken into account in the indicator analysis.</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10.1.5</w:t>
            </w:r>
          </w:p>
        </w:tc>
        <w:tc>
          <w:tcPr>
            <w:tcW w:w="1" w:type="dxa"/>
          </w:tcPr>
          <w:p>
            <w:pPr>
              <w:spacing w:before="0" w:after="19"/>
              <w:ind w:left="0" w:right="0"/>
              <w:rPr>
                <w:rFonts w:ascii="Arial" w:hAnsi="Arial" w:cs="Arial"/>
                <w:sz w:val="20"/>
                <w:szCs w:val="20"/>
              </w:rPr>
            </w:pPr>
            <w:r>
              <w:rPr>
                <w:rFonts w:ascii="Arial" w:hAnsi="Arial" w:cs="Arial"/>
                <w:sz w:val="20"/>
                <w:szCs w:val="20"/>
              </w:rPr>
              <w:t>Legal cancer registration</w:t>
            </w:r>
          </w:p>
          <w:p>
            <w:pPr>
              <w:spacing w:before="0" w:after="19"/>
              <w:ind w:left="0" w:right="0"/>
              <w:rPr>
                <w:rFonts w:ascii="Arial" w:hAnsi="Arial" w:cs="Arial"/>
                <w:sz w:val="20"/>
                <w:szCs w:val="20"/>
              </w:rPr>
            </w:pPr>
            <w:r>
              <w:rPr>
                <w:rFonts w:ascii="Arial" w:hAnsi="Arial" w:cs="Arial"/>
                <w:sz w:val="20"/>
                <w:szCs w:val="20"/>
              </w:rPr>
              <w:t>The legal requirements for cancer registration must be demonstrably fulfilled. For the collection/</w:t>
            </w:r>
          </w:p>
          <w:p>
            <w:pPr>
              <w:spacing w:before="0" w:after="19"/>
              <w:ind w:left="0" w:right="0"/>
              <w:rPr>
                <w:rFonts w:ascii="Arial" w:hAnsi="Arial" w:cs="Arial"/>
                <w:sz w:val="20"/>
                <w:szCs w:val="20"/>
              </w:rPr>
            </w:pPr>
            <w:r>
              <w:rPr>
                <w:rFonts w:ascii="Arial" w:hAnsi="Arial" w:cs="Arial"/>
                <w:sz w:val="20"/>
                <w:szCs w:val="20"/>
              </w:rPr>
              <w:t>presentation of cancer registry data, a data set must be used in accordance with the Standardised Oncology Data Set and its modules from the German Tumour Centres Working Group (ADT), the German Cancer Registry (DKR) and the §65c platform.</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10.2.1</w:t>
            </w:r>
          </w:p>
        </w:tc>
        <w:tc>
          <w:tcPr>
            <w:tcW w:w="1" w:type="dxa"/>
          </w:tcPr>
          <w:p>
            <w:pPr>
              <w:spacing w:before="0" w:after="19"/>
              <w:ind w:left="0" w:right="0"/>
              <w:rPr>
                <w:rFonts w:ascii="Arial" w:hAnsi="Arial" w:cs="Arial"/>
                <w:sz w:val="20"/>
                <w:szCs w:val="20"/>
              </w:rPr>
            </w:pPr>
            <w:r>
              <w:rPr>
                <w:rFonts w:ascii="Arial" w:hAnsi="Arial" w:cs="Arial"/>
                <w:sz w:val="20"/>
                <w:szCs w:val="20"/>
              </w:rPr>
              <w:t>Documentation manager</w:t>
            </w:r>
          </w:p>
          <w:p>
            <w:pPr>
              <w:spacing w:before="0" w:after="19"/>
              <w:ind w:left="0" w:right="0"/>
              <w:rPr>
                <w:rFonts w:ascii="Arial" w:hAnsi="Arial" w:cs="Arial"/>
                <w:sz w:val="20"/>
                <w:szCs w:val="20"/>
              </w:rPr>
            </w:pPr>
            <w:r>
              <w:rPr>
                <w:rFonts w:ascii="Arial" w:hAnsi="Arial" w:cs="Arial"/>
                <w:sz w:val="20"/>
                <w:szCs w:val="20"/>
              </w:rPr>
              <w:t>At least one documentation manager must be appointed for each certification system or organ group to take responsibility for tumour documentation.</w:t>
            </w:r>
          </w:p>
          <w:p>
            <w:pPr>
              <w:spacing w:before="0" w:after="19"/>
              <w:ind w:left="0" w:right="0"/>
              <w:rPr>
                <w:rFonts w:ascii="Arial" w:hAnsi="Arial" w:cs="Arial"/>
                <w:sz w:val="20"/>
                <w:szCs w:val="20"/>
              </w:rPr>
            </w:pPr>
            <w:r>
              <w:rPr>
                <w:rFonts w:ascii="Arial" w:hAnsi="Arial" w:cs="Arial"/>
                <w:sz w:val="20"/>
                <w:szCs w:val="20"/>
              </w:rPr>
              <w:t>The documentation manager must be named (including their role in the hospital).</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10.2.2</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Tasks of the documentation manager</w:t>
            </w:r>
          </w:p>
          <w:p>
            <w:pPr>
              <w:numPr>
                <w:ilvl w:val="0"/>
                <w:numId w:val="148"/>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Ensuring and monitoring timely, complete, comprehensive and accurate documentation</w:t>
            </w:r>
          </w:p>
          <w:p>
            <w:pPr>
              <w:numPr>
                <w:ilvl w:val="0"/>
                <w:numId w:val="148"/>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Available to answer questions about tumour documentation</w:t>
            </w:r>
          </w:p>
          <w:p>
            <w:pPr>
              <w:numPr>
                <w:ilvl w:val="0"/>
                <w:numId w:val="148"/>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Available to answer technical questions and, if necessary, liaises with the tumour documentation manufacturer</w:t>
            </w:r>
          </w:p>
          <w:p>
            <w:pPr>
              <w:numPr>
                <w:ilvl w:val="0"/>
                <w:numId w:val="148"/>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Regular analysis of evaluations, particularly over time</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10.2.3</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Medical contact person</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For questions regarding the content of tumour documentation, a suitable medical contact person (central and/or specific tumour entity/specialist area) must be named.</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10.2.4</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Tumour documentation managers</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Names of the responsible tumour documentation managers (at least one person must be named per entity; one person may be responsible for several entities/specialist areas).</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10.2.5</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Provision of resources</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The necessary personnel capacity should be provided for the performance of documentation tasks and data collection (guideline: 0.5 FTE per 200 primary cases and 0.1 FTE per 200 follow-up cases).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Criteria for higher resource requirements</w:t>
            </w:r>
          </w:p>
          <w:p>
            <w:pPr>
              <w:numPr>
                <w:ilvl w:val="0"/>
                <w:numId w:val="149"/>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Comprehensive responsibilities in the form of data analysis, including quality circles, healthcare research projects and studies</w:t>
            </w:r>
          </w:p>
          <w:p>
            <w:pPr>
              <w:numPr>
                <w:ilvl w:val="0"/>
                <w:numId w:val="149"/>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High proportion of complex treatment processes or high proportion of non-primary cases</w:t>
            </w:r>
          </w:p>
          <w:p>
            <w:pPr>
              <w:numPr>
                <w:ilvl w:val="0"/>
                <w:numId w:val="149"/>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Support at tumour board</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10.2.6</w:t>
            </w:r>
          </w:p>
        </w:tc>
        <w:tc>
          <w:tcPr>
            <w:tcW w:w="1" w:type="dxa"/>
          </w:tcPr>
          <w:p>
            <w:pPr>
              <w:spacing w:before="0" w:after="19"/>
              <w:rPr>
                <w:rFonts w:ascii="Arial" w:hAnsi="Arial" w:cs="Arial"/>
                <w:sz w:val="20"/>
                <w:szCs w:val="20"/>
                <w:lang w:val="ro-RO" w:bidi="ar-SA"/>
              </w:rPr>
            </w:pPr>
            <w:r>
              <w:rPr>
                <w:rFonts w:ascii="Arial" w:hAnsi="Arial" w:cs="Arial" w:eastAsia="Arial"/>
                <w:color w:val="1A2020"/>
                <w:sz w:val="20"/>
                <w:szCs w:val="20"/>
                <w:shd w:val="clear" w:color="auto" w:fill="FFFFFF"/>
              </w:rPr>
              <w:t>Each documentation manager/tumour documenter should attend at least one specific training/continuing education course (internal/external) per year.</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10.3.1</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Selection of tumour documentation system (TDS)</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The type of tumour documentation system (TDS) is at the discretion of the centre (e.g. in-house development, external provider, integrated into the HIS or via the §65c cancer registry).</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10.3.2</w:t>
            </w:r>
          </w:p>
        </w:tc>
        <w:tc>
          <w:tcPr>
            <w:tcW w:w="1" w:type="dxa"/>
          </w:tcPr>
          <w:p>
            <w:pPr>
              <w:spacing w:before="0" w:after="19"/>
              <w:ind w:left="0" w:right="0"/>
              <w:rPr>
                <w:rFonts w:ascii="Arial" w:hAnsi="Arial" w:cs="Arial"/>
                <w:sz w:val="20"/>
                <w:szCs w:val="20"/>
              </w:rPr>
            </w:pPr>
            <w:r>
              <w:rPr>
                <w:rFonts w:ascii="Arial" w:hAnsi="Arial" w:cs="Arial"/>
                <w:sz w:val="20"/>
                <w:szCs w:val="20"/>
              </w:rPr>
              <w:t>Selection options TDS – case list</w:t>
            </w:r>
          </w:p>
          <w:p>
            <w:pPr>
              <w:spacing w:before="0" w:after="19"/>
              <w:ind w:left="0" w:right="0"/>
              <w:rPr>
                <w:rFonts w:ascii="Arial" w:hAnsi="Arial" w:cs="Arial"/>
                <w:sz w:val="20"/>
                <w:szCs w:val="20"/>
              </w:rPr>
            </w:pPr>
            <w:r>
              <w:rPr>
                <w:rFonts w:ascii="Arial" w:hAnsi="Arial" w:cs="Arial"/>
                <w:sz w:val="20"/>
                <w:szCs w:val="20"/>
              </w:rPr>
              <w:t>A case list with the following selection options can be generated from the TDS:</w:t>
            </w:r>
          </w:p>
          <w:p>
            <w:pPr>
              <w:numPr>
                <w:ilvl w:val="0"/>
                <w:numId w:val="150"/>
              </w:numPr>
              <w:spacing w:before="0" w:after="19"/>
              <w:ind w:hanging="283" w:left="283" w:right="0"/>
              <w:rPr>
                <w:rFonts w:ascii="Arial" w:hAnsi="Arial" w:cs="Arial"/>
                <w:sz w:val="20"/>
                <w:szCs w:val="20"/>
              </w:rPr>
            </w:pPr>
            <w:r>
              <w:rPr>
                <w:rFonts w:ascii="Arial" w:hAnsi="Arial" w:cs="Arial"/>
                <w:sz w:val="20"/>
                <w:szCs w:val="20"/>
              </w:rPr>
              <w:t>Year groups (individual year groups and cumulative across several year groups)</w:t>
            </w:r>
          </w:p>
          <w:p>
            <w:pPr>
              <w:numPr>
                <w:ilvl w:val="0"/>
                <w:numId w:val="150"/>
              </w:numPr>
              <w:spacing w:before="0" w:after="19"/>
              <w:ind w:hanging="283" w:left="283" w:right="0"/>
              <w:rPr>
                <w:rFonts w:ascii="Arial" w:hAnsi="Arial" w:cs="Arial"/>
                <w:sz w:val="20"/>
                <w:szCs w:val="20"/>
              </w:rPr>
            </w:pPr>
            <w:r>
              <w:rPr>
                <w:rFonts w:ascii="Arial" w:hAnsi="Arial" w:cs="Arial"/>
                <w:sz w:val="20"/>
                <w:szCs w:val="20"/>
              </w:rPr>
              <w:t>TNM classification, staging or comparable classifications (e.g. FIGO)</w:t>
            </w:r>
          </w:p>
          <w:p>
            <w:pPr>
              <w:numPr>
                <w:ilvl w:val="0"/>
                <w:numId w:val="150"/>
              </w:numPr>
              <w:spacing w:before="0" w:after="19"/>
              <w:ind w:hanging="283" w:left="283" w:right="0"/>
              <w:rPr>
                <w:rFonts w:ascii="Arial" w:hAnsi="Arial" w:cs="Arial"/>
                <w:sz w:val="20"/>
                <w:szCs w:val="20"/>
              </w:rPr>
            </w:pPr>
            <w:r>
              <w:rPr>
                <w:rFonts w:ascii="Arial" w:hAnsi="Arial" w:cs="Arial"/>
                <w:sz w:val="20"/>
                <w:szCs w:val="20"/>
              </w:rPr>
              <w:t>Forms of therapy (e.g. surgical therapy, radiotherapy, hormone therapy, immunotherapy, chemotherapy, targeted therapy, etc.)</w:t>
            </w:r>
          </w:p>
          <w:p>
            <w:pPr>
              <w:numPr>
                <w:ilvl w:val="0"/>
                <w:numId w:val="150"/>
              </w:numPr>
              <w:spacing w:before="0" w:after="19"/>
              <w:ind w:hanging="283" w:left="283" w:right="0"/>
              <w:rPr>
                <w:rFonts w:ascii="Arial" w:hAnsi="Arial" w:cs="Arial"/>
                <w:sz w:val="20"/>
                <w:szCs w:val="20"/>
              </w:rPr>
            </w:pPr>
            <w:r>
              <w:rPr>
                <w:rFonts w:ascii="Arial" w:hAnsi="Arial" w:cs="Arial"/>
                <w:sz w:val="20"/>
                <w:szCs w:val="20"/>
              </w:rPr>
              <w:t>Events with date (recurrences/metastases, secondary tumours and deaths)</w:t>
            </w:r>
          </w:p>
          <w:p>
            <w:pPr>
              <w:numPr>
                <w:ilvl w:val="0"/>
                <w:numId w:val="150"/>
              </w:numPr>
              <w:spacing w:before="0" w:after="19"/>
              <w:ind w:hanging="283" w:left="283" w:right="0"/>
              <w:rPr>
                <w:rFonts w:ascii="Arial" w:hAnsi="Arial" w:cs="Arial"/>
                <w:sz w:val="20"/>
                <w:szCs w:val="20"/>
              </w:rPr>
            </w:pPr>
            <w:r>
              <w:rPr>
                <w:rFonts w:ascii="Arial" w:hAnsi="Arial" w:cs="Arial"/>
                <w:sz w:val="20"/>
                <w:szCs w:val="20"/>
              </w:rPr>
              <w:t>Follow-up status (last update)</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10.4.1</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Use of OncoBox</w:t>
            </w:r>
          </w:p>
          <w:p>
            <w:pPr>
              <w:numPr>
                <w:ilvl w:val="0"/>
                <w:numId w:val="151"/>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Breast: Use of OncoBox recommended (optional)</w:t>
            </w:r>
          </w:p>
          <w:p>
            <w:pPr>
              <w:numPr>
                <w:ilvl w:val="0"/>
                <w:numId w:val="151"/>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Colon: Use of OncoBox mandatory</w:t>
            </w:r>
          </w:p>
          <w:p>
            <w:pPr>
              <w:numPr>
                <w:ilvl w:val="0"/>
                <w:numId w:val="151"/>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Lung: Use of OncoBox recommended (optional)</w:t>
            </w:r>
          </w:p>
          <w:p>
            <w:pPr>
              <w:numPr>
                <w:ilvl w:val="0"/>
                <w:numId w:val="151"/>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Prostate: Use of OncoBox mandatory</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For further tumour-specific terms of use for OncoBox, see Data Sheet.</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10.4.2</w:t>
            </w:r>
          </w:p>
        </w:tc>
        <w:tc>
          <w:tcPr>
            <w:tcW w:w="1" w:type="dxa"/>
          </w:tcPr>
          <w:p>
            <w:pPr>
              <w:spacing w:before="0" w:after="19"/>
              <w:rPr>
                <w:rFonts w:ascii="Arial" w:hAnsi="Arial" w:cs="Arial"/>
                <w:sz w:val="20"/>
                <w:szCs w:val="20"/>
                <w:lang w:val="ro-RO" w:bidi="ar-SA"/>
              </w:rPr>
            </w:pPr>
            <w:r>
              <w:rPr>
                <w:rFonts w:ascii="Arial" w:hAnsi="Arial" w:cs="Arial" w:eastAsia="Arial"/>
                <w:color w:val="1A2020"/>
                <w:sz w:val="20"/>
                <w:szCs w:val="20"/>
                <w:shd w:val="clear" w:color="auto" w:fill="FFFFFF"/>
              </w:rPr>
              <w:t>For the Data Sheets generated by OncoBox, the data deficiencies identified in OncoBox under “Overall view” should be addressed as far as possible in advance.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10.5.1</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Patient-reported outcome measures (PROM)</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The following PROM systems are in use with regard to cancer patients (name of questionnaires/technical survey system):</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10.5.2</w:t>
            </w:r>
          </w:p>
        </w:tc>
        <w:tc>
          <w:tcPr>
            <w:tcW w:w="1" w:type="dxa"/>
          </w:tcPr>
          <w:p>
            <w:pPr>
              <w:spacing w:before="0" w:after="19"/>
              <w:rPr>
                <w:rFonts w:ascii="Arial" w:hAnsi="Arial" w:cs="Arial"/>
                <w:sz w:val="20"/>
                <w:szCs w:val="20"/>
                <w:lang w:val="ro-RO" w:bidi="ar-SA"/>
              </w:rPr>
            </w:pPr>
            <w:r>
              <w:rPr>
                <w:rFonts w:ascii="Arial" w:hAnsi="Arial" w:cs="Arial" w:eastAsia="Arial"/>
                <w:color w:val="1A2020"/>
                <w:sz w:val="20"/>
                <w:szCs w:val="20"/>
                <w:shd w:val="clear" w:color="auto" w:fill="FFFFFF"/>
              </w:rPr>
              <w:t>Once PROMs are established, the survey data should be electronically merged with the clinical data (= tumour documentation data).</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10.6.1</w:t>
            </w:r>
          </w:p>
        </w:tc>
        <w:tc>
          <w:tcPr>
            <w:tcW w:w="1" w:type="dxa"/>
          </w:tcPr>
          <w:p>
            <w:pPr>
              <w:spacing w:before="0" w:after="19"/>
              <w:ind w:left="0" w:right="0"/>
              <w:rPr>
                <w:rFonts w:ascii="Arial" w:hAnsi="Arial" w:cs="Arial"/>
                <w:sz w:val="20"/>
                <w:szCs w:val="20"/>
              </w:rPr>
            </w:pPr>
            <w:r>
              <w:rPr>
                <w:rFonts w:ascii="Arial" w:hAnsi="Arial" w:cs="Arial"/>
                <w:sz w:val="20"/>
                <w:szCs w:val="20"/>
              </w:rPr>
              <w:t>Follow-up status – details (cross-organ)</w:t>
            </w:r>
          </w:p>
          <w:p>
            <w:pPr>
              <w:spacing w:before="0" w:after="19"/>
              <w:ind w:left="0" w:right="0"/>
              <w:rPr>
                <w:rFonts w:ascii="Arial" w:hAnsi="Arial" w:cs="Arial"/>
                <w:sz w:val="20"/>
                <w:szCs w:val="20"/>
              </w:rPr>
            </w:pPr>
            <w:r>
              <w:rPr>
                <w:rFonts w:ascii="Arial" w:hAnsi="Arial" w:cs="Arial"/>
                <w:sz w:val="20"/>
                <w:szCs w:val="20"/>
              </w:rPr>
              <w:t>Describe how follow-up data is collected.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The follow-up status must be recorded for all centre patients:</w:t>
            </w:r>
          </w:p>
          <w:p>
            <w:pPr>
              <w:numPr>
                <w:ilvl w:val="0"/>
                <w:numId w:val="152"/>
              </w:numPr>
              <w:spacing w:before="0" w:after="19"/>
              <w:ind w:hanging="283" w:left="283" w:right="0"/>
              <w:rPr>
                <w:rFonts w:ascii="Arial" w:hAnsi="Arial" w:cs="Arial"/>
                <w:sz w:val="20"/>
                <w:szCs w:val="20"/>
              </w:rPr>
            </w:pPr>
            <w:r>
              <w:rPr>
                <w:rFonts w:ascii="Arial" w:hAnsi="Arial" w:cs="Arial"/>
                <w:sz w:val="20"/>
                <w:szCs w:val="20"/>
              </w:rPr>
              <w:t>Progression (local recurrence, regional lymph node recurrence if applicable, distant metastases, at least the first progression in each case)</w:t>
            </w:r>
          </w:p>
          <w:p>
            <w:pPr>
              <w:numPr>
                <w:ilvl w:val="0"/>
                <w:numId w:val="152"/>
              </w:numPr>
              <w:spacing w:before="0" w:after="19"/>
              <w:ind w:hanging="283" w:left="283" w:right="0"/>
              <w:rPr>
                <w:rFonts w:ascii="Arial" w:hAnsi="Arial" w:cs="Arial"/>
                <w:sz w:val="20"/>
                <w:szCs w:val="20"/>
              </w:rPr>
            </w:pPr>
            <w:r>
              <w:rPr>
                <w:rFonts w:ascii="Arial" w:hAnsi="Arial" w:cs="Arial"/>
                <w:sz w:val="20"/>
                <w:szCs w:val="20"/>
              </w:rPr>
              <w:t>Second malignancies</w:t>
            </w:r>
          </w:p>
          <w:p>
            <w:pPr>
              <w:numPr>
                <w:ilvl w:val="0"/>
                <w:numId w:val="152"/>
              </w:numPr>
              <w:spacing w:before="0" w:after="19"/>
              <w:ind w:hanging="283" w:left="283" w:right="0"/>
              <w:rPr>
                <w:rFonts w:ascii="Arial" w:hAnsi="Arial" w:cs="Arial"/>
                <w:sz w:val="20"/>
                <w:szCs w:val="20"/>
              </w:rPr>
            </w:pPr>
            <w:r>
              <w:rPr>
                <w:rFonts w:ascii="Arial" w:hAnsi="Arial" w:cs="Arial"/>
                <w:sz w:val="20"/>
                <w:szCs w:val="20"/>
              </w:rPr>
              <w:t>Deaths</w:t>
            </w:r>
          </w:p>
          <w:p>
            <w:pPr>
              <w:numPr>
                <w:ilvl w:val="0"/>
                <w:numId w:val="152"/>
              </w:numPr>
              <w:spacing w:before="0" w:after="19"/>
              <w:ind w:hanging="283" w:left="283" w:right="0"/>
              <w:rPr>
                <w:rFonts w:ascii="Arial" w:hAnsi="Arial" w:cs="Arial"/>
                <w:sz w:val="20"/>
                <w:szCs w:val="20"/>
              </w:rPr>
            </w:pPr>
            <w:r>
              <w:rPr>
                <w:rFonts w:ascii="Arial" w:hAnsi="Arial" w:cs="Arial"/>
                <w:sz w:val="20"/>
                <w:szCs w:val="20"/>
              </w:rPr>
              <w:t>Lost to follow-up</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10.6.2</w:t>
            </w:r>
          </w:p>
        </w:tc>
        <w:tc>
          <w:tcPr>
            <w:tcW w:w="1" w:type="dxa"/>
          </w:tcPr>
          <w:p>
            <w:pPr>
              <w:spacing w:before="0" w:after="19"/>
              <w:rPr>
                <w:rFonts w:ascii="Arial" w:hAnsi="Arial" w:cs="Arial"/>
                <w:sz w:val="20"/>
                <w:szCs w:val="20"/>
                <w:lang w:val="ro-RO" w:bidi="ar-SA"/>
              </w:rPr>
            </w:pPr>
            <w:r>
              <w:rPr>
                <w:rFonts w:ascii="Arial" w:hAnsi="Arial" w:cs="Arial" w:eastAsia="Arial"/>
                <w:color w:val="1A2020"/>
                <w:sz w:val="20"/>
                <w:szCs w:val="20"/>
                <w:shd w:val="clear" w:color="auto" w:fill="FFFFFF"/>
              </w:rPr>
              <w:t>The outcome quality and the follow-up must be presented in accordance with the specifications in the respective Data Sheet.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10.6.3</w:t>
            </w:r>
          </w:p>
        </w:tc>
        <w:tc>
          <w:tcPr>
            <w:tcW w:w="1" w:type="dxa"/>
          </w:tcPr>
          <w:p>
            <w:pPr>
              <w:spacing w:before="0" w:after="19"/>
              <w:rPr>
                <w:rFonts w:ascii="Arial" w:hAnsi="Arial" w:cs="Arial"/>
                <w:sz w:val="20"/>
                <w:szCs w:val="20"/>
                <w:lang w:val="ro-RO" w:bidi="ar-SA"/>
              </w:rPr>
            </w:pPr>
            <w:r>
              <w:rPr>
                <w:rFonts w:ascii="Arial" w:hAnsi="Arial" w:cs="Arial" w:eastAsia="Arial"/>
                <w:color w:val="1A2020"/>
                <w:sz w:val="20"/>
                <w:szCs w:val="20"/>
                <w:shd w:val="clear" w:color="auto" w:fill="FFFFFF"/>
              </w:rPr>
              <w:t>If the outcome quality is displayed via OncoBox 2.0, the type and scope of follow-up/outcome quality is defined in the respective Data Sheet.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10.6.4</w:t>
            </w:r>
          </w:p>
        </w:tc>
        <w:tc>
          <w:tcPr>
            <w:tcW w:w="1" w:type="dxa"/>
          </w:tcPr>
          <w:p>
            <w:pPr>
              <w:spacing w:before="0" w:after="19"/>
              <w:rPr>
                <w:rFonts w:ascii="Arial" w:hAnsi="Arial" w:cs="Arial"/>
                <w:sz w:val="20"/>
                <w:szCs w:val="20"/>
                <w:lang w:val="ro-RO" w:bidi="ar-SA"/>
              </w:rPr>
            </w:pPr>
            <w:r>
              <w:rPr>
                <w:rFonts w:ascii="Arial" w:hAnsi="Arial" w:cs="Arial" w:eastAsia="Arial"/>
                <w:color w:val="1A2020"/>
                <w:sz w:val="20"/>
                <w:szCs w:val="20"/>
                <w:shd w:val="clear" w:color="auto" w:fill="FFFFFF"/>
              </w:rPr>
              <w:t>The presentation of the outcome quality must be possible from the first surveillance audit after recertification.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10.7.0</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Processing note</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Chapter 10 is identical in all survey forms.</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The information in Chapter 10.7 only needs to be provided if the corresponding certified centre/module is available.</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10.7.1</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Matrix of outcome quality</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A matrix of outcome quality (part of the Data Sheet) exists for the following tumour entities:</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breast, colon, skin, lung, pancreas and prostate.</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10.7.2.a</w:t>
            </w:r>
          </w:p>
        </w:tc>
        <w:tc>
          <w:tcPr>
            <w:tcW w:w="1" w:type="dxa"/>
          </w:tcPr>
          <w:p>
            <w:pPr>
              <w:spacing w:before="0" w:after="19"/>
              <w:ind w:left="0" w:right="0"/>
              <w:rPr>
                <w:rFonts w:ascii="Arial" w:hAnsi="Arial" w:cs="Arial"/>
                <w:sz w:val="20"/>
                <w:szCs w:val="20"/>
              </w:rPr>
            </w:pPr>
            <w:r>
              <w:rPr>
                <w:rFonts w:ascii="Arial" w:hAnsi="Arial" w:cs="Arial"/>
                <w:sz w:val="20"/>
                <w:szCs w:val="20"/>
              </w:rPr>
              <w:t>Outcome quality for breast cancer</w:t>
            </w:r>
          </w:p>
          <w:p>
            <w:pPr>
              <w:spacing w:before="0" w:after="19"/>
              <w:ind w:left="0" w:right="0"/>
              <w:rPr>
                <w:rFonts w:ascii="Arial" w:hAnsi="Arial" w:cs="Arial"/>
                <w:sz w:val="20"/>
                <w:szCs w:val="20"/>
              </w:rPr>
            </w:pPr>
            <w:r>
              <w:rPr>
                <w:rFonts w:ascii="Arial" w:hAnsi="Arial" w:cs="Arial"/>
                <w:sz w:val="20"/>
                <w:szCs w:val="20"/>
              </w:rPr>
              <w:t>Submission of the outcome quality matrix is only mandatory for breast cancer centres that have a functioning cancer registry. Clinical sites that apply for a reduction in the audit cycle or that do not undergo an on-site inspection based on a positive assessment of the application are still required to submit the outcome quality matrix (follow-up rate ≥70%).</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10.7.2.b</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Outcome quality for skin cancer</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The collection of survival data is optional. Missing Kaplan-Meier curves should not lead to a deviation of the centre.</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The tumour documentation/matrix </w:t>
            </w:r>
            <w:r>
              <w:rPr>
                <w:rFonts w:ascii="Arial" w:hAnsi="Arial" w:cs="Arial" w:eastAsia="Arial"/>
                <w:b w:val="1"/>
                <w:color w:val="1A2020"/>
                <w:sz w:val="20"/>
                <w:szCs w:val="20"/>
                <w:shd w:val="clear" w:color="auto" w:fill="FFFFFF"/>
              </w:rPr>
              <w:t>must be</w:t>
            </w:r>
            <w:r>
              <w:rPr>
                <w:rFonts w:ascii="Arial" w:hAnsi="Arial" w:cs="Arial" w:eastAsia="Arial"/>
                <w:color w:val="1A2020"/>
                <w:sz w:val="20"/>
                <w:szCs w:val="20"/>
                <w:shd w:val="clear" w:color="auto" w:fill="FFFFFF"/>
              </w:rPr>
              <w:t> for malignant melanoma stages I to IV according to TNM 8th edition (primary cases; no stage shifts), and additionally for rare tumours (cutaneous lymphomas from stage IIb, angiosarcoma, Merkel cell carcinoma, DFSP).</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Kaplan-Meier curves for malignant melanoma only</w:t>
            </w:r>
          </w:p>
          <w:p>
            <w:pPr>
              <w:numPr>
                <w:ilvl w:val="0"/>
                <w:numId w:val="153"/>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Overall survival (OAS) and progression-free survival (PFS)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10.7.2.c</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Outcome quality for prostate cancer</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1. Recurrence-free survival by stage (Kaplan-Meier curves)</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Definition of biochemical recurrence:</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a. After radical prostatectomy, a PSA value of &gt; 0.2 ng/ml confirmed in at least two measurements (interval of 2 weeks)</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b. After radiotherapy alone, a PSA increase of &gt; 2 ng/ml above the post-interventional PSA nadir confirmed in at least two measurements (2-3 months apart).</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2. Overall survival by pT categories, stage (Kaplan-Meier curves)</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3. Patient questionnaire EPIC-26 including additional questions; must be available at the time of initial certification.</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10.8</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Parameter outcome quality / Kaplan-Meier curve</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If Kaplan-Meier curves can be generated from OncoBox or TDS, they must be created and evaluated annually.</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Each Kaplan-Meier curve must also include a table with patient numbers and survival data.</w:t>
            </w:r>
          </w:p>
          <w:p>
            <w:pPr>
              <w:numPr>
                <w:ilvl w:val="0"/>
                <w:numId w:val="154"/>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Disease-free survival (DFS); valid for PZ</w:t>
            </w:r>
          </w:p>
          <w:p>
            <w:pPr>
              <w:numPr>
                <w:ilvl w:val="0"/>
                <w:numId w:val="154"/>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Local recurrence rate (LRR); valid for BZ, DZ, MP</w:t>
            </w:r>
          </w:p>
          <w:p>
            <w:pPr>
              <w:numPr>
                <w:ilvl w:val="0"/>
                <w:numId w:val="154"/>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Local recurrence-free survival (LRFS); valid for LZ, MN, MB, MH, OZ</w:t>
            </w:r>
          </w:p>
          <w:p>
            <w:pPr>
              <w:numPr>
                <w:ilvl w:val="0"/>
                <w:numId w:val="154"/>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Metastasis-free survival (MFS); valid for BZ, DZ, MP, OZ</w:t>
            </w:r>
          </w:p>
          <w:p>
            <w:pPr>
              <w:numPr>
                <w:ilvl w:val="0"/>
                <w:numId w:val="154"/>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Progression-free time/survival (PFS);</w:t>
            </w:r>
          </w:p>
          <w:p>
            <w:pPr>
              <w:numPr>
                <w:ilvl w:val="0"/>
                <w:numId w:val="154"/>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valid for GZ, HAEZ, HZ</w:t>
            </w:r>
          </w:p>
          <w:p>
            <w:pPr>
              <w:numPr>
                <w:ilvl w:val="0"/>
                <w:numId w:val="154"/>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Progression-free survival (PFS) or disease-free survival (DFS); valid for BZ, DZ, MP</w:t>
            </w:r>
          </w:p>
          <w:p>
            <w:pPr>
              <w:numPr>
                <w:ilvl w:val="0"/>
                <w:numId w:val="154"/>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Survival from progression (PPS); valid for BZ, LZ, DZ, MP, HAEZ, MN, MB, MH</w:t>
            </w:r>
          </w:p>
          <w:p>
            <w:pPr>
              <w:numPr>
                <w:ilvl w:val="0"/>
                <w:numId w:val="154"/>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Overall survival (OAS)</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10.9.1</w:t>
            </w:r>
          </w:p>
        </w:tc>
        <w:tc>
          <w:tcPr>
            <w:tcW w:w="1" w:type="dxa"/>
          </w:tcPr>
          <w:p>
            <w:pPr>
              <w:spacing w:before="0" w:after="19"/>
              <w:ind w:left="0" w:right="0"/>
              <w:rPr>
                <w:rFonts w:ascii="Arial" w:hAnsi="Arial" w:cs="Arial"/>
                <w:sz w:val="20"/>
                <w:szCs w:val="20"/>
              </w:rPr>
            </w:pPr>
            <w:r>
              <w:rPr>
                <w:rFonts w:ascii="Arial" w:hAnsi="Arial" w:cs="Arial"/>
                <w:sz w:val="20"/>
                <w:szCs w:val="20"/>
              </w:rPr>
              <w:t>Data exchange between the §65c Cancer Registry and centres</w:t>
            </w:r>
          </w:p>
          <w:p>
            <w:pPr>
              <w:numPr>
                <w:ilvl w:val="0"/>
                <w:numId w:val="155"/>
              </w:numPr>
              <w:spacing w:before="0" w:after="19"/>
              <w:ind w:hanging="283" w:left="283" w:right="0"/>
              <w:rPr>
                <w:rFonts w:ascii="Arial" w:hAnsi="Arial" w:cs="Arial"/>
                <w:sz w:val="20"/>
                <w:szCs w:val="20"/>
              </w:rPr>
            </w:pPr>
            <w:r>
              <w:rPr>
                <w:rFonts w:ascii="Arial" w:hAnsi="Arial" w:cs="Arial"/>
                <w:sz w:val="20"/>
                <w:szCs w:val="20"/>
              </w:rPr>
              <w:t>Transmission of patient-related follow-up data to the §65c Cancer Registry</w:t>
            </w:r>
          </w:p>
          <w:p>
            <w:pPr>
              <w:numPr>
                <w:ilvl w:val="0"/>
                <w:numId w:val="155"/>
              </w:numPr>
              <w:spacing w:before="0" w:after="19"/>
              <w:ind w:hanging="283" w:left="283" w:right="0"/>
              <w:rPr>
                <w:rFonts w:ascii="Arial" w:hAnsi="Arial" w:cs="Arial"/>
                <w:sz w:val="20"/>
                <w:szCs w:val="20"/>
              </w:rPr>
            </w:pPr>
            <w:r>
              <w:rPr>
                <w:rFonts w:ascii="Arial" w:hAnsi="Arial" w:cs="Arial"/>
                <w:sz w:val="20"/>
                <w:szCs w:val="20"/>
              </w:rPr>
              <w:t>The follow-up data should be transmitted from the centre to the §65c Cancer Registry in accordance with the legal requirements.</w:t>
            </w:r>
          </w:p>
          <w:p>
            <w:pPr>
              <w:numPr>
                <w:ilvl w:val="0"/>
                <w:numId w:val="155"/>
              </w:numPr>
              <w:spacing w:before="0" w:after="19"/>
              <w:ind w:hanging="283" w:left="283" w:right="0"/>
              <w:rPr>
                <w:rFonts w:ascii="Arial" w:hAnsi="Arial" w:cs="Arial"/>
                <w:sz w:val="20"/>
                <w:szCs w:val="20"/>
              </w:rPr>
            </w:pPr>
            <w:r>
              <w:rPr>
                <w:rFonts w:ascii="Arial" w:hAnsi="Arial" w:cs="Arial"/>
                <w:sz w:val="20"/>
                <w:szCs w:val="20"/>
              </w:rPr>
              <w:t>Request for patient-related follow-up data from the §65c Cancer Registry</w:t>
            </w:r>
          </w:p>
          <w:p>
            <w:pPr>
              <w:numPr>
                <w:ilvl w:val="0"/>
                <w:numId w:val="155"/>
              </w:numPr>
              <w:spacing w:before="0" w:after="19"/>
              <w:ind w:hanging="283" w:left="283" w:right="0"/>
              <w:rPr>
                <w:rFonts w:ascii="Arial" w:hAnsi="Arial" w:cs="Arial"/>
                <w:sz w:val="20"/>
                <w:szCs w:val="20"/>
              </w:rPr>
            </w:pPr>
            <w:r>
              <w:rPr>
                <w:rFonts w:ascii="Arial" w:hAnsi="Arial" w:cs="Arial"/>
                <w:sz w:val="20"/>
                <w:szCs w:val="20"/>
              </w:rPr>
              <w:t>Functioning cancer registries represent the follow-up status. The follow-up data should be requested from the §65c Cancer Registry by the centre at least once a year.</w:t>
            </w:r>
          </w:p>
          <w:p>
            <w:pPr>
              <w:numPr>
                <w:ilvl w:val="0"/>
                <w:numId w:val="155"/>
              </w:numPr>
              <w:spacing w:before="0" w:after="19"/>
              <w:ind w:hanging="283" w:left="283" w:right="0"/>
              <w:rPr>
                <w:rFonts w:ascii="Arial" w:hAnsi="Arial" w:cs="Arial"/>
                <w:sz w:val="20"/>
                <w:szCs w:val="20"/>
              </w:rPr>
            </w:pPr>
            <w:r>
              <w:rPr>
                <w:rFonts w:ascii="Arial" w:hAnsi="Arial" w:cs="Arial"/>
                <w:sz w:val="20"/>
                <w:szCs w:val="20"/>
              </w:rPr>
              <w:t>If cancer registries do not provide follow-up data for patients, a written statement from the CR must be provided (a cross-clinic statement is possible).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The process of data exchange between the §65c Cancer Registry and the centre must be described.</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10.9.2</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§65c </w:t>
            </w:r>
            <w:r>
              <w:rPr>
                <w:rFonts w:ascii="Arial" w:hAnsi="Arial" w:cs="Arial"/>
                <w:sz w:val="20"/>
                <w:szCs w:val="20"/>
              </w:rPr>
              <w:t>Cancer Registry – Comparison of Patient Cohort Centre</w:t>
            </w:r>
          </w:p>
          <w:p>
            <w:pPr>
              <w:spacing w:before="0" w:after="19"/>
              <w:ind w:left="0" w:right="0"/>
              <w:rPr>
                <w:rFonts w:ascii="Arial" w:hAnsi="Arial" w:cs="Arial"/>
                <w:sz w:val="20"/>
                <w:szCs w:val="20"/>
              </w:rPr>
            </w:pPr>
            <w:r>
              <w:rPr>
                <w:rFonts w:ascii="Arial" w:hAnsi="Arial" w:cs="Arial"/>
                <w:sz w:val="20"/>
                <w:szCs w:val="20"/>
              </w:rPr>
              <w:t>A comparison of the patient cohort between the centre and the Section 65c Cancer Registry should be carried out.</w:t>
            </w:r>
          </w:p>
          <w:p>
            <w:pPr>
              <w:spacing w:before="0" w:after="19"/>
              <w:ind w:left="0" w:right="0"/>
              <w:rPr>
                <w:rFonts w:ascii="Arial" w:hAnsi="Arial" w:cs="Arial"/>
                <w:sz w:val="20"/>
                <w:szCs w:val="20"/>
              </w:rPr>
            </w:pPr>
            <w:r>
              <w:rPr>
                <w:rFonts w:ascii="Arial" w:hAnsi="Arial" w:cs="Arial"/>
                <w:sz w:val="20"/>
                <w:szCs w:val="20"/>
              </w:rPr>
              <w:t>If available, the procedure or IT tool (e.g. OncoBox Compare) used to compare patient cohorts should be specified.</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10.9.3.a</w:t>
            </w:r>
          </w:p>
        </w:tc>
        <w:tc>
          <w:tcPr>
            <w:tcW w:w="1" w:type="dxa"/>
          </w:tcPr>
          <w:p>
            <w:pPr>
              <w:spacing w:before="0" w:after="19"/>
              <w:ind w:left="0" w:right="0"/>
              <w:rPr>
                <w:rFonts w:ascii="Arial" w:hAnsi="Arial" w:cs="Arial"/>
                <w:sz w:val="20"/>
                <w:szCs w:val="20"/>
              </w:rPr>
            </w:pPr>
            <w:r>
              <w:rPr>
                <w:rFonts w:ascii="Arial" w:hAnsi="Arial" w:cs="Arial"/>
                <w:sz w:val="20"/>
                <w:szCs w:val="20"/>
              </w:rPr>
              <w:t>Follow-up rate for colon, pancreas and prostate cancer</w:t>
            </w:r>
          </w:p>
          <w:p>
            <w:pPr>
              <w:numPr>
                <w:ilvl w:val="0"/>
                <w:numId w:val="156"/>
              </w:numPr>
              <w:spacing w:before="0" w:after="19"/>
              <w:ind w:hanging="283" w:left="283" w:right="0"/>
              <w:rPr>
                <w:rFonts w:ascii="Arial" w:hAnsi="Arial" w:cs="Arial"/>
                <w:sz w:val="20"/>
                <w:szCs w:val="20"/>
              </w:rPr>
            </w:pPr>
            <w:r>
              <w:rPr>
                <w:rFonts w:ascii="Arial" w:hAnsi="Arial" w:cs="Arial"/>
                <w:sz w:val="20"/>
                <w:szCs w:val="20"/>
              </w:rPr>
              <w:t>≥ 80% - Minimum requirement for successful recertification</w:t>
            </w:r>
          </w:p>
          <w:p>
            <w:pPr>
              <w:numPr>
                <w:ilvl w:val="0"/>
                <w:numId w:val="156"/>
              </w:numPr>
              <w:spacing w:before="0" w:after="19"/>
              <w:ind w:hanging="283" w:left="283" w:right="0"/>
              <w:rPr>
                <w:rFonts w:ascii="Arial" w:hAnsi="Arial" w:cs="Arial"/>
                <w:sz w:val="20"/>
                <w:szCs w:val="20"/>
              </w:rPr>
            </w:pPr>
            <w:r>
              <w:rPr>
                <w:rFonts w:ascii="Arial" w:hAnsi="Arial" w:cs="Arial"/>
                <w:sz w:val="20"/>
                <w:szCs w:val="20"/>
              </w:rPr>
              <w:t>60 - 79% - Recertification or maintenance of certification only possible with conditions (e.g. reduced validity period, concept for increasing the response rate, etc.)</w:t>
            </w:r>
          </w:p>
          <w:p>
            <w:pPr>
              <w:numPr>
                <w:ilvl w:val="0"/>
                <w:numId w:val="156"/>
              </w:numPr>
              <w:spacing w:before="0" w:after="19"/>
              <w:ind w:hanging="283" w:left="283" w:right="0"/>
              <w:rPr>
                <w:rFonts w:ascii="Arial" w:hAnsi="Arial" w:cs="Arial"/>
                <w:sz w:val="20"/>
                <w:szCs w:val="20"/>
              </w:rPr>
            </w:pPr>
            <w:r>
              <w:rPr>
                <w:rFonts w:ascii="Arial" w:hAnsi="Arial" w:cs="Arial"/>
                <w:sz w:val="20"/>
                <w:szCs w:val="20"/>
              </w:rPr>
              <w:t>&lt; 60% – recertification or maintenance of certification not possible</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10.9.3.b</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Follow-up rate for lung cancer</w:t>
            </w:r>
          </w:p>
          <w:p>
            <w:pPr>
              <w:numPr>
                <w:ilvl w:val="0"/>
                <w:numId w:val="157"/>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Minimum requirement for successful recertification: ≥ 80%</w:t>
            </w:r>
          </w:p>
          <w:p>
            <w:pPr>
              <w:numPr>
                <w:ilvl w:val="0"/>
                <w:numId w:val="157"/>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Recertification or maintenance of certification only possible with conditions (e.g. reduced period of validity, concept for increasing the response rate, etc.): up to 79%</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10.9.3.c</w:t>
            </w:r>
          </w:p>
        </w:tc>
        <w:tc>
          <w:tcPr>
            <w:tcW w:w="1" w:type="dxa"/>
          </w:tcPr>
          <w:p>
            <w:pPr>
              <w:spacing w:before="0" w:after="19"/>
              <w:ind w:left="0" w:right="0"/>
              <w:rPr>
                <w:rFonts w:ascii="Arial" w:hAnsi="Arial" w:cs="Arial"/>
                <w:sz w:val="20"/>
                <w:szCs w:val="20"/>
              </w:rPr>
            </w:pPr>
            <w:r>
              <w:rPr>
                <w:rFonts w:ascii="Arial" w:hAnsi="Arial" w:cs="Arial"/>
                <w:sz w:val="20"/>
                <w:szCs w:val="20"/>
              </w:rPr>
              <w:t>Follow-up rate for bladder cancer</w:t>
            </w:r>
          </w:p>
          <w:p>
            <w:pPr>
              <w:spacing w:before="0" w:after="19"/>
              <w:ind w:left="0" w:right="0"/>
              <w:rPr>
                <w:rFonts w:ascii="Arial" w:hAnsi="Arial" w:cs="Arial"/>
                <w:sz w:val="20"/>
                <w:szCs w:val="20"/>
              </w:rPr>
            </w:pPr>
            <w:r>
              <w:rPr>
                <w:rFonts w:ascii="Arial" w:hAnsi="Arial" w:cs="Arial"/>
                <w:sz w:val="20"/>
                <w:szCs w:val="20"/>
              </w:rPr>
              <w:t>No follow-up data is to be collected for stage 0 a/is (Ta/Tis-N0-M0).</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10.9.3.d</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Recording Follow-up  HBOC (Hereditary Breast and Ovarian Cancer) </w:t>
            </w:r>
          </w:p>
          <w:p>
            <w:pPr>
              <w:numPr>
                <w:ilvl w:val="0"/>
                <w:numId w:val="158"/>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High-risk patients requiring intensive follow-up care in accordance with SOP</w:t>
            </w:r>
          </w:p>
          <w:p>
            <w:pPr>
              <w:numPr>
                <w:ilvl w:val="0"/>
                <w:numId w:val="158"/>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Those seeking advice who are at high risk requiring intensive early detection in accordance with SOP</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widowControl w:val="1"/>
        <w:rPr>
          <w:rFonts w:ascii="Arial" w:hAnsi="Arial"/>
          <w:lang w:val="ro-RO" w:bidi="ar-SA" w:eastAsia="de-DE"/>
        </w:rPr>
      </w:pPr>
    </w:p>
    <w:p>
      <w:pPr>
        <w:widowControl w:val="1"/>
        <w:rPr>
          <w:rFonts w:ascii="Arial" w:hAnsi="Arial"/>
          <w:lang w:val="ro-RO" w:bidi="he-IL" w:eastAsia="de-DE"/>
        </w:rPr>
      </w:pPr>
    </w:p>
    <w:p>
      <w:pPr>
        <w:pStyle w:val="P4"/>
        <w:widowControl w:val="1"/>
        <w:tabs>
          <w:tab w:val="clear" w:pos="4536" w:leader="none"/>
          <w:tab w:val="clear" w:pos="9072" w:leader="none"/>
        </w:tabs>
        <w:rPr>
          <w:rFonts w:ascii="Arial" w:hAnsi="Arial"/>
          <w:lang w:val="en-US" w:bidi="he-IL" w:eastAsia="de-DE"/>
        </w:rPr>
      </w:pPr>
    </w:p>
    <w:p>
      <w:pPr>
        <w:pStyle w:val="P4"/>
        <w:widowControl w:val="1"/>
        <w:tabs>
          <w:tab w:val="clear" w:pos="4536" w:leader="none"/>
          <w:tab w:val="clear" w:pos="9072" w:leader="none"/>
        </w:tabs>
        <w:rPr>
          <w:rFonts w:ascii="Arial" w:hAnsi="Arial"/>
          <w:lang w:val="en-US" w:bidi="he-IL" w:eastAsia="de-DE"/>
        </w:rPr>
      </w:pPr>
    </w:p>
    <w:p>
      <w:pPr>
        <w:pStyle w:val="P4"/>
        <w:widowControl w:val="1"/>
        <w:tabs>
          <w:tab w:val="clear" w:pos="4536" w:leader="none"/>
          <w:tab w:val="clear" w:pos="9072" w:leader="none"/>
        </w:tabs>
        <w:rPr>
          <w:rFonts w:ascii="Arial" w:hAnsi="Arial"/>
          <w:lang w:val="en-US" w:bidi="he-IL" w:eastAsia="de-DE"/>
        </w:rPr>
      </w:pPr>
    </w:p>
    <w:p>
      <w:pPr>
        <w:widowControl w:val="1"/>
        <w:rPr>
          <w:rFonts w:ascii="Arial" w:hAnsi="Arial"/>
          <w:b w:val="1"/>
          <w:bCs w:val="1"/>
          <w:lang w:val="en-GB" w:bidi="he-IL" w:eastAsia="de-DE"/>
        </w:rPr>
      </w:pPr>
      <w:bookmarkStart w:id="4" w:name="_Hlk184138692"/>
      <w:r>
        <w:rPr>
          <w:rFonts w:ascii="Arial" w:hAnsi="Arial"/>
          <w:b w:val="1"/>
          <w:bCs w:val="1"/>
          <w:lang w:val="en-GB" w:bidi="he-IL" w:eastAsia="de-DE"/>
        </w:rPr>
        <w:t>Data Sheet</w:t>
      </w:r>
    </w:p>
    <w:p>
      <w:pPr>
        <w:widowControl w:val="1"/>
        <w:rPr>
          <w:rFonts w:ascii="Arial" w:hAnsi="Arial"/>
          <w:bCs w:val="1"/>
          <w:lang w:val="en-GB" w:bidi="he-IL" w:eastAsia="de-DE"/>
        </w:rPr>
      </w:pPr>
    </w:p>
    <w:p>
      <w:pPr>
        <w:widowControl w:val="1"/>
        <w:jc w:val="both"/>
        <w:rPr>
          <w:rFonts w:ascii="Arial" w:hAnsi="Arial"/>
          <w:bCs w:val="1"/>
          <w:lang w:val="en-GB" w:bidi="he-IL" w:eastAsia="de-DE"/>
        </w:rPr>
      </w:pPr>
      <w:r>
        <w:rPr>
          <w:rFonts w:ascii="Arial" w:hAnsi="Arial"/>
          <w:bCs w:val="1"/>
          <w:lang w:val="en-GB" w:bidi="he-IL" w:eastAsia="de-DE"/>
        </w:rPr>
        <w:t>A Data Sheet (EXCEL template) is available for presenting the Basic Data, indicators and other data from the Centre. The Data Sheet is an appendix to the Catalouge of Requirement.</w:t>
      </w:r>
    </w:p>
    <w:p>
      <w:pPr>
        <w:widowControl w:val="1"/>
        <w:jc w:val="both"/>
        <w:rPr>
          <w:rFonts w:ascii="Arial" w:hAnsi="Arial"/>
          <w:bCs w:val="1"/>
          <w:lang w:val="en-GB" w:bidi="he-IL" w:eastAsia="de-DE"/>
        </w:rPr>
      </w:pPr>
    </w:p>
    <w:p>
      <w:pPr>
        <w:pStyle w:val="P15"/>
        <w:widowControl w:val="1"/>
        <w:rPr>
          <w:rFonts w:ascii="Arial" w:hAnsi="Arial"/>
          <w:bCs w:val="1"/>
          <w:strike w:val="1"/>
          <w:lang w:val="en-US" w:bidi="he-IL" w:eastAsia="de-DE"/>
        </w:rPr>
      </w:pPr>
      <w:r>
        <w:rPr>
          <w:rFonts w:ascii="Arial" w:hAnsi="Arial"/>
          <w:bCs w:val="1"/>
          <w:lang w:val="en-GB" w:bidi="he-IL" w:eastAsia="de-DE"/>
        </w:rPr>
        <w:t xml:space="preserve">The EXCEL template can be downloaded from </w:t>
      </w:r>
      <w:hyperlink xmlns:r="http://schemas.openxmlformats.org/officeDocument/2006/relationships" r:id="R8">
        <w:r>
          <w:rPr>
            <w:rStyle w:val="C2"/>
            <w:rFonts w:ascii="Arial" w:hAnsi="Arial"/>
            <w:bCs w:val="1"/>
            <w:lang w:val="en-GB" w:bidi="he-IL" w:eastAsia="de-DE"/>
          </w:rPr>
          <w:t>http://ecc-cert.org/</w:t>
        </w:r>
      </w:hyperlink>
      <w:r>
        <w:rPr>
          <w:rFonts w:ascii="Arial" w:hAnsi="Arial"/>
          <w:bCs w:val="1"/>
          <w:lang w:val="en-GB" w:bidi="he-IL" w:eastAsia="de-DE"/>
        </w:rPr>
        <w:t xml:space="preserve"> and </w:t>
      </w:r>
      <w:hyperlink xmlns:r="http://schemas.openxmlformats.org/officeDocument/2006/relationships" r:id="R9">
        <w:r>
          <w:rPr>
            <w:rFonts w:ascii="Arial" w:hAnsi="Arial"/>
            <w:bCs w:val="1"/>
            <w:color w:val="0000FF"/>
            <w:u w:val="single"/>
            <w:lang w:val="en-GB" w:bidi="he-IL" w:eastAsia="de-DE"/>
          </w:rPr>
          <w:t>www.onkozert.de</w:t>
        </w:r>
      </w:hyperlink>
    </w:p>
    <w:p>
      <w:pPr>
        <w:rPr>
          <w:rFonts w:ascii="Arial" w:hAnsi="Arial" w:cs="Arial"/>
          <w:sz w:val="20"/>
          <w:szCs w:val="20"/>
          <w:lang w:val="ro-RO" w:bidi="ar-SA"/>
        </w:rPr>
      </w:pPr>
      <w:bookmarkEnd w:id="4"/>
    </w:p>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footnotePr/>
      <w:endnotePr/>
      <w:type w:val="nextPage"/>
      <w:pgSz w:w="11906" w:h="16838" w:code="0"/>
      <w:pgMar w:left="851" w:right="567" w:top="567" w:bottom="567" w:header="283" w:footer="283" w:gutter="0"/>
    </w:sectPr>
  </w:body>
</w:document>
</file>

<file path=word/endnotes.xml><?xml version="1.0" encoding="utf-8"?>
<w:end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endnote w:type="separator" w:id="-1">
    <w:p>
      <w:r>
        <w:separator/>
      </w:r>
    </w:p>
  </w:endnote>
  <w:endnote w:type="continuationSeparator" w:id="0">
    <w:p>
      <w:r>
        <w:continuationSeparator/>
      </w:r>
    </w:p>
  </w:endnote>
</w:endnotes>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7"/>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7"/>
      <w:tabs>
        <w:tab w:val="left" w:pos="3261" w:leader="none"/>
        <w:tab w:val="clear" w:pos="4536" w:leader="none"/>
        <w:tab w:val="center" w:pos="5103" w:leader="none"/>
        <w:tab w:val="left" w:pos="8364" w:leader="none"/>
        <w:tab w:val="clear" w:pos="9072" w:leader="none"/>
        <w:tab w:val="right" w:pos="9923" w:leader="none"/>
      </w:tabs>
      <w:rPr>
        <w:sz w:val="14"/>
        <w:szCs w:val="14"/>
        <w:lang w:val="en-US"/>
      </w:rPr>
    </w:pPr>
    <w:r>
      <w:rPr>
        <w:rFonts w:ascii="Arial" w:hAnsi="Arial" w:cs="Arial"/>
        <w:sz w:val="14"/>
        <w:szCs w:val="14"/>
      </w:rPr>
      <w:fldChar w:fldCharType="begin"/>
    </w:r>
    <w:r>
      <w:rPr>
        <w:rFonts w:ascii="Arial" w:hAnsi="Arial" w:cs="Arial"/>
        <w:sz w:val="14"/>
        <w:szCs w:val="14"/>
        <w:lang w:val="en-US"/>
      </w:rPr>
      <w:instrText xml:space="preserve"> TITLE   \* MERGEFORMAT </w:instrText>
    </w:r>
    <w:r>
      <w:rPr>
        <w:rFonts w:ascii="Arial" w:hAnsi="Arial" w:cs="Arial"/>
        <w:sz w:val="14"/>
        <w:szCs w:val="14"/>
      </w:rPr>
      <w:fldChar w:fldCharType="separate"/>
    </w:r>
    <w:r>
      <w:rPr>
        <w:rFonts w:ascii="Arial" w:hAnsi="Arial" w:cs="Arial"/>
        <w:sz w:val="14"/>
        <w:szCs w:val="14"/>
        <w:lang w:val="en-US"/>
      </w:rPr>
      <w:t>cr</w:t>
    </w:r>
    <w:r>
      <w:rPr>
        <w:rFonts w:ascii="Arial" w:hAnsi="Arial" w:cs="Arial"/>
        <w:sz w:val="14"/>
        <w:szCs w:val="14"/>
        <w:lang w:val="en-US"/>
      </w:rPr>
      <w:t>_</w:t>
    </w:r>
    <w:r>
      <w:rPr>
        <w:rFonts w:ascii="Arial" w:hAnsi="Arial" w:cs="Arial"/>
        <w:sz w:val="14"/>
        <w:szCs w:val="14"/>
        <w:lang w:val="en-US"/>
      </w:rPr>
      <w:t>hc</w:t>
    </w:r>
    <w:r>
      <w:rPr>
        <w:rFonts w:ascii="Arial" w:hAnsi="Arial" w:cs="Arial"/>
        <w:sz w:val="14"/>
        <w:szCs w:val="14"/>
        <w:lang w:val="en-US"/>
      </w:rPr>
      <w:t>-</w:t>
    </w:r>
    <w:r>
      <w:rPr>
        <w:rFonts w:ascii="Arial" w:hAnsi="Arial" w:cs="Arial"/>
        <w:sz w:val="14"/>
        <w:szCs w:val="14"/>
        <w:lang w:val="en-US"/>
      </w:rPr>
      <w:t>D2</w:t>
    </w:r>
    <w:r>
      <w:rPr>
        <w:rFonts w:ascii="Arial" w:hAnsi="Arial" w:cs="Arial"/>
        <w:sz w:val="14"/>
        <w:szCs w:val="14"/>
        <w:lang w:val="en-US"/>
      </w:rPr>
      <w:t>_</w:t>
    </w:r>
    <w:r>
      <w:rPr>
        <w:rFonts w:ascii="Arial" w:hAnsi="Arial" w:cs="Arial"/>
        <w:sz w:val="14"/>
        <w:szCs w:val="14"/>
        <w:lang w:val="en-US"/>
      </w:rPr>
      <w:t>ENG</w:t>
    </w:r>
    <w:r>
      <w:rPr>
        <w:rFonts w:ascii="Arial" w:hAnsi="Arial" w:cs="Arial"/>
        <w:sz w:val="14"/>
        <w:szCs w:val="14"/>
        <w:lang w:val="en-US"/>
      </w:rPr>
      <w:t>_</w:t>
    </w:r>
    <w:r>
      <w:rPr>
        <w:rFonts w:ascii="Arial" w:hAnsi="Arial" w:cs="Arial"/>
        <w:sz w:val="14"/>
        <w:szCs w:val="14"/>
        <w:lang w:val="en-US"/>
      </w:rPr>
      <w:t>251211</w:t>
    </w:r>
    <w:r>
      <w:rPr>
        <w:rFonts w:ascii="Arial" w:hAnsi="Arial" w:cs="Arial"/>
        <w:sz w:val="14"/>
        <w:szCs w:val="14"/>
        <w:lang w:val="en-US"/>
      </w:rPr>
      <w:t>.</w:t>
    </w:r>
    <w:r>
      <w:rPr>
        <w:rFonts w:ascii="Arial" w:hAnsi="Arial" w:cs="Arial"/>
        <w:sz w:val="14"/>
        <w:szCs w:val="14"/>
        <w:lang w:val="en-US"/>
      </w:rPr>
      <w:t>docx</w:t>
    </w:r>
    <w:r>
      <w:rPr>
        <w:rFonts w:ascii="Arial" w:hAnsi="Arial" w:cs="Arial"/>
        <w:sz w:val="14"/>
        <w:szCs w:val="14"/>
      </w:rPr>
      <w:fldChar w:fldCharType="end"/>
    </w:r>
    <w:r>
      <w:rPr>
        <w:rFonts w:ascii="Arial" w:hAnsi="Arial" w:cs="Arial"/>
        <w:sz w:val="14"/>
        <w:szCs w:val="14"/>
        <w:lang w:val="en-US"/>
      </w:rPr>
      <w:tab/>
      <w:t xml:space="preserve">© DKG All rights reserved </w:t>
    </w:r>
    <w:r>
      <w:rPr>
        <w:rFonts w:ascii="Arial" w:hAnsi="Arial" w:cs="Arial"/>
        <w:sz w:val="14"/>
        <w:szCs w:val="14"/>
        <w:lang w:val="en-US"/>
      </w:rPr>
      <w:t>(</w:t>
    </w:r>
    <w:r>
      <w:rPr>
        <w:rFonts w:ascii="Arial" w:hAnsi="Arial" w:cs="Arial"/>
        <w:sz w:val="14"/>
        <w:szCs w:val="14"/>
        <w:lang w:val="en-US"/>
      </w:rPr>
      <w:t>Vers D2</w:t>
    </w:r>
    <w:r>
      <w:rPr>
        <w:rFonts w:ascii="Arial" w:hAnsi="Arial" w:cs="Arial"/>
        <w:sz w:val="14"/>
        <w:szCs w:val="14"/>
        <w:lang w:val="en-US"/>
      </w:rPr>
      <w:t>,</w:t>
    </w:r>
    <w:r>
      <w:rPr>
        <w:rFonts w:ascii="Arial" w:hAnsi="Arial" w:cs="Arial"/>
        <w:sz w:val="14"/>
        <w:szCs w:val="14"/>
        <w:lang w:val="en-US"/>
      </w:rPr>
      <w:t xml:space="preserve"> 11 Dec</w:t>
    </w:r>
    <w:r>
      <w:rPr>
        <w:rFonts w:ascii="Arial" w:hAnsi="Arial" w:cs="Arial"/>
        <w:sz w:val="14"/>
        <w:szCs w:val="14"/>
        <w:lang w:val="en-US"/>
      </w:rPr>
      <w:t>.</w:t>
    </w:r>
    <w:r>
      <w:rPr>
        <w:rFonts w:ascii="Arial" w:hAnsi="Arial" w:cs="Arial"/>
        <w:sz w:val="14"/>
        <w:szCs w:val="14"/>
        <w:lang w:val="en-US"/>
      </w:rPr>
      <w:t xml:space="preserve"> 2025</w:t>
    </w:r>
    <w:r>
      <w:rPr>
        <w:rFonts w:ascii="Arial" w:hAnsi="Arial" w:cs="Arial"/>
        <w:sz w:val="14"/>
        <w:szCs w:val="14"/>
        <w:lang w:val="en-US"/>
      </w:rPr>
      <w:t>)</w:t>
    </w:r>
    <w:r>
      <w:rPr>
        <w:rFonts w:ascii="Arial" w:hAnsi="Arial" w:cs="Arial"/>
        <w:sz w:val="14"/>
        <w:szCs w:val="14"/>
        <w:lang w:val="en-US"/>
      </w:rPr>
      <w:tab/>
    </w:r>
    <w:r>
      <w:rPr>
        <w:rFonts w:ascii="Arial" w:hAnsi="Arial" w:cs="Arial"/>
        <w:sz w:val="14"/>
        <w:szCs w:val="14"/>
        <w:lang w:val="en-US"/>
      </w:rPr>
      <w:fldChar w:fldCharType="begin"/>
    </w:r>
    <w:r>
      <w:rPr>
        <w:rFonts w:ascii="Arial" w:hAnsi="Arial" w:cs="Arial"/>
        <w:sz w:val="14"/>
        <w:szCs w:val="14"/>
        <w:lang w:val="en-US"/>
      </w:rPr>
      <w:instrText xml:space="preserve"> PAGE  \* Arabic  \* MERGEFORMAT </w:instrText>
    </w:r>
    <w:r>
      <w:rPr>
        <w:rFonts w:ascii="Arial" w:hAnsi="Arial" w:cs="Arial"/>
        <w:sz w:val="14"/>
        <w:szCs w:val="14"/>
        <w:lang w:val="en-US"/>
      </w:rPr>
      <w:fldChar w:fldCharType="separate"/>
    </w:r>
    <w:r>
      <w:rPr>
        <w:rFonts w:ascii="Arial" w:hAnsi="Arial" w:cs="Arial"/>
        <w:noProof w:val="1"/>
        <w:sz w:val="14"/>
        <w:szCs w:val="14"/>
        <w:lang w:val="en-US"/>
      </w:rPr>
      <w:t>#</w:t>
    </w:r>
    <w:r>
      <w:rPr>
        <w:rFonts w:ascii="Arial" w:hAnsi="Arial" w:cs="Arial"/>
        <w:sz w:val="14"/>
        <w:szCs w:val="14"/>
        <w:lang w:val="en-US"/>
      </w:rPr>
      <w:fldChar w:fldCharType="end"/>
    </w: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7"/>
    </w:pPr>
  </w:p>
</w:ftr>
</file>

<file path=word/footnotes.xml><?xml version="1.0" encoding="utf-8"?>
<w:foot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4"/>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tbl>
    <w:tblPr>
      <w:tblW w:w="10773" w:type="dxa"/>
      <w:tblInd w:w="-459" w:type="dxa"/>
      <w:tblLook w:val="04A0"/>
    </w:tblPr>
    <w:tblGrid/>
    <w:tr>
      <w:trPr>
        <w:trHeight w:hRule="atLeast" w:val="841"/>
      </w:trPr>
      <w:tc>
        <w:tcPr>
          <w:tcW w:w="3227" w:type="dxa"/>
          <w:vAlign w:val="bottom"/>
        </w:tcPr>
        <w:p>
          <w:pPr>
            <w:pStyle w:val="P4"/>
            <w:tabs>
              <w:tab w:val="clear" w:pos="9072" w:leader="none"/>
              <w:tab w:val="right" w:pos="9531" w:leader="none"/>
            </w:tabs>
            <w:jc w:val="center"/>
            <w:rPr>
              <w:rFonts w:ascii="Arial" w:hAnsi="Arial"/>
            </w:rPr>
          </w:pPr>
          <w:r>
            <w:rPr>
              <w:noProof w:val="1"/>
              <w:lang w:bidi="ar-SA"/>
            </w:rPr>
            <w:drawing>
              <wp:inline xmlns:wp="http://schemas.openxmlformats.org/drawingml/2006/wordprocessingDrawing" distT="0" distB="0" distL="0" distR="0">
                <wp:extent cx="1439545" cy="611505"/>
                <wp:effectExtent l="0" t="0" r="8255" b="0"/>
                <wp:docPr id="69348942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pic:nvPicPr>
                      <pic:blipFill dpi="0">
                        <a:blip xmlns:r="http://schemas.openxmlformats.org/officeDocument/2006/relationships" r:embed="Relimage1"/>
                        <a:srcRect/>
                        <a:stretch>
                          <a:fillRect/>
                        </a:stretch>
                      </pic:blipFill>
                      <pic:spPr>
                        <a:xfrm>
                          <a:off x="0" y="0"/>
                          <a:ext cx="1440001" cy="612001"/>
                        </a:xfrm>
                        <a:prstGeom prst="rect"/>
                      </pic:spPr>
                    </pic:pic>
                  </a:graphicData>
                </a:graphic>
              </wp:inline>
            </w:drawing>
          </w:r>
        </w:p>
      </w:tc>
      <w:tc>
        <w:tcPr>
          <w:tcW w:w="7546" w:type="dxa"/>
          <w:vAlign w:val="bottom"/>
        </w:tcPr>
        <w:p>
          <w:pPr>
            <w:pStyle w:val="P4"/>
            <w:jc w:val="right"/>
            <w:rPr>
              <w:rFonts w:ascii="Arial" w:hAnsi="Arial"/>
            </w:rPr>
          </w:pPr>
          <w:r>
            <w:rPr>
              <w:noProof w:val="1"/>
              <w:lang w:bidi="ar-SA"/>
            </w:rPr>
            <w:drawing>
              <wp:inline xmlns:wp="http://schemas.openxmlformats.org/drawingml/2006/wordprocessingDrawing" distT="0" distB="0" distL="0" distR="0">
                <wp:extent cx="1537970" cy="544195"/>
                <wp:effectExtent l="0" t="0" r="5080" b="8255"/>
                <wp:docPr id="2" name="Grafik 2" descr="Deutsche Gesellschaft für Hämatologie und med. Onkologie 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utsche Gesellschaft für Hämatologie und med. Onkologie e.V."/>
                        <pic:cNvPicPr>
                          <a:picLocks noChangeAspect="1" noChangeArrowheads="1"/>
                        </pic:cNvPicPr>
                      </pic:nvPicPr>
                      <pic:blipFill dpi="0">
                        <a:blip xmlns:r="http://schemas.openxmlformats.org/officeDocument/2006/relationships" r:embed="Relimage2"/>
                        <a:srcRect/>
                        <a:stretch>
                          <a:fillRect/>
                        </a:stretch>
                      </pic:blipFill>
                      <pic:spPr bwMode="auto">
                        <a:xfrm>
                          <a:off x="0" y="0"/>
                          <a:ext cx="1549178" cy="548199"/>
                        </a:xfrm>
                        <a:prstGeom prst="rect"/>
                        <a:noFill/>
                        <a:ln>
                          <a:noFill/>
                        </a:ln>
                      </pic:spPr>
                    </pic:pic>
                  </a:graphicData>
                </a:graphic>
              </wp:inline>
            </w:drawing>
          </w:r>
        </w:p>
      </w:tc>
    </w:tr>
  </w:tbl>
  <w:p>
    <w:pPr>
      <w:pStyle w:val="P4"/>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4"/>
    </w:pPr>
  </w:p>
</w:hdr>
</file>

<file path=word/numbering.xml><?xml version="1.0" encoding="utf-8"?>
<w:numbering xmlns:w="http://schemas.openxmlformats.org/wordprocessingml/2006/main">
  <w:abstractNum w:abstractNumId="0">
    <w:nsid w:val="0341756A"/>
    <w:multiLevelType w:val="hybridMultilevel"/>
    <w:lvl w:ilvl="0" w:tplc="13A029B8">
      <w:start w:val="1"/>
      <w:numFmt w:val="bullet"/>
      <w:suff w:val="tab"/>
      <w:lvlText w:val=""/>
      <w:lvlJc w:val="left"/>
      <w:pPr>
        <w:ind w:hanging="357" w:left="357"/>
        <w:tabs>
          <w:tab w:val="num" w:pos="357" w:leader="none"/>
        </w:tabs>
      </w:pPr>
      <w:rPr>
        <w:rFonts w:ascii="Symbol" w:hAnsi="Symbol" w:hint="default"/>
      </w:rPr>
    </w:lvl>
    <w:lvl w:ilvl="1" w:tplc="04070001">
      <w:start w:val="1"/>
      <w:numFmt w:val="bullet"/>
      <w:suff w:val="tab"/>
      <w:lvlText w:val=""/>
      <w:lvlJc w:val="left"/>
      <w:pPr>
        <w:ind w:hanging="360" w:left="1440"/>
        <w:tabs>
          <w:tab w:val="num" w:pos="1440" w:leader="none"/>
        </w:tabs>
      </w:pPr>
      <w:rPr>
        <w:rFonts w:ascii="Symbol" w:hAnsi="Symbol"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1">
    <w:nsid w:val="03561841"/>
    <w:multiLevelType w:val="hybridMultilevel"/>
    <w:lvl w:ilvl="0" w:tplc="B1382C26">
      <w:start w:val="1"/>
      <w:numFmt w:val="bullet"/>
      <w:suff w:val="tab"/>
      <w:lvlText w:val=""/>
      <w:lvlJc w:val="left"/>
      <w:pPr>
        <w:ind w:hanging="357" w:left="357"/>
        <w:tabs>
          <w:tab w:val="num" w:pos="357" w:leader="none"/>
        </w:tabs>
      </w:pPr>
      <w:rPr>
        <w:rFonts w:ascii="Symbol" w:hAnsi="Symbol" w:hint="default"/>
      </w:rPr>
    </w:lvl>
    <w:lvl w:ilvl="1" w:tplc="E5DE21F2">
      <w:start w:val="1"/>
      <w:numFmt w:val="bullet"/>
      <w:suff w:val="tab"/>
      <w:lvlText w:val="o"/>
      <w:lvlJc w:val="left"/>
      <w:pPr>
        <w:ind w:hanging="360" w:left="1440"/>
        <w:tabs>
          <w:tab w:val="num" w:pos="1440" w:leader="none"/>
        </w:tabs>
      </w:pPr>
      <w:rPr>
        <w:rFonts w:ascii="Courier New" w:hAnsi="Courier New" w:cs="Courier New" w:hint="default"/>
      </w:rPr>
    </w:lvl>
    <w:lvl w:ilvl="2" w:tplc="C0D8BD9A">
      <w:start w:val="1"/>
      <w:numFmt w:val="bullet"/>
      <w:suff w:val="tab"/>
      <w:lvlText w:val=""/>
      <w:lvlJc w:val="left"/>
      <w:pPr>
        <w:ind w:hanging="360" w:left="2160"/>
        <w:tabs>
          <w:tab w:val="num" w:pos="2160" w:leader="none"/>
        </w:tabs>
      </w:pPr>
      <w:rPr>
        <w:rFonts w:ascii="Wingdings" w:hAnsi="Wingdings" w:hint="default"/>
      </w:rPr>
    </w:lvl>
    <w:lvl w:ilvl="3" w:tplc="47002CB2">
      <w:start w:val="1"/>
      <w:numFmt w:val="bullet"/>
      <w:suff w:val="tab"/>
      <w:lvlText w:val=""/>
      <w:lvlJc w:val="left"/>
      <w:pPr>
        <w:ind w:hanging="360" w:left="2880"/>
        <w:tabs>
          <w:tab w:val="num" w:pos="2880" w:leader="none"/>
        </w:tabs>
      </w:pPr>
      <w:rPr>
        <w:rFonts w:ascii="Symbol" w:hAnsi="Symbol" w:hint="default"/>
      </w:rPr>
    </w:lvl>
    <w:lvl w:ilvl="4" w:tplc="F892BD52">
      <w:start w:val="1"/>
      <w:numFmt w:val="bullet"/>
      <w:suff w:val="tab"/>
      <w:lvlText w:val="o"/>
      <w:lvlJc w:val="left"/>
      <w:pPr>
        <w:ind w:hanging="360" w:left="3600"/>
        <w:tabs>
          <w:tab w:val="num" w:pos="3600" w:leader="none"/>
        </w:tabs>
      </w:pPr>
      <w:rPr>
        <w:rFonts w:ascii="Courier New" w:hAnsi="Courier New" w:cs="Courier New" w:hint="default"/>
      </w:rPr>
    </w:lvl>
    <w:lvl w:ilvl="5" w:tplc="984405EC">
      <w:start w:val="1"/>
      <w:numFmt w:val="bullet"/>
      <w:suff w:val="tab"/>
      <w:lvlText w:val=""/>
      <w:lvlJc w:val="left"/>
      <w:pPr>
        <w:ind w:hanging="360" w:left="4320"/>
        <w:tabs>
          <w:tab w:val="num" w:pos="4320" w:leader="none"/>
        </w:tabs>
      </w:pPr>
      <w:rPr>
        <w:rFonts w:ascii="Wingdings" w:hAnsi="Wingdings" w:hint="default"/>
      </w:rPr>
    </w:lvl>
    <w:lvl w:ilvl="6" w:tplc="B1D85BCC">
      <w:start w:val="1"/>
      <w:numFmt w:val="bullet"/>
      <w:suff w:val="tab"/>
      <w:lvlText w:val=""/>
      <w:lvlJc w:val="left"/>
      <w:pPr>
        <w:ind w:hanging="360" w:left="5040"/>
        <w:tabs>
          <w:tab w:val="num" w:pos="5040" w:leader="none"/>
        </w:tabs>
      </w:pPr>
      <w:rPr>
        <w:rFonts w:ascii="Symbol" w:hAnsi="Symbol" w:hint="default"/>
      </w:rPr>
    </w:lvl>
    <w:lvl w:ilvl="7" w:tplc="22324384">
      <w:start w:val="1"/>
      <w:numFmt w:val="bullet"/>
      <w:suff w:val="tab"/>
      <w:lvlText w:val="o"/>
      <w:lvlJc w:val="left"/>
      <w:pPr>
        <w:ind w:hanging="360" w:left="5760"/>
        <w:tabs>
          <w:tab w:val="num" w:pos="5760" w:leader="none"/>
        </w:tabs>
      </w:pPr>
      <w:rPr>
        <w:rFonts w:ascii="Courier New" w:hAnsi="Courier New" w:cs="Courier New" w:hint="default"/>
      </w:rPr>
    </w:lvl>
    <w:lvl w:ilvl="8" w:tplc="9CECA852">
      <w:start w:val="1"/>
      <w:numFmt w:val="bullet"/>
      <w:suff w:val="tab"/>
      <w:lvlText w:val=""/>
      <w:lvlJc w:val="left"/>
      <w:pPr>
        <w:ind w:hanging="360" w:left="6480"/>
        <w:tabs>
          <w:tab w:val="num" w:pos="6480" w:leader="none"/>
        </w:tabs>
      </w:pPr>
      <w:rPr>
        <w:rFonts w:ascii="Wingdings" w:hAnsi="Wingdings" w:hint="default"/>
      </w:rPr>
    </w:lvl>
  </w:abstractNum>
  <w:abstractNum w:abstractNumId="2">
    <w:nsid w:val="07DB1A93"/>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3">
    <w:nsid w:val="0A836D10"/>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4">
    <w:nsid w:val="0D1D4E84"/>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5">
    <w:nsid w:val="0EA50E03"/>
    <w:multiLevelType w:val="hybridMultilevel"/>
    <w:lvl w:ilvl="0" w:tplc="13A029B8">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6">
    <w:nsid w:val="12027E08"/>
    <w:multiLevelType w:val="hybridMultilevel"/>
    <w:lvl w:ilvl="0" w:tplc="FFFFFFFF">
      <w:start w:val="1"/>
      <w:numFmt w:val="bullet"/>
      <w:suff w:val="tab"/>
      <w:lvlText w:val=""/>
      <w:lvlJc w:val="left"/>
      <w:pPr>
        <w:ind w:hanging="357" w:left="357"/>
        <w:tabs>
          <w:tab w:val="num" w:pos="357" w:leader="none"/>
        </w:tabs>
      </w:pPr>
      <w:rPr>
        <w:rFonts w:ascii="Symbol" w:hAnsi="Symbol" w:hint="default"/>
      </w:rPr>
    </w:lvl>
    <w:lvl w:ilvl="1" w:tplc="FFFFFFFF">
      <w:start w:val="1"/>
      <w:numFmt w:val="bullet"/>
      <w:suff w:val="tab"/>
      <w:lvlText w:val="o"/>
      <w:lvlJc w:val="left"/>
      <w:pPr>
        <w:ind w:hanging="360" w:left="1440"/>
        <w:tabs>
          <w:tab w:val="num" w:pos="1440" w:leader="none"/>
        </w:tabs>
      </w:pPr>
      <w:rPr>
        <w:rFonts w:ascii="Courier New" w:hAnsi="Courier New" w:cs="Courier New" w:hint="default"/>
      </w:rPr>
    </w:lvl>
    <w:lvl w:ilvl="2" w:tplc="FFFFFFFF">
      <w:start w:val="1"/>
      <w:numFmt w:val="bullet"/>
      <w:suff w:val="tab"/>
      <w:lvlText w:val=""/>
      <w:lvlJc w:val="left"/>
      <w:pPr>
        <w:ind w:hanging="360" w:left="2160"/>
        <w:tabs>
          <w:tab w:val="num" w:pos="2160" w:leader="none"/>
        </w:tabs>
      </w:pPr>
      <w:rPr>
        <w:rFonts w:ascii="Wingdings" w:hAnsi="Wingdings" w:hint="default"/>
      </w:rPr>
    </w:lvl>
    <w:lvl w:ilvl="3" w:tplc="FFFFFFFF">
      <w:start w:val="1"/>
      <w:numFmt w:val="bullet"/>
      <w:suff w:val="tab"/>
      <w:lvlText w:val=""/>
      <w:lvlJc w:val="left"/>
      <w:pPr>
        <w:ind w:hanging="360" w:left="2880"/>
        <w:tabs>
          <w:tab w:val="num" w:pos="2880" w:leader="none"/>
        </w:tabs>
      </w:pPr>
      <w:rPr>
        <w:rFonts w:ascii="Symbol" w:hAnsi="Symbol" w:hint="default"/>
      </w:rPr>
    </w:lvl>
    <w:lvl w:ilvl="4" w:tplc="FFFFFFFF">
      <w:start w:val="1"/>
      <w:numFmt w:val="bullet"/>
      <w:suff w:val="tab"/>
      <w:lvlText w:val="o"/>
      <w:lvlJc w:val="left"/>
      <w:pPr>
        <w:ind w:hanging="360" w:left="3600"/>
        <w:tabs>
          <w:tab w:val="num" w:pos="3600" w:leader="none"/>
        </w:tabs>
      </w:pPr>
      <w:rPr>
        <w:rFonts w:ascii="Courier New" w:hAnsi="Courier New" w:cs="Courier New" w:hint="default"/>
      </w:rPr>
    </w:lvl>
    <w:lvl w:ilvl="5" w:tplc="FFFFFFFF">
      <w:start w:val="1"/>
      <w:numFmt w:val="bullet"/>
      <w:suff w:val="tab"/>
      <w:lvlText w:val=""/>
      <w:lvlJc w:val="left"/>
      <w:pPr>
        <w:ind w:hanging="360" w:left="4320"/>
        <w:tabs>
          <w:tab w:val="num" w:pos="4320" w:leader="none"/>
        </w:tabs>
      </w:pPr>
      <w:rPr>
        <w:rFonts w:ascii="Wingdings" w:hAnsi="Wingdings" w:hint="default"/>
      </w:rPr>
    </w:lvl>
    <w:lvl w:ilvl="6" w:tplc="FFFFFFFF">
      <w:start w:val="1"/>
      <w:numFmt w:val="bullet"/>
      <w:suff w:val="tab"/>
      <w:lvlText w:val=""/>
      <w:lvlJc w:val="left"/>
      <w:pPr>
        <w:ind w:hanging="360" w:left="5040"/>
        <w:tabs>
          <w:tab w:val="num" w:pos="5040" w:leader="none"/>
        </w:tabs>
      </w:pPr>
      <w:rPr>
        <w:rFonts w:ascii="Symbol" w:hAnsi="Symbol" w:hint="default"/>
      </w:rPr>
    </w:lvl>
    <w:lvl w:ilvl="7" w:tplc="FFFFFFFF">
      <w:start w:val="1"/>
      <w:numFmt w:val="bullet"/>
      <w:suff w:val="tab"/>
      <w:lvlText w:val="o"/>
      <w:lvlJc w:val="left"/>
      <w:pPr>
        <w:ind w:hanging="360" w:left="5760"/>
        <w:tabs>
          <w:tab w:val="num" w:pos="5760" w:leader="none"/>
        </w:tabs>
      </w:pPr>
      <w:rPr>
        <w:rFonts w:ascii="Courier New" w:hAnsi="Courier New" w:cs="Courier New" w:hint="default"/>
      </w:rPr>
    </w:lvl>
    <w:lvl w:ilvl="8" w:tplc="FFFFFFFF">
      <w:start w:val="1"/>
      <w:numFmt w:val="bullet"/>
      <w:suff w:val="tab"/>
      <w:lvlText w:val=""/>
      <w:lvlJc w:val="left"/>
      <w:pPr>
        <w:ind w:hanging="360" w:left="6480"/>
        <w:tabs>
          <w:tab w:val="num" w:pos="6480" w:leader="none"/>
        </w:tabs>
      </w:pPr>
      <w:rPr>
        <w:rFonts w:ascii="Wingdings" w:hAnsi="Wingdings" w:hint="default"/>
      </w:rPr>
    </w:lvl>
  </w:abstractNum>
  <w:abstractNum w:abstractNumId="7">
    <w:nsid w:val="14DC7CA8"/>
    <w:multiLevelType w:val="hybridMultilevel"/>
    <w:lvl w:ilvl="0" w:tplc="13A029B8">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8">
    <w:nsid w:val="15075A2E"/>
    <w:multiLevelType w:val="hybridMultilevel"/>
    <w:lvl w:ilvl="0" w:tplc="04070011">
      <w:start w:val="1"/>
      <w:numFmt w:val="decimal"/>
      <w:suff w:val="tab"/>
      <w:lvlText w:val="%1)"/>
      <w:lvlJc w:val="left"/>
      <w:pPr>
        <w:ind w:hanging="360" w:left="720"/>
      </w:pPr>
      <w:rPr>
        <w:rFonts w:hint="default"/>
      </w:rPr>
    </w:lvl>
    <w:lvl w:ilvl="1" w:tplc="04070019">
      <w:start w:val="1"/>
      <w:numFmt w:val="lowerLetter"/>
      <w:suff w:val="tab"/>
      <w:lvlText w:val="%2."/>
      <w:lvlJc w:val="left"/>
      <w:pPr>
        <w:ind w:hanging="360" w:left="1440"/>
      </w:pPr>
      <w:rPr/>
    </w:lvl>
    <w:lvl w:ilvl="2" w:tplc="0407001B">
      <w:start w:val="1"/>
      <w:numFmt w:val="lowerRoman"/>
      <w:suff w:val="tab"/>
      <w:lvlText w:val="%3."/>
      <w:lvlJc w:val="right"/>
      <w:pPr>
        <w:ind w:hanging="180" w:left="2160"/>
      </w:pPr>
      <w:rPr/>
    </w:lvl>
    <w:lvl w:ilvl="3" w:tplc="0407000F">
      <w:start w:val="1"/>
      <w:numFmt w:val="decimal"/>
      <w:suff w:val="tab"/>
      <w:lvlText w:val="%4."/>
      <w:lvlJc w:val="left"/>
      <w:pPr>
        <w:ind w:hanging="360" w:left="2880"/>
      </w:pPr>
      <w:rPr/>
    </w:lvl>
    <w:lvl w:ilvl="4" w:tplc="04070019">
      <w:start w:val="1"/>
      <w:numFmt w:val="lowerLetter"/>
      <w:suff w:val="tab"/>
      <w:lvlText w:val="%5."/>
      <w:lvlJc w:val="left"/>
      <w:pPr>
        <w:ind w:hanging="360" w:left="3600"/>
      </w:pPr>
      <w:rPr/>
    </w:lvl>
    <w:lvl w:ilvl="5" w:tplc="0407001B">
      <w:start w:val="1"/>
      <w:numFmt w:val="lowerRoman"/>
      <w:suff w:val="tab"/>
      <w:lvlText w:val="%6."/>
      <w:lvlJc w:val="right"/>
      <w:pPr>
        <w:ind w:hanging="180" w:left="4320"/>
      </w:pPr>
      <w:rPr/>
    </w:lvl>
    <w:lvl w:ilvl="6" w:tplc="0407000F">
      <w:start w:val="1"/>
      <w:numFmt w:val="decimal"/>
      <w:suff w:val="tab"/>
      <w:lvlText w:val="%7."/>
      <w:lvlJc w:val="left"/>
      <w:pPr>
        <w:ind w:hanging="360" w:left="5040"/>
      </w:pPr>
      <w:rPr/>
    </w:lvl>
    <w:lvl w:ilvl="7" w:tplc="04070019">
      <w:start w:val="1"/>
      <w:numFmt w:val="lowerLetter"/>
      <w:suff w:val="tab"/>
      <w:lvlText w:val="%8."/>
      <w:lvlJc w:val="left"/>
      <w:pPr>
        <w:ind w:hanging="360" w:left="5760"/>
      </w:pPr>
      <w:rPr/>
    </w:lvl>
    <w:lvl w:ilvl="8" w:tplc="0407001B">
      <w:start w:val="1"/>
      <w:numFmt w:val="lowerRoman"/>
      <w:suff w:val="tab"/>
      <w:lvlText w:val="%9."/>
      <w:lvlJc w:val="right"/>
      <w:pPr>
        <w:ind w:hanging="180" w:left="6480"/>
      </w:pPr>
      <w:rPr/>
    </w:lvl>
  </w:abstractNum>
  <w:abstractNum w:abstractNumId="9">
    <w:nsid w:val="15627DE8"/>
    <w:multiLevelType w:val="hybridMultilevel"/>
    <w:lvl w:ilvl="0" w:tplc="958A62AA">
      <w:start w:val="1"/>
      <w:numFmt w:val="bullet"/>
      <w:suff w:val="tab"/>
      <w:lvlText w:val=""/>
      <w:lvlJc w:val="left"/>
      <w:pPr>
        <w:ind w:hanging="357" w:left="357"/>
        <w:tabs>
          <w:tab w:val="num" w:pos="357" w:leader="none"/>
        </w:tabs>
      </w:pPr>
      <w:rPr>
        <w:rFonts w:ascii="Symbol" w:hAnsi="Symbol" w:hint="default"/>
      </w:rPr>
    </w:lvl>
    <w:lvl w:ilvl="1" w:tplc="8B62B800">
      <w:start w:val="1"/>
      <w:numFmt w:val="bullet"/>
      <w:suff w:val="tab"/>
      <w:lvlText w:val="o"/>
      <w:lvlJc w:val="left"/>
      <w:pPr>
        <w:ind w:hanging="360" w:left="1440"/>
        <w:tabs>
          <w:tab w:val="num" w:pos="1440" w:leader="none"/>
        </w:tabs>
      </w:pPr>
      <w:rPr>
        <w:rFonts w:ascii="Courier New" w:hAnsi="Courier New" w:cs="Courier New" w:hint="default"/>
      </w:rPr>
    </w:lvl>
    <w:lvl w:ilvl="2" w:tplc="5FE683F2">
      <w:start w:val="1"/>
      <w:numFmt w:val="bullet"/>
      <w:suff w:val="tab"/>
      <w:lvlText w:val=""/>
      <w:lvlJc w:val="left"/>
      <w:pPr>
        <w:ind w:hanging="360" w:left="2160"/>
        <w:tabs>
          <w:tab w:val="num" w:pos="2160" w:leader="none"/>
        </w:tabs>
      </w:pPr>
      <w:rPr>
        <w:rFonts w:ascii="Wingdings" w:hAnsi="Wingdings" w:hint="default"/>
      </w:rPr>
    </w:lvl>
    <w:lvl w:ilvl="3" w:tplc="3C9C8314">
      <w:start w:val="1"/>
      <w:numFmt w:val="bullet"/>
      <w:suff w:val="tab"/>
      <w:lvlText w:val=""/>
      <w:lvlJc w:val="left"/>
      <w:pPr>
        <w:ind w:hanging="360" w:left="2880"/>
        <w:tabs>
          <w:tab w:val="num" w:pos="2880" w:leader="none"/>
        </w:tabs>
      </w:pPr>
      <w:rPr>
        <w:rFonts w:ascii="Symbol" w:hAnsi="Symbol" w:hint="default"/>
      </w:rPr>
    </w:lvl>
    <w:lvl w:ilvl="4" w:tplc="F9082A24">
      <w:start w:val="1"/>
      <w:numFmt w:val="bullet"/>
      <w:suff w:val="tab"/>
      <w:lvlText w:val="o"/>
      <w:lvlJc w:val="left"/>
      <w:pPr>
        <w:ind w:hanging="360" w:left="3600"/>
        <w:tabs>
          <w:tab w:val="num" w:pos="3600" w:leader="none"/>
        </w:tabs>
      </w:pPr>
      <w:rPr>
        <w:rFonts w:ascii="Courier New" w:hAnsi="Courier New" w:cs="Courier New" w:hint="default"/>
      </w:rPr>
    </w:lvl>
    <w:lvl w:ilvl="5" w:tplc="21120352">
      <w:start w:val="1"/>
      <w:numFmt w:val="bullet"/>
      <w:suff w:val="tab"/>
      <w:lvlText w:val=""/>
      <w:lvlJc w:val="left"/>
      <w:pPr>
        <w:ind w:hanging="360" w:left="4320"/>
        <w:tabs>
          <w:tab w:val="num" w:pos="4320" w:leader="none"/>
        </w:tabs>
      </w:pPr>
      <w:rPr>
        <w:rFonts w:ascii="Wingdings" w:hAnsi="Wingdings" w:hint="default"/>
      </w:rPr>
    </w:lvl>
    <w:lvl w:ilvl="6" w:tplc="9A681276">
      <w:start w:val="1"/>
      <w:numFmt w:val="bullet"/>
      <w:suff w:val="tab"/>
      <w:lvlText w:val=""/>
      <w:lvlJc w:val="left"/>
      <w:pPr>
        <w:ind w:hanging="360" w:left="5040"/>
        <w:tabs>
          <w:tab w:val="num" w:pos="5040" w:leader="none"/>
        </w:tabs>
      </w:pPr>
      <w:rPr>
        <w:rFonts w:ascii="Symbol" w:hAnsi="Symbol" w:hint="default"/>
      </w:rPr>
    </w:lvl>
    <w:lvl w:ilvl="7" w:tplc="A9720448">
      <w:start w:val="1"/>
      <w:numFmt w:val="bullet"/>
      <w:suff w:val="tab"/>
      <w:lvlText w:val="o"/>
      <w:lvlJc w:val="left"/>
      <w:pPr>
        <w:ind w:hanging="360" w:left="5760"/>
        <w:tabs>
          <w:tab w:val="num" w:pos="5760" w:leader="none"/>
        </w:tabs>
      </w:pPr>
      <w:rPr>
        <w:rFonts w:ascii="Courier New" w:hAnsi="Courier New" w:cs="Courier New" w:hint="default"/>
      </w:rPr>
    </w:lvl>
    <w:lvl w:ilvl="8" w:tplc="767271C4">
      <w:start w:val="1"/>
      <w:numFmt w:val="bullet"/>
      <w:suff w:val="tab"/>
      <w:lvlText w:val=""/>
      <w:lvlJc w:val="left"/>
      <w:pPr>
        <w:ind w:hanging="360" w:left="6480"/>
        <w:tabs>
          <w:tab w:val="num" w:pos="6480" w:leader="none"/>
        </w:tabs>
      </w:pPr>
      <w:rPr>
        <w:rFonts w:ascii="Wingdings" w:hAnsi="Wingdings" w:hint="default"/>
      </w:rPr>
    </w:lvl>
  </w:abstractNum>
  <w:abstractNum w:abstractNumId="10">
    <w:nsid w:val="16641E74"/>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11">
    <w:nsid w:val="17FB2D1C"/>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12">
    <w:nsid w:val="193378CF"/>
    <w:multiLevelType w:val="hybridMultilevel"/>
    <w:lvl w:ilvl="0" w:tplc="3F3C52A2">
      <w:start w:val="0"/>
      <w:numFmt w:val="bullet"/>
      <w:suff w:val="tab"/>
      <w:lvlText w:val="-"/>
      <w:lvlJc w:val="left"/>
      <w:pPr>
        <w:ind w:hanging="360" w:left="720"/>
      </w:pPr>
      <w:rPr>
        <w:rFonts w:ascii="Arial" w:hAnsi="Arial" w:cs="Arial" w:eastAsia="Times New Roman"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13">
    <w:nsid w:val="1B6C36B0"/>
    <w:multiLevelType w:val="hybridMultilevel"/>
    <w:lvl w:ilvl="0" w:tplc="04070001">
      <w:start w:val="1"/>
      <w:numFmt w:val="bullet"/>
      <w:suff w:val="tab"/>
      <w:lvlText w:val=""/>
      <w:lvlJc w:val="left"/>
      <w:pPr>
        <w:ind w:hanging="360" w:left="360"/>
      </w:pPr>
      <w:rPr>
        <w:rFonts w:ascii="Symbol" w:hAnsi="Symbol" w:hint="default"/>
      </w:rPr>
    </w:lvl>
    <w:lvl w:ilvl="1" w:tplc="8A5ED214">
      <w:start w:val="2"/>
      <w:numFmt w:val="bullet"/>
      <w:suff w:val="tab"/>
      <w:lvlText w:val="•"/>
      <w:lvlJc w:val="left"/>
      <w:pPr>
        <w:ind w:hanging="360" w:left="1080"/>
      </w:pPr>
      <w:rPr>
        <w:rFonts w:ascii="Arial" w:hAnsi="Arial" w:cs="Arial" w:eastAsia="Times New Roman"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14">
    <w:nsid w:val="1C756FA0"/>
    <w:multiLevelType w:val="hybridMultilevel"/>
    <w:lvl w:ilvl="0" w:tplc="A9825BFC">
      <w:start w:val="1"/>
      <w:numFmt w:val="lowerLetter"/>
      <w:suff w:val="tab"/>
      <w:lvlText w:val="%1)"/>
      <w:lvlJc w:val="left"/>
      <w:pPr>
        <w:ind w:hanging="360" w:left="360"/>
      </w:pPr>
      <w:rPr>
        <w:rFonts w:hint="default"/>
        <w:b w:val="1"/>
        <w:sz w:val="20"/>
        <w:szCs w:val="20"/>
      </w:rPr>
    </w:lvl>
    <w:lvl w:ilvl="1" w:tplc="04070019">
      <w:start w:val="1"/>
      <w:numFmt w:val="lowerLetter"/>
      <w:suff w:val="tab"/>
      <w:lvlText w:val="%2."/>
      <w:lvlJc w:val="left"/>
      <w:pPr>
        <w:ind w:hanging="360" w:left="1080"/>
      </w:pPr>
      <w:rPr/>
    </w:lvl>
    <w:lvl w:ilvl="2" w:tplc="0407001B">
      <w:start w:val="1"/>
      <w:numFmt w:val="lowerRoman"/>
      <w:suff w:val="tab"/>
      <w:lvlText w:val="%3."/>
      <w:lvlJc w:val="right"/>
      <w:pPr>
        <w:ind w:hanging="180" w:left="1800"/>
      </w:pPr>
      <w:rPr/>
    </w:lvl>
    <w:lvl w:ilvl="3" w:tplc="0407000F">
      <w:start w:val="1"/>
      <w:numFmt w:val="decimal"/>
      <w:suff w:val="tab"/>
      <w:lvlText w:val="%4."/>
      <w:lvlJc w:val="left"/>
      <w:pPr>
        <w:ind w:hanging="360" w:left="2520"/>
      </w:pPr>
      <w:rPr/>
    </w:lvl>
    <w:lvl w:ilvl="4" w:tplc="04070019">
      <w:start w:val="1"/>
      <w:numFmt w:val="lowerLetter"/>
      <w:suff w:val="tab"/>
      <w:lvlText w:val="%5."/>
      <w:lvlJc w:val="left"/>
      <w:pPr>
        <w:ind w:hanging="360" w:left="3240"/>
      </w:pPr>
      <w:rPr/>
    </w:lvl>
    <w:lvl w:ilvl="5" w:tplc="0407001B">
      <w:start w:val="1"/>
      <w:numFmt w:val="lowerRoman"/>
      <w:suff w:val="tab"/>
      <w:lvlText w:val="%6."/>
      <w:lvlJc w:val="right"/>
      <w:pPr>
        <w:ind w:hanging="180" w:left="3960"/>
      </w:pPr>
      <w:rPr/>
    </w:lvl>
    <w:lvl w:ilvl="6" w:tplc="0407000F">
      <w:start w:val="1"/>
      <w:numFmt w:val="decimal"/>
      <w:suff w:val="tab"/>
      <w:lvlText w:val="%7."/>
      <w:lvlJc w:val="left"/>
      <w:pPr>
        <w:ind w:hanging="360" w:left="4680"/>
      </w:pPr>
      <w:rPr/>
    </w:lvl>
    <w:lvl w:ilvl="7" w:tplc="04070019">
      <w:start w:val="1"/>
      <w:numFmt w:val="lowerLetter"/>
      <w:suff w:val="tab"/>
      <w:lvlText w:val="%8."/>
      <w:lvlJc w:val="left"/>
      <w:pPr>
        <w:ind w:hanging="360" w:left="5400"/>
      </w:pPr>
      <w:rPr/>
    </w:lvl>
    <w:lvl w:ilvl="8" w:tplc="0407001B">
      <w:start w:val="1"/>
      <w:numFmt w:val="lowerRoman"/>
      <w:suff w:val="tab"/>
      <w:lvlText w:val="%9."/>
      <w:lvlJc w:val="right"/>
      <w:pPr>
        <w:ind w:hanging="180" w:left="6120"/>
      </w:pPr>
      <w:rPr/>
    </w:lvl>
  </w:abstractNum>
  <w:abstractNum w:abstractNumId="15">
    <w:nsid w:val="1CF2196B"/>
    <w:multiLevelType w:val="hybridMultilevel"/>
    <w:lvl w:ilvl="0" w:tplc="13A029B8">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16">
    <w:nsid w:val="21CD5B24"/>
    <w:multiLevelType w:val="multilevel"/>
    <w:lvl w:ilvl="0">
      <w:start w:val="5"/>
      <w:numFmt w:val="decimal"/>
      <w:suff w:val="tab"/>
      <w:lvlText w:val="%1"/>
      <w:lvlJc w:val="left"/>
      <w:pPr>
        <w:ind w:hanging="360" w:left="360"/>
      </w:pPr>
      <w:rPr>
        <w:rFonts w:hint="default"/>
      </w:rPr>
    </w:lvl>
    <w:lvl w:ilvl="1">
      <w:start w:val="2"/>
      <w:numFmt w:val="decimal"/>
      <w:suff w:val="tab"/>
      <w:lvlText w:val="%1.%2"/>
      <w:lvlJc w:val="left"/>
      <w:pPr>
        <w:ind w:hanging="360" w:left="1065"/>
      </w:pPr>
      <w:rPr>
        <w:rFonts w:hint="default"/>
      </w:rPr>
    </w:lvl>
    <w:lvl w:ilvl="2">
      <w:start w:val="1"/>
      <w:numFmt w:val="decimal"/>
      <w:suff w:val="tab"/>
      <w:lvlText w:val="%1.%2.%3"/>
      <w:lvlJc w:val="left"/>
      <w:pPr>
        <w:ind w:hanging="720" w:left="2130"/>
      </w:pPr>
      <w:rPr>
        <w:rFonts w:hint="default"/>
      </w:rPr>
    </w:lvl>
    <w:lvl w:ilvl="3">
      <w:start w:val="1"/>
      <w:numFmt w:val="decimal"/>
      <w:suff w:val="tab"/>
      <w:lvlText w:val="%1.%2.%3.%4"/>
      <w:lvlJc w:val="left"/>
      <w:pPr>
        <w:ind w:hanging="720" w:left="2835"/>
      </w:pPr>
      <w:rPr>
        <w:rFonts w:hint="default"/>
      </w:rPr>
    </w:lvl>
    <w:lvl w:ilvl="4">
      <w:start w:val="1"/>
      <w:numFmt w:val="decimal"/>
      <w:suff w:val="tab"/>
      <w:lvlText w:val="%1.%2.%3.%4.%5"/>
      <w:lvlJc w:val="left"/>
      <w:pPr>
        <w:ind w:hanging="1080" w:left="3900"/>
      </w:pPr>
      <w:rPr>
        <w:rFonts w:hint="default"/>
      </w:rPr>
    </w:lvl>
    <w:lvl w:ilvl="5">
      <w:start w:val="1"/>
      <w:numFmt w:val="decimal"/>
      <w:suff w:val="tab"/>
      <w:lvlText w:val="%1.%2.%3.%4.%5.%6"/>
      <w:lvlJc w:val="left"/>
      <w:pPr>
        <w:ind w:hanging="1080" w:left="4605"/>
      </w:pPr>
      <w:rPr>
        <w:rFonts w:hint="default"/>
      </w:rPr>
    </w:lvl>
    <w:lvl w:ilvl="6">
      <w:start w:val="1"/>
      <w:numFmt w:val="decimal"/>
      <w:suff w:val="tab"/>
      <w:lvlText w:val="%1.%2.%3.%4.%5.%6.%7"/>
      <w:lvlJc w:val="left"/>
      <w:pPr>
        <w:ind w:hanging="1440" w:left="5670"/>
      </w:pPr>
      <w:rPr>
        <w:rFonts w:hint="default"/>
      </w:rPr>
    </w:lvl>
    <w:lvl w:ilvl="7">
      <w:start w:val="1"/>
      <w:numFmt w:val="decimal"/>
      <w:suff w:val="tab"/>
      <w:lvlText w:val="%1.%2.%3.%4.%5.%6.%7.%8"/>
      <w:lvlJc w:val="left"/>
      <w:pPr>
        <w:ind w:hanging="1440" w:left="6375"/>
      </w:pPr>
      <w:rPr>
        <w:rFonts w:hint="default"/>
      </w:rPr>
    </w:lvl>
    <w:lvl w:ilvl="8">
      <w:start w:val="1"/>
      <w:numFmt w:val="decimal"/>
      <w:suff w:val="tab"/>
      <w:lvlText w:val="%1.%2.%3.%4.%5.%6.%7.%8.%9"/>
      <w:lvlJc w:val="left"/>
      <w:pPr>
        <w:ind w:hanging="1800" w:left="7440"/>
      </w:pPr>
      <w:rPr>
        <w:rFonts w:hint="default"/>
      </w:rPr>
    </w:lvl>
  </w:abstractNum>
  <w:abstractNum w:abstractNumId="17">
    <w:nsid w:val="246456AF"/>
    <w:multiLevelType w:val="multilevel"/>
    <w:lvl w:ilvl="0">
      <w:start w:val="5"/>
      <w:numFmt w:val="decimal"/>
      <w:suff w:val="tab"/>
      <w:lvlText w:val="%1."/>
      <w:lvlJc w:val="left"/>
      <w:pPr>
        <w:ind w:hanging="360" w:left="360"/>
      </w:pPr>
      <w:rPr>
        <w:rFonts w:hint="default"/>
      </w:rPr>
    </w:lvl>
    <w:lvl w:ilvl="1">
      <w:start w:val="1"/>
      <w:numFmt w:val="decimal"/>
      <w:suff w:val="tab"/>
      <w:lvlText w:val="%1.%2."/>
      <w:lvlJc w:val="left"/>
      <w:pPr>
        <w:ind w:hanging="360" w:left="1350"/>
      </w:pPr>
      <w:rPr>
        <w:rFonts w:hint="default"/>
      </w:rPr>
    </w:lvl>
    <w:lvl w:ilvl="2">
      <w:start w:val="1"/>
      <w:numFmt w:val="decimal"/>
      <w:suff w:val="tab"/>
      <w:lvlText w:val="%1.%2.%3."/>
      <w:lvlJc w:val="left"/>
      <w:pPr>
        <w:ind w:hanging="720" w:left="2700"/>
      </w:pPr>
      <w:rPr>
        <w:rFonts w:hint="default"/>
      </w:rPr>
    </w:lvl>
    <w:lvl w:ilvl="3">
      <w:start w:val="1"/>
      <w:numFmt w:val="decimal"/>
      <w:suff w:val="tab"/>
      <w:lvlText w:val="%1.%2.%3.%4."/>
      <w:lvlJc w:val="left"/>
      <w:pPr>
        <w:ind w:hanging="720" w:left="3690"/>
      </w:pPr>
      <w:rPr>
        <w:rFonts w:hint="default"/>
      </w:rPr>
    </w:lvl>
    <w:lvl w:ilvl="4">
      <w:start w:val="1"/>
      <w:numFmt w:val="decimal"/>
      <w:suff w:val="tab"/>
      <w:lvlText w:val="%1.%2.%3.%4.%5."/>
      <w:lvlJc w:val="left"/>
      <w:pPr>
        <w:ind w:hanging="1080" w:left="5040"/>
      </w:pPr>
      <w:rPr>
        <w:rFonts w:hint="default"/>
      </w:rPr>
    </w:lvl>
    <w:lvl w:ilvl="5">
      <w:start w:val="1"/>
      <w:numFmt w:val="decimal"/>
      <w:suff w:val="tab"/>
      <w:lvlText w:val="%1.%2.%3.%4.%5.%6."/>
      <w:lvlJc w:val="left"/>
      <w:pPr>
        <w:ind w:hanging="1080" w:left="6030"/>
      </w:pPr>
      <w:rPr>
        <w:rFonts w:hint="default"/>
      </w:rPr>
    </w:lvl>
    <w:lvl w:ilvl="6">
      <w:start w:val="1"/>
      <w:numFmt w:val="decimal"/>
      <w:suff w:val="tab"/>
      <w:lvlText w:val="%1.%2.%3.%4.%5.%6.%7."/>
      <w:lvlJc w:val="left"/>
      <w:pPr>
        <w:ind w:hanging="1440" w:left="7380"/>
      </w:pPr>
      <w:rPr>
        <w:rFonts w:hint="default"/>
      </w:rPr>
    </w:lvl>
    <w:lvl w:ilvl="7">
      <w:start w:val="1"/>
      <w:numFmt w:val="decimal"/>
      <w:suff w:val="tab"/>
      <w:lvlText w:val="%1.%2.%3.%4.%5.%6.%7.%8."/>
      <w:lvlJc w:val="left"/>
      <w:pPr>
        <w:ind w:hanging="1440" w:left="8370"/>
      </w:pPr>
      <w:rPr>
        <w:rFonts w:hint="default"/>
      </w:rPr>
    </w:lvl>
    <w:lvl w:ilvl="8">
      <w:start w:val="1"/>
      <w:numFmt w:val="decimal"/>
      <w:suff w:val="tab"/>
      <w:lvlText w:val="%1.%2.%3.%4.%5.%6.%7.%8.%9."/>
      <w:lvlJc w:val="left"/>
      <w:pPr>
        <w:ind w:hanging="1800" w:left="9720"/>
      </w:pPr>
      <w:rPr>
        <w:rFonts w:hint="default"/>
      </w:rPr>
    </w:lvl>
  </w:abstractNum>
  <w:abstractNum w:abstractNumId="18">
    <w:nsid w:val="26FA0007"/>
    <w:multiLevelType w:val="multilevel"/>
    <w:lvl w:ilvl="0">
      <w:start w:val="5"/>
      <w:numFmt w:val="decimal"/>
      <w:suff w:val="tab"/>
      <w:lvlText w:val="%1"/>
      <w:lvlJc w:val="left"/>
      <w:pPr>
        <w:ind w:hanging="360" w:left="2204"/>
      </w:pPr>
      <w:rPr>
        <w:rFonts w:hint="default"/>
      </w:rPr>
    </w:lvl>
    <w:lvl w:ilvl="1">
      <w:start w:val="1"/>
      <w:numFmt w:val="decimal"/>
      <w:suff w:val="tab"/>
      <w:lvlText w:val="%1.%2"/>
      <w:lvlJc w:val="left"/>
      <w:pPr>
        <w:ind w:hanging="705" w:left="2549"/>
      </w:pPr>
      <w:rPr/>
    </w:lvl>
    <w:lvl w:ilvl="2">
      <w:start w:val="1"/>
      <w:numFmt w:val="decimal"/>
      <w:isLgl w:val="1"/>
      <w:suff w:val="tab"/>
      <w:lvlText w:val="%1.%2.%3"/>
      <w:lvlJc w:val="left"/>
      <w:pPr>
        <w:ind w:hanging="720" w:left="2564"/>
      </w:pPr>
      <w:rPr>
        <w:rFonts w:hint="default"/>
      </w:rPr>
    </w:lvl>
    <w:lvl w:ilvl="3">
      <w:start w:val="1"/>
      <w:numFmt w:val="decimal"/>
      <w:isLgl w:val="1"/>
      <w:suff w:val="tab"/>
      <w:lvlText w:val="%1.%2.%3.%4"/>
      <w:lvlJc w:val="left"/>
      <w:pPr>
        <w:ind w:hanging="720" w:left="2564"/>
      </w:pPr>
      <w:rPr>
        <w:rFonts w:hint="default"/>
      </w:rPr>
    </w:lvl>
    <w:lvl w:ilvl="4">
      <w:start w:val="1"/>
      <w:numFmt w:val="decimal"/>
      <w:isLgl w:val="1"/>
      <w:suff w:val="tab"/>
      <w:lvlText w:val="%1.%2.%3.%4.%5"/>
      <w:lvlJc w:val="left"/>
      <w:pPr>
        <w:ind w:hanging="1080" w:left="2924"/>
      </w:pPr>
      <w:rPr>
        <w:rFonts w:hint="default"/>
      </w:rPr>
    </w:lvl>
    <w:lvl w:ilvl="5">
      <w:start w:val="1"/>
      <w:numFmt w:val="decimal"/>
      <w:isLgl w:val="1"/>
      <w:suff w:val="tab"/>
      <w:lvlText w:val="%1.%2.%3.%4.%5.%6"/>
      <w:lvlJc w:val="left"/>
      <w:pPr>
        <w:ind w:hanging="1080" w:left="2924"/>
      </w:pPr>
      <w:rPr>
        <w:rFonts w:hint="default"/>
      </w:rPr>
    </w:lvl>
    <w:lvl w:ilvl="6">
      <w:start w:val="1"/>
      <w:numFmt w:val="decimal"/>
      <w:isLgl w:val="1"/>
      <w:suff w:val="tab"/>
      <w:lvlText w:val="%1.%2.%3.%4.%5.%6.%7"/>
      <w:lvlJc w:val="left"/>
      <w:pPr>
        <w:ind w:hanging="1440" w:left="3284"/>
      </w:pPr>
      <w:rPr>
        <w:rFonts w:hint="default"/>
      </w:rPr>
    </w:lvl>
    <w:lvl w:ilvl="7">
      <w:start w:val="1"/>
      <w:numFmt w:val="decimal"/>
      <w:isLgl w:val="1"/>
      <w:suff w:val="tab"/>
      <w:lvlText w:val="%1.%2.%3.%4.%5.%6.%7.%8"/>
      <w:lvlJc w:val="left"/>
      <w:pPr>
        <w:ind w:hanging="1440" w:left="3284"/>
      </w:pPr>
      <w:rPr>
        <w:rFonts w:hint="default"/>
      </w:rPr>
    </w:lvl>
    <w:lvl w:ilvl="8">
      <w:start w:val="1"/>
      <w:numFmt w:val="decimal"/>
      <w:isLgl w:val="1"/>
      <w:suff w:val="tab"/>
      <w:lvlText w:val="%1.%2.%3.%4.%5.%6.%7.%8.%9"/>
      <w:lvlJc w:val="left"/>
      <w:pPr>
        <w:ind w:hanging="1800" w:left="3644"/>
      </w:pPr>
      <w:rPr>
        <w:rFonts w:hint="default"/>
      </w:rPr>
    </w:lvl>
  </w:abstractNum>
  <w:abstractNum w:abstractNumId="19">
    <w:nsid w:val="2C8D4662"/>
    <w:multiLevelType w:val="hybridMultilevel"/>
    <w:lvl w:ilvl="0" w:tplc="7728AA5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20">
    <w:nsid w:val="30210E09"/>
    <w:multiLevelType w:val="hybridMultilevel"/>
    <w:lvl w:ilvl="0" w:tplc="13A029B8">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21">
    <w:nsid w:val="313873BF"/>
    <w:multiLevelType w:val="hybridMultilevel"/>
    <w:lvl w:ilvl="0" w:tplc="13A029B8">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22">
    <w:nsid w:val="33516FA3"/>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23">
    <w:nsid w:val="35E0129C"/>
    <w:multiLevelType w:val="hybridMultilevel"/>
    <w:lvl w:ilvl="0" w:tplc="13A029B8">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24">
    <w:nsid w:val="36DC471F"/>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25">
    <w:nsid w:val="3A6B6BFB"/>
    <w:multiLevelType w:val="hybridMultilevel"/>
    <w:lvl w:ilvl="0" w:tplc="04070011">
      <w:start w:val="1"/>
      <w:numFmt w:val="decimal"/>
      <w:suff w:val="tab"/>
      <w:lvlText w:val="%1)"/>
      <w:lvlJc w:val="left"/>
      <w:pPr>
        <w:ind w:hanging="360" w:left="720"/>
      </w:pPr>
      <w:rPr/>
    </w:lvl>
    <w:lvl w:ilvl="1" w:tplc="04070019">
      <w:start w:val="1"/>
      <w:numFmt w:val="lowerLetter"/>
      <w:suff w:val="tab"/>
      <w:lvlText w:val="%2."/>
      <w:lvlJc w:val="left"/>
      <w:pPr>
        <w:ind w:hanging="360" w:left="1440"/>
      </w:pPr>
      <w:rPr/>
    </w:lvl>
    <w:lvl w:ilvl="2" w:tplc="0407001B">
      <w:start w:val="1"/>
      <w:numFmt w:val="lowerRoman"/>
      <w:suff w:val="tab"/>
      <w:lvlText w:val="%3."/>
      <w:lvlJc w:val="right"/>
      <w:pPr>
        <w:ind w:hanging="180" w:left="2160"/>
      </w:pPr>
      <w:rPr/>
    </w:lvl>
    <w:lvl w:ilvl="3" w:tplc="0407000F">
      <w:start w:val="1"/>
      <w:numFmt w:val="decimal"/>
      <w:suff w:val="tab"/>
      <w:lvlText w:val="%4."/>
      <w:lvlJc w:val="left"/>
      <w:pPr>
        <w:ind w:hanging="360" w:left="2880"/>
      </w:pPr>
      <w:rPr/>
    </w:lvl>
    <w:lvl w:ilvl="4" w:tplc="04070019">
      <w:start w:val="1"/>
      <w:numFmt w:val="lowerLetter"/>
      <w:suff w:val="tab"/>
      <w:lvlText w:val="%5."/>
      <w:lvlJc w:val="left"/>
      <w:pPr>
        <w:ind w:hanging="360" w:left="3600"/>
      </w:pPr>
      <w:rPr/>
    </w:lvl>
    <w:lvl w:ilvl="5" w:tplc="0407001B">
      <w:start w:val="1"/>
      <w:numFmt w:val="lowerRoman"/>
      <w:suff w:val="tab"/>
      <w:lvlText w:val="%6."/>
      <w:lvlJc w:val="right"/>
      <w:pPr>
        <w:ind w:hanging="180" w:left="4320"/>
      </w:pPr>
      <w:rPr/>
    </w:lvl>
    <w:lvl w:ilvl="6" w:tplc="0407000F">
      <w:start w:val="1"/>
      <w:numFmt w:val="decimal"/>
      <w:suff w:val="tab"/>
      <w:lvlText w:val="%7."/>
      <w:lvlJc w:val="left"/>
      <w:pPr>
        <w:ind w:hanging="360" w:left="5040"/>
      </w:pPr>
      <w:rPr/>
    </w:lvl>
    <w:lvl w:ilvl="7" w:tplc="04070019">
      <w:start w:val="1"/>
      <w:numFmt w:val="lowerLetter"/>
      <w:suff w:val="tab"/>
      <w:lvlText w:val="%8."/>
      <w:lvlJc w:val="left"/>
      <w:pPr>
        <w:ind w:hanging="360" w:left="5760"/>
      </w:pPr>
      <w:rPr/>
    </w:lvl>
    <w:lvl w:ilvl="8" w:tplc="0407001B">
      <w:start w:val="1"/>
      <w:numFmt w:val="lowerRoman"/>
      <w:suff w:val="tab"/>
      <w:lvlText w:val="%9."/>
      <w:lvlJc w:val="right"/>
      <w:pPr>
        <w:ind w:hanging="180" w:left="6480"/>
      </w:pPr>
      <w:rPr/>
    </w:lvl>
  </w:abstractNum>
  <w:abstractNum w:abstractNumId="26">
    <w:nsid w:val="3AAA5012"/>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27">
    <w:nsid w:val="41EC3C29"/>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28">
    <w:nsid w:val="42865B60"/>
    <w:multiLevelType w:val="hybridMultilevel"/>
    <w:lvl w:ilvl="0" w:tplc="04070001">
      <w:start w:val="1"/>
      <w:numFmt w:val="bullet"/>
      <w:suff w:val="tab"/>
      <w:lvlText w:val=""/>
      <w:lvlJc w:val="left"/>
      <w:pPr>
        <w:ind w:hanging="360" w:left="360"/>
        <w:tabs>
          <w:tab w:val="num" w:pos="360" w:leader="none"/>
        </w:tabs>
      </w:pPr>
      <w:rPr>
        <w:rFonts w:ascii="Symbol" w:hAnsi="Symbol" w:hint="default"/>
      </w:rPr>
    </w:lvl>
    <w:lvl w:ilvl="1" w:tplc="04070003">
      <w:start w:val="1"/>
      <w:numFmt w:val="bullet"/>
      <w:suff w:val="tab"/>
      <w:lvlText w:val="o"/>
      <w:lvlJc w:val="left"/>
      <w:pPr>
        <w:ind w:hanging="360" w:left="1080"/>
        <w:tabs>
          <w:tab w:val="num" w:pos="1080" w:leader="none"/>
        </w:tabs>
      </w:pPr>
      <w:rPr>
        <w:rFonts w:ascii="Courier New" w:hAnsi="Courier New" w:hint="default"/>
      </w:rPr>
    </w:lvl>
    <w:lvl w:ilvl="2" w:tplc="04070005">
      <w:start w:val="1"/>
      <w:numFmt w:val="bullet"/>
      <w:suff w:val="tab"/>
      <w:lvlText w:val=""/>
      <w:lvlJc w:val="left"/>
      <w:pPr>
        <w:ind w:hanging="360" w:left="1800"/>
        <w:tabs>
          <w:tab w:val="num" w:pos="1800" w:leader="none"/>
        </w:tabs>
      </w:pPr>
      <w:rPr>
        <w:rFonts w:ascii="Wingdings" w:hAnsi="Wingdings" w:hint="default"/>
      </w:rPr>
    </w:lvl>
    <w:lvl w:ilvl="3" w:tplc="04070001">
      <w:start w:val="1"/>
      <w:numFmt w:val="bullet"/>
      <w:suff w:val="tab"/>
      <w:lvlText w:val=""/>
      <w:lvlJc w:val="left"/>
      <w:pPr>
        <w:ind w:hanging="360" w:left="2520"/>
        <w:tabs>
          <w:tab w:val="num" w:pos="2520" w:leader="none"/>
        </w:tabs>
      </w:pPr>
      <w:rPr>
        <w:rFonts w:ascii="Symbol" w:hAnsi="Symbol" w:hint="default"/>
      </w:rPr>
    </w:lvl>
    <w:lvl w:ilvl="4" w:tplc="04070003">
      <w:start w:val="1"/>
      <w:numFmt w:val="bullet"/>
      <w:suff w:val="tab"/>
      <w:lvlText w:val="o"/>
      <w:lvlJc w:val="left"/>
      <w:pPr>
        <w:ind w:hanging="360" w:left="3240"/>
        <w:tabs>
          <w:tab w:val="num" w:pos="3240" w:leader="none"/>
        </w:tabs>
      </w:pPr>
      <w:rPr>
        <w:rFonts w:ascii="Courier New" w:hAnsi="Courier New" w:hint="default"/>
      </w:rPr>
    </w:lvl>
    <w:lvl w:ilvl="5" w:tplc="04070005">
      <w:start w:val="1"/>
      <w:numFmt w:val="bullet"/>
      <w:suff w:val="tab"/>
      <w:lvlText w:val=""/>
      <w:lvlJc w:val="left"/>
      <w:pPr>
        <w:ind w:hanging="360" w:left="3960"/>
        <w:tabs>
          <w:tab w:val="num" w:pos="3960" w:leader="none"/>
        </w:tabs>
      </w:pPr>
      <w:rPr>
        <w:rFonts w:ascii="Wingdings" w:hAnsi="Wingdings" w:hint="default"/>
      </w:rPr>
    </w:lvl>
    <w:lvl w:ilvl="6" w:tplc="04070001">
      <w:start w:val="1"/>
      <w:numFmt w:val="bullet"/>
      <w:suff w:val="tab"/>
      <w:lvlText w:val=""/>
      <w:lvlJc w:val="left"/>
      <w:pPr>
        <w:ind w:hanging="360" w:left="4680"/>
        <w:tabs>
          <w:tab w:val="num" w:pos="4680" w:leader="none"/>
        </w:tabs>
      </w:pPr>
      <w:rPr>
        <w:rFonts w:ascii="Symbol" w:hAnsi="Symbol" w:hint="default"/>
      </w:rPr>
    </w:lvl>
    <w:lvl w:ilvl="7" w:tplc="04070003">
      <w:start w:val="1"/>
      <w:numFmt w:val="bullet"/>
      <w:suff w:val="tab"/>
      <w:lvlText w:val="o"/>
      <w:lvlJc w:val="left"/>
      <w:pPr>
        <w:ind w:hanging="360" w:left="5400"/>
        <w:tabs>
          <w:tab w:val="num" w:pos="5400" w:leader="none"/>
        </w:tabs>
      </w:pPr>
      <w:rPr>
        <w:rFonts w:ascii="Courier New" w:hAnsi="Courier New" w:hint="default"/>
      </w:rPr>
    </w:lvl>
    <w:lvl w:ilvl="8" w:tplc="04070005">
      <w:start w:val="1"/>
      <w:numFmt w:val="bullet"/>
      <w:suff w:val="tab"/>
      <w:lvlText w:val=""/>
      <w:lvlJc w:val="left"/>
      <w:pPr>
        <w:ind w:hanging="360" w:left="6120"/>
        <w:tabs>
          <w:tab w:val="num" w:pos="6120" w:leader="none"/>
        </w:tabs>
      </w:pPr>
      <w:rPr>
        <w:rFonts w:ascii="Wingdings" w:hAnsi="Wingdings" w:hint="default"/>
      </w:rPr>
    </w:lvl>
  </w:abstractNum>
  <w:abstractNum w:abstractNumId="29">
    <w:nsid w:val="434F5F53"/>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30">
    <w:nsid w:val="48907E86"/>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Wingdings"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Wingdings"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Wingdings" w:hint="default"/>
      </w:rPr>
    </w:lvl>
    <w:lvl w:ilvl="8" w:tplc="04070005">
      <w:start w:val="1"/>
      <w:numFmt w:val="bullet"/>
      <w:suff w:val="tab"/>
      <w:lvlText w:val=""/>
      <w:lvlJc w:val="left"/>
      <w:pPr>
        <w:ind w:hanging="360" w:left="6480"/>
      </w:pPr>
      <w:rPr>
        <w:rFonts w:ascii="Wingdings" w:hAnsi="Wingdings" w:hint="default"/>
      </w:rPr>
    </w:lvl>
  </w:abstractNum>
  <w:abstractNum w:abstractNumId="31">
    <w:nsid w:val="4B216500"/>
    <w:multiLevelType w:val="hybridMultilevel"/>
    <w:lvl w:ilvl="0" w:tplc="FFFFFFFF">
      <w:start w:val="1"/>
      <w:numFmt w:val="bullet"/>
      <w:suff w:val="tab"/>
      <w:lvlText w:val=""/>
      <w:lvlJc w:val="left"/>
      <w:pPr>
        <w:ind w:hanging="360" w:left="781"/>
        <w:tabs>
          <w:tab w:val="num" w:pos="781" w:leader="none"/>
        </w:tabs>
      </w:pPr>
      <w:rPr>
        <w:rFonts w:ascii="Symbol" w:hAnsi="Symbol" w:hint="default"/>
      </w:rPr>
    </w:lvl>
    <w:lvl w:ilvl="1" w:tplc="FFFFFFFF">
      <w:start w:val="1"/>
      <w:numFmt w:val="bullet"/>
      <w:suff w:val="tab"/>
      <w:lvlText w:val="o"/>
      <w:lvlJc w:val="left"/>
      <w:pPr>
        <w:ind w:hanging="360" w:left="1501"/>
        <w:tabs>
          <w:tab w:val="num" w:pos="1501" w:leader="none"/>
        </w:tabs>
      </w:pPr>
      <w:rPr>
        <w:rFonts w:ascii="Courier New" w:hAnsi="Courier New" w:cs="Courier New" w:hint="default"/>
      </w:rPr>
    </w:lvl>
    <w:lvl w:ilvl="2" w:tplc="FFFFFFFF">
      <w:start w:val="1"/>
      <w:numFmt w:val="bullet"/>
      <w:suff w:val="tab"/>
      <w:lvlText w:val=""/>
      <w:lvlJc w:val="left"/>
      <w:pPr>
        <w:ind w:hanging="360" w:left="2221"/>
        <w:tabs>
          <w:tab w:val="num" w:pos="2221" w:leader="none"/>
        </w:tabs>
      </w:pPr>
      <w:rPr>
        <w:rFonts w:ascii="Wingdings" w:hAnsi="Wingdings" w:hint="default"/>
      </w:rPr>
    </w:lvl>
    <w:lvl w:ilvl="3" w:tplc="FFFFFFFF">
      <w:start w:val="1"/>
      <w:numFmt w:val="bullet"/>
      <w:suff w:val="tab"/>
      <w:lvlText w:val=""/>
      <w:lvlJc w:val="left"/>
      <w:pPr>
        <w:ind w:hanging="360" w:left="2941"/>
        <w:tabs>
          <w:tab w:val="num" w:pos="2941" w:leader="none"/>
        </w:tabs>
      </w:pPr>
      <w:rPr>
        <w:rFonts w:ascii="Symbol" w:hAnsi="Symbol" w:hint="default"/>
      </w:rPr>
    </w:lvl>
    <w:lvl w:ilvl="4" w:tplc="FFFFFFFF">
      <w:start w:val="1"/>
      <w:numFmt w:val="bullet"/>
      <w:suff w:val="tab"/>
      <w:lvlText w:val="o"/>
      <w:lvlJc w:val="left"/>
      <w:pPr>
        <w:ind w:hanging="360" w:left="3661"/>
        <w:tabs>
          <w:tab w:val="num" w:pos="3661" w:leader="none"/>
        </w:tabs>
      </w:pPr>
      <w:rPr>
        <w:rFonts w:ascii="Courier New" w:hAnsi="Courier New" w:cs="Courier New" w:hint="default"/>
      </w:rPr>
    </w:lvl>
    <w:lvl w:ilvl="5" w:tplc="FFFFFFFF">
      <w:start w:val="1"/>
      <w:numFmt w:val="bullet"/>
      <w:suff w:val="tab"/>
      <w:lvlText w:val=""/>
      <w:lvlJc w:val="left"/>
      <w:pPr>
        <w:ind w:hanging="360" w:left="4381"/>
        <w:tabs>
          <w:tab w:val="num" w:pos="4381" w:leader="none"/>
        </w:tabs>
      </w:pPr>
      <w:rPr>
        <w:rFonts w:ascii="Wingdings" w:hAnsi="Wingdings" w:hint="default"/>
      </w:rPr>
    </w:lvl>
    <w:lvl w:ilvl="6" w:tplc="FFFFFFFF">
      <w:start w:val="1"/>
      <w:numFmt w:val="bullet"/>
      <w:suff w:val="tab"/>
      <w:lvlText w:val=""/>
      <w:lvlJc w:val="left"/>
      <w:pPr>
        <w:ind w:hanging="360" w:left="5101"/>
        <w:tabs>
          <w:tab w:val="num" w:pos="5101" w:leader="none"/>
        </w:tabs>
      </w:pPr>
      <w:rPr>
        <w:rFonts w:ascii="Symbol" w:hAnsi="Symbol" w:hint="default"/>
      </w:rPr>
    </w:lvl>
    <w:lvl w:ilvl="7" w:tplc="FFFFFFFF">
      <w:start w:val="1"/>
      <w:numFmt w:val="bullet"/>
      <w:suff w:val="tab"/>
      <w:lvlText w:val="o"/>
      <w:lvlJc w:val="left"/>
      <w:pPr>
        <w:ind w:hanging="360" w:left="5821"/>
        <w:tabs>
          <w:tab w:val="num" w:pos="5821" w:leader="none"/>
        </w:tabs>
      </w:pPr>
      <w:rPr>
        <w:rFonts w:ascii="Courier New" w:hAnsi="Courier New" w:cs="Courier New" w:hint="default"/>
      </w:rPr>
    </w:lvl>
    <w:lvl w:ilvl="8" w:tplc="FFFFFFFF">
      <w:start w:val="1"/>
      <w:numFmt w:val="bullet"/>
      <w:suff w:val="tab"/>
      <w:lvlText w:val=""/>
      <w:lvlJc w:val="left"/>
      <w:pPr>
        <w:ind w:hanging="360" w:left="6541"/>
        <w:tabs>
          <w:tab w:val="num" w:pos="6541" w:leader="none"/>
        </w:tabs>
      </w:pPr>
      <w:rPr>
        <w:rFonts w:ascii="Wingdings" w:hAnsi="Wingdings" w:hint="default"/>
      </w:rPr>
    </w:lvl>
  </w:abstractNum>
  <w:abstractNum w:abstractNumId="32">
    <w:nsid w:val="4C383773"/>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33">
    <w:nsid w:val="4E7823E4"/>
    <w:multiLevelType w:val="hybridMultilevel"/>
    <w:lvl w:ilvl="0" w:tplc="7728AA5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34">
    <w:nsid w:val="4F7B5B33"/>
    <w:multiLevelType w:val="hybridMultilevel"/>
    <w:lvl w:ilvl="0" w:tplc="13A029B8">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35">
    <w:nsid w:val="53C151B5"/>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36">
    <w:nsid w:val="54510136"/>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37">
    <w:nsid w:val="578F41C7"/>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38">
    <w:nsid w:val="5B256EC3"/>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39">
    <w:nsid w:val="5BC31F5E"/>
    <w:multiLevelType w:val="hybridMultilevel"/>
    <w:lvl w:ilvl="0" w:tplc="13A029B8">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40">
    <w:nsid w:val="5E5521DD"/>
    <w:multiLevelType w:val="hybridMultilevel"/>
    <w:lvl w:ilvl="0" w:tplc="13A029B8">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41">
    <w:nsid w:val="63440338"/>
    <w:multiLevelType w:val="hybridMultilevel"/>
    <w:lvl w:ilvl="0" w:tplc="2598A9C2">
      <w:start w:val="1"/>
      <w:numFmt w:val="bullet"/>
      <w:suff w:val="tab"/>
      <w:lvlText w:val=""/>
      <w:lvlJc w:val="left"/>
      <w:pPr>
        <w:ind w:hanging="360" w:left="720"/>
      </w:pPr>
      <w:rPr>
        <w:rFonts w:ascii="Symbol" w:hAnsi="Symbol" w:hint="default"/>
        <w:color w:val="auto"/>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42">
    <w:nsid w:val="6A144261"/>
    <w:multiLevelType w:val="hybridMultilevel"/>
    <w:lvl w:ilvl="0" w:tplc="7728AA5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43">
    <w:nsid w:val="6A2423DB"/>
    <w:multiLevelType w:val="multilevel"/>
    <w:lvl w:ilvl="0">
      <w:start w:val="1"/>
      <w:numFmt w:val="decimal"/>
      <w:suff w:val="tab"/>
      <w:lvlText w:val="%1"/>
      <w:lvlJc w:val="left"/>
      <w:pPr>
        <w:ind w:hanging="435" w:left="435"/>
        <w:tabs>
          <w:tab w:val="num" w:pos="435" w:leader="none"/>
        </w:tabs>
      </w:pPr>
      <w:rPr>
        <w:rFonts w:hint="default"/>
      </w:rPr>
    </w:lvl>
    <w:lvl w:ilvl="1">
      <w:start w:val="5"/>
      <w:numFmt w:val="decimal"/>
      <w:suff w:val="tab"/>
      <w:lvlText w:val="%1.%2"/>
      <w:lvlJc w:val="left"/>
      <w:pPr>
        <w:ind w:hanging="435" w:left="1425"/>
        <w:tabs>
          <w:tab w:val="num" w:pos="1425" w:leader="none"/>
        </w:tabs>
      </w:pPr>
      <w:rPr>
        <w:rFonts w:hint="default"/>
      </w:rPr>
    </w:lvl>
    <w:lvl w:ilvl="2">
      <w:start w:val="1"/>
      <w:numFmt w:val="decimal"/>
      <w:suff w:val="tab"/>
      <w:lvlText w:val="%1.%2.%3"/>
      <w:lvlJc w:val="left"/>
      <w:pPr>
        <w:ind w:hanging="720" w:left="2700"/>
        <w:tabs>
          <w:tab w:val="num" w:pos="2700" w:leader="none"/>
        </w:tabs>
      </w:pPr>
      <w:rPr>
        <w:rFonts w:hint="default"/>
      </w:rPr>
    </w:lvl>
    <w:lvl w:ilvl="3">
      <w:start w:val="1"/>
      <w:numFmt w:val="decimal"/>
      <w:suff w:val="tab"/>
      <w:lvlText w:val="%1.%2.%3.%4"/>
      <w:lvlJc w:val="left"/>
      <w:pPr>
        <w:ind w:hanging="720" w:left="3690"/>
        <w:tabs>
          <w:tab w:val="num" w:pos="3690" w:leader="none"/>
        </w:tabs>
      </w:pPr>
      <w:rPr>
        <w:rFonts w:hint="default"/>
      </w:rPr>
    </w:lvl>
    <w:lvl w:ilvl="4">
      <w:start w:val="1"/>
      <w:numFmt w:val="decimal"/>
      <w:suff w:val="tab"/>
      <w:lvlText w:val="%1.%2.%3.%4.%5"/>
      <w:lvlJc w:val="left"/>
      <w:pPr>
        <w:ind w:hanging="1080" w:left="5040"/>
        <w:tabs>
          <w:tab w:val="num" w:pos="5040" w:leader="none"/>
        </w:tabs>
      </w:pPr>
      <w:rPr>
        <w:rFonts w:hint="default"/>
      </w:rPr>
    </w:lvl>
    <w:lvl w:ilvl="5">
      <w:start w:val="1"/>
      <w:numFmt w:val="decimal"/>
      <w:suff w:val="tab"/>
      <w:lvlText w:val="%1.%2.%3.%4.%5.%6"/>
      <w:lvlJc w:val="left"/>
      <w:pPr>
        <w:ind w:hanging="1080" w:left="6030"/>
        <w:tabs>
          <w:tab w:val="num" w:pos="6030" w:leader="none"/>
        </w:tabs>
      </w:pPr>
      <w:rPr>
        <w:rFonts w:hint="default"/>
      </w:rPr>
    </w:lvl>
    <w:lvl w:ilvl="6">
      <w:start w:val="1"/>
      <w:numFmt w:val="decimal"/>
      <w:suff w:val="tab"/>
      <w:lvlText w:val="%1.%2.%3.%4.%5.%6.%7"/>
      <w:lvlJc w:val="left"/>
      <w:pPr>
        <w:ind w:hanging="1440" w:left="7380"/>
        <w:tabs>
          <w:tab w:val="num" w:pos="7380" w:leader="none"/>
        </w:tabs>
      </w:pPr>
      <w:rPr>
        <w:rFonts w:hint="default"/>
      </w:rPr>
    </w:lvl>
    <w:lvl w:ilvl="7">
      <w:start w:val="1"/>
      <w:numFmt w:val="decimal"/>
      <w:suff w:val="tab"/>
      <w:lvlText w:val="%1.%2.%3.%4.%5.%6.%7.%8"/>
      <w:lvlJc w:val="left"/>
      <w:pPr>
        <w:ind w:hanging="1440" w:left="8370"/>
        <w:tabs>
          <w:tab w:val="num" w:pos="8370" w:leader="none"/>
        </w:tabs>
      </w:pPr>
      <w:rPr>
        <w:rFonts w:hint="default"/>
      </w:rPr>
    </w:lvl>
    <w:lvl w:ilvl="8">
      <w:start w:val="1"/>
      <w:numFmt w:val="decimal"/>
      <w:suff w:val="tab"/>
      <w:lvlText w:val="%1.%2.%3.%4.%5.%6.%7.%8.%9"/>
      <w:lvlJc w:val="left"/>
      <w:pPr>
        <w:ind w:hanging="1800" w:left="9720"/>
        <w:tabs>
          <w:tab w:val="num" w:pos="9720" w:leader="none"/>
        </w:tabs>
      </w:pPr>
      <w:rPr>
        <w:rFonts w:hint="default"/>
      </w:rPr>
    </w:lvl>
  </w:abstractNum>
  <w:abstractNum w:abstractNumId="44">
    <w:nsid w:val="70FD5939"/>
    <w:multiLevelType w:val="multilevel"/>
    <w:lvl w:ilvl="0">
      <w:start w:val="1"/>
      <w:numFmt w:val="decimal"/>
      <w:suff w:val="tab"/>
      <w:lvlText w:val="%1"/>
      <w:lvlJc w:val="left"/>
      <w:pPr>
        <w:ind w:hanging="360" w:left="360"/>
      </w:pPr>
      <w:rPr>
        <w:rFonts w:hint="default"/>
      </w:rPr>
    </w:lvl>
    <w:lvl w:ilvl="1">
      <w:start w:val="3"/>
      <w:numFmt w:val="decimal"/>
      <w:suff w:val="tab"/>
      <w:lvlText w:val="%1.%2"/>
      <w:lvlJc w:val="left"/>
      <w:pPr>
        <w:ind w:hanging="360" w:left="360"/>
      </w:pPr>
      <w:rPr>
        <w:rFonts w:hint="default"/>
      </w:rPr>
    </w:lvl>
    <w:lvl w:ilvl="2">
      <w:start w:val="1"/>
      <w:numFmt w:val="decimal"/>
      <w:suff w:val="tab"/>
      <w:lvlText w:val="%1.%2.%3"/>
      <w:lvlJc w:val="left"/>
      <w:pPr>
        <w:ind w:hanging="720" w:left="2700"/>
      </w:pPr>
      <w:rPr>
        <w:rFonts w:hint="default"/>
      </w:rPr>
    </w:lvl>
    <w:lvl w:ilvl="3">
      <w:start w:val="1"/>
      <w:numFmt w:val="decimal"/>
      <w:suff w:val="tab"/>
      <w:lvlText w:val="%1.%2.%3.%4"/>
      <w:lvlJc w:val="left"/>
      <w:pPr>
        <w:ind w:hanging="720" w:left="3690"/>
      </w:pPr>
      <w:rPr>
        <w:rFonts w:hint="default"/>
      </w:rPr>
    </w:lvl>
    <w:lvl w:ilvl="4">
      <w:start w:val="1"/>
      <w:numFmt w:val="decimal"/>
      <w:suff w:val="tab"/>
      <w:lvlText w:val="%1.%2.%3.%4.%5"/>
      <w:lvlJc w:val="left"/>
      <w:pPr>
        <w:ind w:hanging="1080" w:left="5040"/>
      </w:pPr>
      <w:rPr>
        <w:rFonts w:hint="default"/>
      </w:rPr>
    </w:lvl>
    <w:lvl w:ilvl="5">
      <w:start w:val="1"/>
      <w:numFmt w:val="decimal"/>
      <w:suff w:val="tab"/>
      <w:lvlText w:val="%1.%2.%3.%4.%5.%6"/>
      <w:lvlJc w:val="left"/>
      <w:pPr>
        <w:ind w:hanging="1080" w:left="6030"/>
      </w:pPr>
      <w:rPr>
        <w:rFonts w:hint="default"/>
      </w:rPr>
    </w:lvl>
    <w:lvl w:ilvl="6">
      <w:start w:val="1"/>
      <w:numFmt w:val="decimal"/>
      <w:suff w:val="tab"/>
      <w:lvlText w:val="%1.%2.%3.%4.%5.%6.%7"/>
      <w:lvlJc w:val="left"/>
      <w:pPr>
        <w:ind w:hanging="1440" w:left="7380"/>
      </w:pPr>
      <w:rPr>
        <w:rFonts w:hint="default"/>
      </w:rPr>
    </w:lvl>
    <w:lvl w:ilvl="7">
      <w:start w:val="1"/>
      <w:numFmt w:val="decimal"/>
      <w:suff w:val="tab"/>
      <w:lvlText w:val="%1.%2.%3.%4.%5.%6.%7.%8"/>
      <w:lvlJc w:val="left"/>
      <w:pPr>
        <w:ind w:hanging="1440" w:left="8370"/>
      </w:pPr>
      <w:rPr>
        <w:rFonts w:hint="default"/>
      </w:rPr>
    </w:lvl>
    <w:lvl w:ilvl="8">
      <w:start w:val="1"/>
      <w:numFmt w:val="decimal"/>
      <w:suff w:val="tab"/>
      <w:lvlText w:val="%1.%2.%3.%4.%5.%6.%7.%8.%9"/>
      <w:lvlJc w:val="left"/>
      <w:pPr>
        <w:ind w:hanging="1800" w:left="9720"/>
      </w:pPr>
      <w:rPr>
        <w:rFonts w:hint="default"/>
      </w:rPr>
    </w:lvl>
  </w:abstractNum>
  <w:abstractNum w:abstractNumId="45">
    <w:nsid w:val="72C421F1"/>
    <w:multiLevelType w:val="multilevel"/>
    <w:lvl w:ilvl="0">
      <w:start w:val="2"/>
      <w:numFmt w:val="decimal"/>
      <w:suff w:val="tab"/>
      <w:lvlText w:val="%1"/>
      <w:lvlJc w:val="left"/>
      <w:pPr>
        <w:ind w:hanging="990" w:left="990"/>
        <w:tabs>
          <w:tab w:val="num" w:pos="990" w:leader="none"/>
        </w:tabs>
      </w:pPr>
      <w:rPr>
        <w:rFonts w:hint="default"/>
      </w:rPr>
    </w:lvl>
    <w:lvl w:ilvl="1">
      <w:start w:val="1"/>
      <w:numFmt w:val="decimal"/>
      <w:suff w:val="tab"/>
      <w:lvlText w:val="%1.%2"/>
      <w:lvlJc w:val="left"/>
      <w:pPr>
        <w:ind w:hanging="990" w:left="990"/>
        <w:tabs>
          <w:tab w:val="num" w:pos="990" w:leader="none"/>
        </w:tabs>
      </w:pPr>
      <w:rPr>
        <w:rFonts w:hint="default"/>
      </w:rPr>
    </w:lvl>
    <w:lvl w:ilvl="2">
      <w:start w:val="1"/>
      <w:numFmt w:val="decimal"/>
      <w:suff w:val="tab"/>
      <w:lvlText w:val="%1.%2.%3"/>
      <w:lvlJc w:val="left"/>
      <w:pPr>
        <w:ind w:hanging="990" w:left="990"/>
        <w:tabs>
          <w:tab w:val="num" w:pos="990" w:leader="none"/>
        </w:tabs>
      </w:pPr>
      <w:rPr>
        <w:rFonts w:hint="default"/>
      </w:rPr>
    </w:lvl>
    <w:lvl w:ilvl="3">
      <w:start w:val="1"/>
      <w:numFmt w:val="decimal"/>
      <w:suff w:val="tab"/>
      <w:lvlText w:val="%1.%2.%3.%4"/>
      <w:lvlJc w:val="left"/>
      <w:pPr>
        <w:ind w:hanging="990" w:left="990"/>
        <w:tabs>
          <w:tab w:val="num" w:pos="990" w:leader="none"/>
        </w:tabs>
      </w:pPr>
      <w:rPr>
        <w:rFonts w:hint="default"/>
      </w:rPr>
    </w:lvl>
    <w:lvl w:ilvl="4">
      <w:start w:val="1"/>
      <w:numFmt w:val="decimal"/>
      <w:suff w:val="tab"/>
      <w:lvlText w:val="%1.%2.%3.%4.%5"/>
      <w:lvlJc w:val="left"/>
      <w:pPr>
        <w:ind w:hanging="1080" w:left="1080"/>
        <w:tabs>
          <w:tab w:val="num" w:pos="1080" w:leader="none"/>
        </w:tabs>
      </w:pPr>
      <w:rPr>
        <w:rFonts w:hint="default"/>
      </w:rPr>
    </w:lvl>
    <w:lvl w:ilvl="5">
      <w:start w:val="1"/>
      <w:numFmt w:val="decimal"/>
      <w:suff w:val="tab"/>
      <w:lvlText w:val="%1.%2.%3.%4.%5.%6"/>
      <w:lvlJc w:val="left"/>
      <w:pPr>
        <w:ind w:hanging="1080" w:left="1080"/>
        <w:tabs>
          <w:tab w:val="num" w:pos="1080" w:leader="none"/>
        </w:tabs>
      </w:pPr>
      <w:rPr>
        <w:rFonts w:hint="default"/>
      </w:rPr>
    </w:lvl>
    <w:lvl w:ilvl="6">
      <w:start w:val="1"/>
      <w:numFmt w:val="decimal"/>
      <w:suff w:val="tab"/>
      <w:lvlText w:val="%1.%2.%3.%4.%5.%6.%7"/>
      <w:lvlJc w:val="left"/>
      <w:pPr>
        <w:ind w:hanging="1440" w:left="1440"/>
        <w:tabs>
          <w:tab w:val="num" w:pos="1440" w:leader="none"/>
        </w:tabs>
      </w:pPr>
      <w:rPr>
        <w:rFonts w:hint="default"/>
      </w:rPr>
    </w:lvl>
    <w:lvl w:ilvl="7">
      <w:start w:val="1"/>
      <w:numFmt w:val="decimal"/>
      <w:suff w:val="tab"/>
      <w:lvlText w:val="%1.%2.%3.%4.%5.%6.%7.%8"/>
      <w:lvlJc w:val="left"/>
      <w:pPr>
        <w:ind w:hanging="1440" w:left="1440"/>
        <w:tabs>
          <w:tab w:val="num" w:pos="1440" w:leader="none"/>
        </w:tabs>
      </w:pPr>
      <w:rPr>
        <w:rFonts w:hint="default"/>
      </w:rPr>
    </w:lvl>
    <w:lvl w:ilvl="8">
      <w:start w:val="1"/>
      <w:numFmt w:val="decimal"/>
      <w:suff w:val="tab"/>
      <w:lvlText w:val="%1.%2.%3.%4.%5.%6.%7.%8.%9"/>
      <w:lvlJc w:val="left"/>
      <w:pPr>
        <w:ind w:hanging="1800" w:left="1800"/>
        <w:tabs>
          <w:tab w:val="num" w:pos="1800" w:leader="none"/>
        </w:tabs>
      </w:pPr>
      <w:rPr>
        <w:rFonts w:hint="default"/>
      </w:rPr>
    </w:lvl>
  </w:abstractNum>
  <w:abstractNum w:abstractNumId="46">
    <w:nsid w:val="769E55A4"/>
    <w:multiLevelType w:val="hybridMultilevel"/>
    <w:lvl w:ilvl="0" w:tplc="13A029B8">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47">
    <w:nsid w:val="77B10908"/>
    <w:multiLevelType w:val="hybridMultilevel"/>
    <w:lvl w:ilvl="0" w:tplc="0807000F">
      <w:start w:val="1"/>
      <w:numFmt w:val="decimal"/>
      <w:suff w:val="tab"/>
      <w:lvlText w:val="%1."/>
      <w:lvlJc w:val="left"/>
      <w:pPr>
        <w:ind w:hanging="360" w:left="720"/>
      </w:pPr>
      <w:rPr/>
    </w:lvl>
    <w:lvl w:ilvl="1" w:tplc="08070019">
      <w:start w:val="1"/>
      <w:numFmt w:val="lowerLetter"/>
      <w:suff w:val="tab"/>
      <w:lvlText w:val="%2."/>
      <w:lvlJc w:val="left"/>
      <w:pPr>
        <w:ind w:hanging="360" w:left="1440"/>
      </w:pPr>
      <w:rPr/>
    </w:lvl>
    <w:lvl w:ilvl="2" w:tplc="0807001B">
      <w:start w:val="1"/>
      <w:numFmt w:val="lowerRoman"/>
      <w:suff w:val="tab"/>
      <w:lvlText w:val="%3."/>
      <w:lvlJc w:val="right"/>
      <w:pPr>
        <w:ind w:hanging="180" w:left="2160"/>
      </w:pPr>
      <w:rPr/>
    </w:lvl>
    <w:lvl w:ilvl="3" w:tplc="0807000F">
      <w:start w:val="1"/>
      <w:numFmt w:val="decimal"/>
      <w:suff w:val="tab"/>
      <w:lvlText w:val="%4."/>
      <w:lvlJc w:val="left"/>
      <w:pPr>
        <w:ind w:hanging="360" w:left="2880"/>
      </w:pPr>
      <w:rPr/>
    </w:lvl>
    <w:lvl w:ilvl="4" w:tplc="08070019">
      <w:start w:val="1"/>
      <w:numFmt w:val="lowerLetter"/>
      <w:suff w:val="tab"/>
      <w:lvlText w:val="%5."/>
      <w:lvlJc w:val="left"/>
      <w:pPr>
        <w:ind w:hanging="360" w:left="3600"/>
      </w:pPr>
      <w:rPr/>
    </w:lvl>
    <w:lvl w:ilvl="5" w:tplc="0807001B">
      <w:start w:val="1"/>
      <w:numFmt w:val="lowerRoman"/>
      <w:suff w:val="tab"/>
      <w:lvlText w:val="%6."/>
      <w:lvlJc w:val="right"/>
      <w:pPr>
        <w:ind w:hanging="180" w:left="4320"/>
      </w:pPr>
      <w:rPr/>
    </w:lvl>
    <w:lvl w:ilvl="6" w:tplc="0807000F">
      <w:start w:val="1"/>
      <w:numFmt w:val="decimal"/>
      <w:suff w:val="tab"/>
      <w:lvlText w:val="%7."/>
      <w:lvlJc w:val="left"/>
      <w:pPr>
        <w:ind w:hanging="360" w:left="5040"/>
      </w:pPr>
      <w:rPr/>
    </w:lvl>
    <w:lvl w:ilvl="7" w:tplc="08070019">
      <w:start w:val="1"/>
      <w:numFmt w:val="lowerLetter"/>
      <w:suff w:val="tab"/>
      <w:lvlText w:val="%8."/>
      <w:lvlJc w:val="left"/>
      <w:pPr>
        <w:ind w:hanging="360" w:left="5760"/>
      </w:pPr>
      <w:rPr/>
    </w:lvl>
    <w:lvl w:ilvl="8" w:tplc="0807001B">
      <w:start w:val="1"/>
      <w:numFmt w:val="lowerRoman"/>
      <w:suff w:val="tab"/>
      <w:lvlText w:val="%9."/>
      <w:lvlJc w:val="right"/>
      <w:pPr>
        <w:ind w:hanging="180" w:left="6480"/>
      </w:pPr>
      <w:rPr/>
    </w:lvl>
  </w:abstractNum>
  <w:abstractNum w:abstractNumId="48">
    <w:nsid w:val="6EF93EC5"/>
    <w:multiLevelType w:val="hybridMultilevel"/>
    <w:lvl w:ilvl="0" w:tplc="18DF11F0">
      <w:start w:val="1"/>
      <w:numFmt w:val="bullet"/>
      <w:suff w:val="tab"/>
      <w:lvlText w:val="·"/>
      <w:lvlJc w:val="left"/>
      <w:pPr>
        <w:ind w:hanging="360" w:left="720"/>
      </w:pPr>
      <w:rPr>
        <w:rFonts w:ascii="Symbol" w:hAnsi="Symbol" w:cs="Symbol" w:eastAsia="Symbol"/>
      </w:rPr>
    </w:lvl>
    <w:lvl w:ilvl="1" w:tplc="6C623847">
      <w:start w:val="1"/>
      <w:numFmt w:val="bullet"/>
      <w:suff w:val="tab"/>
      <w:lvlText w:val="o"/>
      <w:lvlJc w:val="left"/>
      <w:pPr>
        <w:ind w:hanging="360" w:left="1440"/>
      </w:pPr>
      <w:rPr>
        <w:rFonts w:ascii="Symbol" w:hAnsi="Symbol"/>
      </w:rPr>
    </w:lvl>
    <w:lvl w:ilvl="2" w:tplc="3C1E7859">
      <w:start w:val="1"/>
      <w:numFmt w:val="bullet"/>
      <w:suff w:val="tab"/>
      <w:lvlText w:val="·"/>
      <w:lvlJc w:val="left"/>
      <w:pPr>
        <w:ind w:hanging="360" w:left="2160"/>
      </w:pPr>
      <w:rPr>
        <w:rFonts w:ascii="Symbol" w:hAnsi="Symbol"/>
      </w:rPr>
    </w:lvl>
    <w:lvl w:ilvl="3" w:tplc="2D25B7F0">
      <w:start w:val="1"/>
      <w:numFmt w:val="bullet"/>
      <w:suff w:val="tab"/>
      <w:lvlText w:val="o"/>
      <w:lvlJc w:val="left"/>
      <w:pPr>
        <w:ind w:hanging="360" w:left="2880"/>
      </w:pPr>
      <w:rPr>
        <w:rFonts w:ascii="Symbol" w:hAnsi="Symbol"/>
      </w:rPr>
    </w:lvl>
    <w:lvl w:ilvl="4" w:tplc="2387C217">
      <w:start w:val="1"/>
      <w:numFmt w:val="bullet"/>
      <w:suff w:val="tab"/>
      <w:lvlText w:val="·"/>
      <w:lvlJc w:val="left"/>
      <w:pPr>
        <w:ind w:hanging="360" w:left="3600"/>
      </w:pPr>
      <w:rPr>
        <w:rFonts w:ascii="Symbol" w:hAnsi="Symbol"/>
      </w:rPr>
    </w:lvl>
    <w:lvl w:ilvl="5" w:tplc="1428D398">
      <w:start w:val="1"/>
      <w:numFmt w:val="bullet"/>
      <w:suff w:val="tab"/>
      <w:lvlText w:val="o"/>
      <w:lvlJc w:val="left"/>
      <w:pPr>
        <w:ind w:hanging="360" w:left="4320"/>
      </w:pPr>
      <w:rPr>
        <w:rFonts w:ascii="Symbol" w:hAnsi="Symbol"/>
      </w:rPr>
    </w:lvl>
    <w:lvl w:ilvl="6" w:tplc="06230D51">
      <w:start w:val="1"/>
      <w:numFmt w:val="bullet"/>
      <w:suff w:val="tab"/>
      <w:lvlText w:val="·"/>
      <w:lvlJc w:val="left"/>
      <w:pPr>
        <w:ind w:hanging="360" w:left="5040"/>
      </w:pPr>
      <w:rPr>
        <w:rFonts w:ascii="Symbol" w:hAnsi="Symbol"/>
      </w:rPr>
    </w:lvl>
    <w:lvl w:ilvl="7" w:tplc="34DCB772">
      <w:start w:val="1"/>
      <w:numFmt w:val="bullet"/>
      <w:suff w:val="tab"/>
      <w:lvlText w:val="o"/>
      <w:lvlJc w:val="left"/>
      <w:pPr>
        <w:ind w:hanging="360" w:left="5760"/>
      </w:pPr>
      <w:rPr>
        <w:rFonts w:ascii="Symbol" w:hAnsi="Symbol"/>
      </w:rPr>
    </w:lvl>
    <w:lvl w:ilvl="8" w:tplc="1D0126E0">
      <w:start w:val="1"/>
      <w:numFmt w:val="bullet"/>
      <w:suff w:val="tab"/>
      <w:lvlText w:val="·"/>
      <w:lvlJc w:val="left"/>
      <w:pPr>
        <w:ind w:hanging="360" w:left="6480"/>
      </w:pPr>
      <w:rPr>
        <w:rFonts w:ascii="Symbol" w:hAnsi="Symbol"/>
      </w:rPr>
    </w:lvl>
  </w:abstractNum>
  <w:abstractNum w:abstractNumId="49">
    <w:nsid w:val="6638405B"/>
    <w:multiLevelType w:val="hybridMultilevel"/>
    <w:lvl w:ilvl="0" w:tplc="56D9B7A5">
      <w:start w:val="1"/>
      <w:numFmt w:val="bullet"/>
      <w:suff w:val="tab"/>
      <w:lvlText w:val="·"/>
      <w:lvlJc w:val="left"/>
      <w:pPr>
        <w:ind w:hanging="360" w:left="720"/>
      </w:pPr>
      <w:rPr>
        <w:rFonts w:ascii="Symbol" w:hAnsi="Symbol" w:cs="Symbol" w:eastAsia="Symbol"/>
      </w:rPr>
    </w:lvl>
    <w:lvl w:ilvl="1" w:tplc="52209E8E">
      <w:start w:val="1"/>
      <w:numFmt w:val="bullet"/>
      <w:suff w:val="tab"/>
      <w:lvlText w:val="o"/>
      <w:lvlJc w:val="left"/>
      <w:pPr>
        <w:ind w:hanging="360" w:left="1440"/>
      </w:pPr>
      <w:rPr>
        <w:rFonts w:ascii="Symbol" w:hAnsi="Symbol"/>
      </w:rPr>
    </w:lvl>
    <w:lvl w:ilvl="2" w:tplc="54C1DE90">
      <w:start w:val="1"/>
      <w:numFmt w:val="bullet"/>
      <w:suff w:val="tab"/>
      <w:lvlText w:val="·"/>
      <w:lvlJc w:val="left"/>
      <w:pPr>
        <w:ind w:hanging="360" w:left="2160"/>
      </w:pPr>
      <w:rPr>
        <w:rFonts w:ascii="Symbol" w:hAnsi="Symbol"/>
      </w:rPr>
    </w:lvl>
    <w:lvl w:ilvl="3" w:tplc="10553324">
      <w:start w:val="1"/>
      <w:numFmt w:val="bullet"/>
      <w:suff w:val="tab"/>
      <w:lvlText w:val="o"/>
      <w:lvlJc w:val="left"/>
      <w:pPr>
        <w:ind w:hanging="360" w:left="2880"/>
      </w:pPr>
      <w:rPr>
        <w:rFonts w:ascii="Symbol" w:hAnsi="Symbol"/>
      </w:rPr>
    </w:lvl>
    <w:lvl w:ilvl="4" w:tplc="2B21FFE6">
      <w:start w:val="1"/>
      <w:numFmt w:val="bullet"/>
      <w:suff w:val="tab"/>
      <w:lvlText w:val="·"/>
      <w:lvlJc w:val="left"/>
      <w:pPr>
        <w:ind w:hanging="360" w:left="3600"/>
      </w:pPr>
      <w:rPr>
        <w:rFonts w:ascii="Symbol" w:hAnsi="Symbol"/>
      </w:rPr>
    </w:lvl>
    <w:lvl w:ilvl="5" w:tplc="7E751AE8">
      <w:start w:val="1"/>
      <w:numFmt w:val="bullet"/>
      <w:suff w:val="tab"/>
      <w:lvlText w:val="o"/>
      <w:lvlJc w:val="left"/>
      <w:pPr>
        <w:ind w:hanging="360" w:left="4320"/>
      </w:pPr>
      <w:rPr>
        <w:rFonts w:ascii="Symbol" w:hAnsi="Symbol"/>
      </w:rPr>
    </w:lvl>
    <w:lvl w:ilvl="6" w:tplc="56D1F2BE">
      <w:start w:val="1"/>
      <w:numFmt w:val="bullet"/>
      <w:suff w:val="tab"/>
      <w:lvlText w:val="·"/>
      <w:lvlJc w:val="left"/>
      <w:pPr>
        <w:ind w:hanging="360" w:left="5040"/>
      </w:pPr>
      <w:rPr>
        <w:rFonts w:ascii="Symbol" w:hAnsi="Symbol"/>
      </w:rPr>
    </w:lvl>
    <w:lvl w:ilvl="7" w:tplc="67E46170">
      <w:start w:val="1"/>
      <w:numFmt w:val="bullet"/>
      <w:suff w:val="tab"/>
      <w:lvlText w:val="o"/>
      <w:lvlJc w:val="left"/>
      <w:pPr>
        <w:ind w:hanging="360" w:left="5760"/>
      </w:pPr>
      <w:rPr>
        <w:rFonts w:ascii="Symbol" w:hAnsi="Symbol"/>
      </w:rPr>
    </w:lvl>
    <w:lvl w:ilvl="8" w:tplc="29894320">
      <w:start w:val="1"/>
      <w:numFmt w:val="bullet"/>
      <w:suff w:val="tab"/>
      <w:lvlText w:val="·"/>
      <w:lvlJc w:val="left"/>
      <w:pPr>
        <w:ind w:hanging="360" w:left="6480"/>
      </w:pPr>
      <w:rPr>
        <w:rFonts w:ascii="Symbol" w:hAnsi="Symbol"/>
      </w:rPr>
    </w:lvl>
  </w:abstractNum>
  <w:abstractNum w:abstractNumId="50">
    <w:nsid w:val="1B5423DD"/>
    <w:multiLevelType w:val="hybridMultilevel"/>
    <w:lvl w:ilvl="0" w:tplc="3CA84877">
      <w:start w:val="1"/>
      <w:numFmt w:val="bullet"/>
      <w:suff w:val="tab"/>
      <w:lvlText w:val="·"/>
      <w:lvlJc w:val="left"/>
      <w:pPr>
        <w:ind w:hanging="360" w:left="720"/>
      </w:pPr>
      <w:rPr>
        <w:rFonts w:ascii="Symbol" w:hAnsi="Symbol" w:cs="Symbol" w:eastAsia="Symbol"/>
      </w:rPr>
    </w:lvl>
    <w:lvl w:ilvl="1" w:tplc="45F9FADA">
      <w:start w:val="1"/>
      <w:numFmt w:val="bullet"/>
      <w:suff w:val="tab"/>
      <w:lvlText w:val="o"/>
      <w:lvlJc w:val="left"/>
      <w:pPr>
        <w:ind w:hanging="360" w:left="1440"/>
      </w:pPr>
      <w:rPr>
        <w:rFonts w:ascii="Symbol" w:hAnsi="Symbol"/>
      </w:rPr>
    </w:lvl>
    <w:lvl w:ilvl="2" w:tplc="3F237FFA">
      <w:start w:val="1"/>
      <w:numFmt w:val="bullet"/>
      <w:suff w:val="tab"/>
      <w:lvlText w:val="·"/>
      <w:lvlJc w:val="left"/>
      <w:pPr>
        <w:ind w:hanging="360" w:left="2160"/>
      </w:pPr>
      <w:rPr>
        <w:rFonts w:ascii="Symbol" w:hAnsi="Symbol"/>
      </w:rPr>
    </w:lvl>
    <w:lvl w:ilvl="3" w:tplc="7F021939">
      <w:start w:val="1"/>
      <w:numFmt w:val="bullet"/>
      <w:suff w:val="tab"/>
      <w:lvlText w:val="o"/>
      <w:lvlJc w:val="left"/>
      <w:pPr>
        <w:ind w:hanging="360" w:left="2880"/>
      </w:pPr>
      <w:rPr>
        <w:rFonts w:ascii="Symbol" w:hAnsi="Symbol"/>
      </w:rPr>
    </w:lvl>
    <w:lvl w:ilvl="4" w:tplc="7F0FA782">
      <w:start w:val="1"/>
      <w:numFmt w:val="bullet"/>
      <w:suff w:val="tab"/>
      <w:lvlText w:val="·"/>
      <w:lvlJc w:val="left"/>
      <w:pPr>
        <w:ind w:hanging="360" w:left="3600"/>
      </w:pPr>
      <w:rPr>
        <w:rFonts w:ascii="Symbol" w:hAnsi="Symbol"/>
      </w:rPr>
    </w:lvl>
    <w:lvl w:ilvl="5" w:tplc="655BB96B">
      <w:start w:val="1"/>
      <w:numFmt w:val="bullet"/>
      <w:suff w:val="tab"/>
      <w:lvlText w:val="o"/>
      <w:lvlJc w:val="left"/>
      <w:pPr>
        <w:ind w:hanging="360" w:left="4320"/>
      </w:pPr>
      <w:rPr>
        <w:rFonts w:ascii="Symbol" w:hAnsi="Symbol"/>
      </w:rPr>
    </w:lvl>
    <w:lvl w:ilvl="6" w:tplc="5CF97FBB">
      <w:start w:val="1"/>
      <w:numFmt w:val="bullet"/>
      <w:suff w:val="tab"/>
      <w:lvlText w:val="·"/>
      <w:lvlJc w:val="left"/>
      <w:pPr>
        <w:ind w:hanging="360" w:left="5040"/>
      </w:pPr>
      <w:rPr>
        <w:rFonts w:ascii="Symbol" w:hAnsi="Symbol"/>
      </w:rPr>
    </w:lvl>
    <w:lvl w:ilvl="7" w:tplc="2BFF4079">
      <w:start w:val="1"/>
      <w:numFmt w:val="bullet"/>
      <w:suff w:val="tab"/>
      <w:lvlText w:val="o"/>
      <w:lvlJc w:val="left"/>
      <w:pPr>
        <w:ind w:hanging="360" w:left="5760"/>
      </w:pPr>
      <w:rPr>
        <w:rFonts w:ascii="Symbol" w:hAnsi="Symbol"/>
      </w:rPr>
    </w:lvl>
    <w:lvl w:ilvl="8" w:tplc="3F349F81">
      <w:start w:val="1"/>
      <w:numFmt w:val="bullet"/>
      <w:suff w:val="tab"/>
      <w:lvlText w:val="·"/>
      <w:lvlJc w:val="left"/>
      <w:pPr>
        <w:ind w:hanging="360" w:left="6480"/>
      </w:pPr>
      <w:rPr>
        <w:rFonts w:ascii="Symbol" w:hAnsi="Symbol"/>
      </w:rPr>
    </w:lvl>
  </w:abstractNum>
  <w:abstractNum w:abstractNumId="51">
    <w:nsid w:val="310BD540"/>
    <w:multiLevelType w:val="hybridMultilevel"/>
    <w:lvl w:ilvl="0" w:tplc="6FACBDC9">
      <w:start w:val="1"/>
      <w:numFmt w:val="bullet"/>
      <w:suff w:val="tab"/>
      <w:lvlText w:val="·"/>
      <w:lvlJc w:val="left"/>
      <w:pPr>
        <w:ind w:hanging="360" w:left="720"/>
      </w:pPr>
      <w:rPr>
        <w:rFonts w:ascii="Symbol" w:hAnsi="Symbol" w:cs="Symbol" w:eastAsia="Symbol"/>
      </w:rPr>
    </w:lvl>
    <w:lvl w:ilvl="1" w:tplc="4BE134A7">
      <w:start w:val="1"/>
      <w:numFmt w:val="bullet"/>
      <w:suff w:val="tab"/>
      <w:lvlText w:val="o"/>
      <w:lvlJc w:val="left"/>
      <w:pPr>
        <w:ind w:hanging="360" w:left="1440"/>
      </w:pPr>
      <w:rPr>
        <w:rFonts w:ascii="Symbol" w:hAnsi="Symbol"/>
      </w:rPr>
    </w:lvl>
    <w:lvl w:ilvl="2" w:tplc="744CFADC">
      <w:start w:val="1"/>
      <w:numFmt w:val="bullet"/>
      <w:suff w:val="tab"/>
      <w:lvlText w:val="·"/>
      <w:lvlJc w:val="left"/>
      <w:pPr>
        <w:ind w:hanging="360" w:left="2160"/>
      </w:pPr>
      <w:rPr>
        <w:rFonts w:ascii="Symbol" w:hAnsi="Symbol"/>
      </w:rPr>
    </w:lvl>
    <w:lvl w:ilvl="3" w:tplc="46AD37CA">
      <w:start w:val="1"/>
      <w:numFmt w:val="bullet"/>
      <w:suff w:val="tab"/>
      <w:lvlText w:val="o"/>
      <w:lvlJc w:val="left"/>
      <w:pPr>
        <w:ind w:hanging="360" w:left="2880"/>
      </w:pPr>
      <w:rPr>
        <w:rFonts w:ascii="Symbol" w:hAnsi="Symbol"/>
      </w:rPr>
    </w:lvl>
    <w:lvl w:ilvl="4" w:tplc="3D9C13EB">
      <w:start w:val="1"/>
      <w:numFmt w:val="bullet"/>
      <w:suff w:val="tab"/>
      <w:lvlText w:val="·"/>
      <w:lvlJc w:val="left"/>
      <w:pPr>
        <w:ind w:hanging="360" w:left="3600"/>
      </w:pPr>
      <w:rPr>
        <w:rFonts w:ascii="Symbol" w:hAnsi="Symbol"/>
      </w:rPr>
    </w:lvl>
    <w:lvl w:ilvl="5" w:tplc="572630FF">
      <w:start w:val="1"/>
      <w:numFmt w:val="bullet"/>
      <w:suff w:val="tab"/>
      <w:lvlText w:val="o"/>
      <w:lvlJc w:val="left"/>
      <w:pPr>
        <w:ind w:hanging="360" w:left="4320"/>
      </w:pPr>
      <w:rPr>
        <w:rFonts w:ascii="Symbol" w:hAnsi="Symbol"/>
      </w:rPr>
    </w:lvl>
    <w:lvl w:ilvl="6" w:tplc="755C440C">
      <w:start w:val="1"/>
      <w:numFmt w:val="bullet"/>
      <w:suff w:val="tab"/>
      <w:lvlText w:val="·"/>
      <w:lvlJc w:val="left"/>
      <w:pPr>
        <w:ind w:hanging="360" w:left="5040"/>
      </w:pPr>
      <w:rPr>
        <w:rFonts w:ascii="Symbol" w:hAnsi="Symbol"/>
      </w:rPr>
    </w:lvl>
    <w:lvl w:ilvl="7" w:tplc="7971F6B6">
      <w:start w:val="1"/>
      <w:numFmt w:val="bullet"/>
      <w:suff w:val="tab"/>
      <w:lvlText w:val="o"/>
      <w:lvlJc w:val="left"/>
      <w:pPr>
        <w:ind w:hanging="360" w:left="5760"/>
      </w:pPr>
      <w:rPr>
        <w:rFonts w:ascii="Symbol" w:hAnsi="Symbol"/>
      </w:rPr>
    </w:lvl>
    <w:lvl w:ilvl="8" w:tplc="5BE55DC6">
      <w:start w:val="1"/>
      <w:numFmt w:val="bullet"/>
      <w:suff w:val="tab"/>
      <w:lvlText w:val="·"/>
      <w:lvlJc w:val="left"/>
      <w:pPr>
        <w:ind w:hanging="360" w:left="6480"/>
      </w:pPr>
      <w:rPr>
        <w:rFonts w:ascii="Symbol" w:hAnsi="Symbol"/>
      </w:rPr>
    </w:lvl>
  </w:abstractNum>
  <w:abstractNum w:abstractNumId="52">
    <w:nsid w:val="15CDB733"/>
    <w:multiLevelType w:val="hybridMultilevel"/>
    <w:lvl w:ilvl="0" w:tplc="5C4B3D4A">
      <w:start w:val="1"/>
      <w:numFmt w:val="bullet"/>
      <w:suff w:val="tab"/>
      <w:lvlText w:val="·"/>
      <w:lvlJc w:val="left"/>
      <w:pPr>
        <w:ind w:hanging="360" w:left="720"/>
      </w:pPr>
      <w:rPr>
        <w:rFonts w:ascii="Symbol" w:hAnsi="Symbol" w:cs="Symbol" w:eastAsia="Symbol"/>
      </w:rPr>
    </w:lvl>
    <w:lvl w:ilvl="1" w:tplc="69AA4AA1">
      <w:start w:val="1"/>
      <w:numFmt w:val="bullet"/>
      <w:suff w:val="tab"/>
      <w:lvlText w:val="o"/>
      <w:lvlJc w:val="left"/>
      <w:pPr>
        <w:ind w:hanging="360" w:left="1440"/>
      </w:pPr>
      <w:rPr>
        <w:rFonts w:ascii="Symbol" w:hAnsi="Symbol"/>
      </w:rPr>
    </w:lvl>
    <w:lvl w:ilvl="2" w:tplc="58EC465A">
      <w:start w:val="1"/>
      <w:numFmt w:val="bullet"/>
      <w:suff w:val="tab"/>
      <w:lvlText w:val="·"/>
      <w:lvlJc w:val="left"/>
      <w:pPr>
        <w:ind w:hanging="360" w:left="2160"/>
      </w:pPr>
      <w:rPr>
        <w:rFonts w:ascii="Symbol" w:hAnsi="Symbol"/>
      </w:rPr>
    </w:lvl>
    <w:lvl w:ilvl="3" w:tplc="57C74DC2">
      <w:start w:val="1"/>
      <w:numFmt w:val="bullet"/>
      <w:suff w:val="tab"/>
      <w:lvlText w:val="o"/>
      <w:lvlJc w:val="left"/>
      <w:pPr>
        <w:ind w:hanging="360" w:left="2880"/>
      </w:pPr>
      <w:rPr>
        <w:rFonts w:ascii="Symbol" w:hAnsi="Symbol"/>
      </w:rPr>
    </w:lvl>
    <w:lvl w:ilvl="4" w:tplc="613243AA">
      <w:start w:val="1"/>
      <w:numFmt w:val="bullet"/>
      <w:suff w:val="tab"/>
      <w:lvlText w:val="·"/>
      <w:lvlJc w:val="left"/>
      <w:pPr>
        <w:ind w:hanging="360" w:left="3600"/>
      </w:pPr>
      <w:rPr>
        <w:rFonts w:ascii="Symbol" w:hAnsi="Symbol"/>
      </w:rPr>
    </w:lvl>
    <w:lvl w:ilvl="5" w:tplc="346AE52D">
      <w:start w:val="1"/>
      <w:numFmt w:val="bullet"/>
      <w:suff w:val="tab"/>
      <w:lvlText w:val="o"/>
      <w:lvlJc w:val="left"/>
      <w:pPr>
        <w:ind w:hanging="360" w:left="4320"/>
      </w:pPr>
      <w:rPr>
        <w:rFonts w:ascii="Symbol" w:hAnsi="Symbol"/>
      </w:rPr>
    </w:lvl>
    <w:lvl w:ilvl="6" w:tplc="1DEE49D2">
      <w:start w:val="1"/>
      <w:numFmt w:val="bullet"/>
      <w:suff w:val="tab"/>
      <w:lvlText w:val="·"/>
      <w:lvlJc w:val="left"/>
      <w:pPr>
        <w:ind w:hanging="360" w:left="5040"/>
      </w:pPr>
      <w:rPr>
        <w:rFonts w:ascii="Symbol" w:hAnsi="Symbol"/>
      </w:rPr>
    </w:lvl>
    <w:lvl w:ilvl="7" w:tplc="35791C62">
      <w:start w:val="1"/>
      <w:numFmt w:val="bullet"/>
      <w:suff w:val="tab"/>
      <w:lvlText w:val="o"/>
      <w:lvlJc w:val="left"/>
      <w:pPr>
        <w:ind w:hanging="360" w:left="5760"/>
      </w:pPr>
      <w:rPr>
        <w:rFonts w:ascii="Symbol" w:hAnsi="Symbol"/>
      </w:rPr>
    </w:lvl>
    <w:lvl w:ilvl="8" w:tplc="1E1D075B">
      <w:start w:val="1"/>
      <w:numFmt w:val="bullet"/>
      <w:suff w:val="tab"/>
      <w:lvlText w:val="·"/>
      <w:lvlJc w:val="left"/>
      <w:pPr>
        <w:ind w:hanging="360" w:left="6480"/>
      </w:pPr>
      <w:rPr>
        <w:rFonts w:ascii="Symbol" w:hAnsi="Symbol"/>
      </w:rPr>
    </w:lvl>
  </w:abstractNum>
  <w:abstractNum w:abstractNumId="53">
    <w:nsid w:val="7BCF07AA"/>
    <w:multiLevelType w:val="hybridMultilevel"/>
    <w:lvl w:ilvl="0" w:tplc="455CCAA0">
      <w:start w:val="1"/>
      <w:numFmt w:val="bullet"/>
      <w:suff w:val="tab"/>
      <w:lvlText w:val="·"/>
      <w:lvlJc w:val="left"/>
      <w:pPr>
        <w:ind w:hanging="360" w:left="720"/>
      </w:pPr>
      <w:rPr>
        <w:rFonts w:ascii="Symbol" w:hAnsi="Symbol" w:cs="Symbol" w:eastAsia="Symbol"/>
      </w:rPr>
    </w:lvl>
    <w:lvl w:ilvl="1" w:tplc="736462A8">
      <w:start w:val="1"/>
      <w:numFmt w:val="bullet"/>
      <w:suff w:val="tab"/>
      <w:lvlText w:val="o"/>
      <w:lvlJc w:val="left"/>
      <w:pPr>
        <w:ind w:hanging="360" w:left="1440"/>
      </w:pPr>
      <w:rPr>
        <w:rFonts w:ascii="Symbol" w:hAnsi="Symbol"/>
      </w:rPr>
    </w:lvl>
    <w:lvl w:ilvl="2" w:tplc="2EE9AD8F">
      <w:start w:val="1"/>
      <w:numFmt w:val="bullet"/>
      <w:suff w:val="tab"/>
      <w:lvlText w:val="·"/>
      <w:lvlJc w:val="left"/>
      <w:pPr>
        <w:ind w:hanging="360" w:left="2160"/>
      </w:pPr>
      <w:rPr>
        <w:rFonts w:ascii="Symbol" w:hAnsi="Symbol"/>
      </w:rPr>
    </w:lvl>
    <w:lvl w:ilvl="3" w:tplc="52D9323A">
      <w:start w:val="1"/>
      <w:numFmt w:val="bullet"/>
      <w:suff w:val="tab"/>
      <w:lvlText w:val="o"/>
      <w:lvlJc w:val="left"/>
      <w:pPr>
        <w:ind w:hanging="360" w:left="2880"/>
      </w:pPr>
      <w:rPr>
        <w:rFonts w:ascii="Symbol" w:hAnsi="Symbol"/>
      </w:rPr>
    </w:lvl>
    <w:lvl w:ilvl="4" w:tplc="48B8FDA3">
      <w:start w:val="1"/>
      <w:numFmt w:val="bullet"/>
      <w:suff w:val="tab"/>
      <w:lvlText w:val="·"/>
      <w:lvlJc w:val="left"/>
      <w:pPr>
        <w:ind w:hanging="360" w:left="3600"/>
      </w:pPr>
      <w:rPr>
        <w:rFonts w:ascii="Symbol" w:hAnsi="Symbol"/>
      </w:rPr>
    </w:lvl>
    <w:lvl w:ilvl="5" w:tplc="28B0C389">
      <w:start w:val="1"/>
      <w:numFmt w:val="bullet"/>
      <w:suff w:val="tab"/>
      <w:lvlText w:val="o"/>
      <w:lvlJc w:val="left"/>
      <w:pPr>
        <w:ind w:hanging="360" w:left="4320"/>
      </w:pPr>
      <w:rPr>
        <w:rFonts w:ascii="Symbol" w:hAnsi="Symbol"/>
      </w:rPr>
    </w:lvl>
    <w:lvl w:ilvl="6" w:tplc="01E64C96">
      <w:start w:val="1"/>
      <w:numFmt w:val="bullet"/>
      <w:suff w:val="tab"/>
      <w:lvlText w:val="·"/>
      <w:lvlJc w:val="left"/>
      <w:pPr>
        <w:ind w:hanging="360" w:left="5040"/>
      </w:pPr>
      <w:rPr>
        <w:rFonts w:ascii="Symbol" w:hAnsi="Symbol"/>
      </w:rPr>
    </w:lvl>
    <w:lvl w:ilvl="7" w:tplc="6470BF1A">
      <w:start w:val="1"/>
      <w:numFmt w:val="bullet"/>
      <w:suff w:val="tab"/>
      <w:lvlText w:val="o"/>
      <w:lvlJc w:val="left"/>
      <w:pPr>
        <w:ind w:hanging="360" w:left="5760"/>
      </w:pPr>
      <w:rPr>
        <w:rFonts w:ascii="Symbol" w:hAnsi="Symbol"/>
      </w:rPr>
    </w:lvl>
    <w:lvl w:ilvl="8" w:tplc="119B3C45">
      <w:start w:val="1"/>
      <w:numFmt w:val="bullet"/>
      <w:suff w:val="tab"/>
      <w:lvlText w:val="·"/>
      <w:lvlJc w:val="left"/>
      <w:pPr>
        <w:ind w:hanging="360" w:left="6480"/>
      </w:pPr>
      <w:rPr>
        <w:rFonts w:ascii="Symbol" w:hAnsi="Symbol"/>
      </w:rPr>
    </w:lvl>
  </w:abstractNum>
  <w:abstractNum w:abstractNumId="54">
    <w:nsid w:val="4AF15234"/>
    <w:multiLevelType w:val="hybridMultilevel"/>
    <w:lvl w:ilvl="0" w:tplc="32DC1ACA">
      <w:start w:val="1"/>
      <w:numFmt w:val="bullet"/>
      <w:suff w:val="tab"/>
      <w:lvlText w:val="·"/>
      <w:lvlJc w:val="left"/>
      <w:pPr>
        <w:ind w:hanging="360" w:left="720"/>
      </w:pPr>
      <w:rPr>
        <w:rFonts w:ascii="Symbol" w:hAnsi="Symbol" w:cs="Symbol" w:eastAsia="Symbol"/>
      </w:rPr>
    </w:lvl>
    <w:lvl w:ilvl="1" w:tplc="2A0D03E9">
      <w:start w:val="1"/>
      <w:numFmt w:val="bullet"/>
      <w:suff w:val="tab"/>
      <w:lvlText w:val="o"/>
      <w:lvlJc w:val="left"/>
      <w:pPr>
        <w:ind w:hanging="360" w:left="1440"/>
      </w:pPr>
      <w:rPr>
        <w:rFonts w:ascii="Symbol" w:hAnsi="Symbol"/>
      </w:rPr>
    </w:lvl>
    <w:lvl w:ilvl="2" w:tplc="65AD047C">
      <w:start w:val="1"/>
      <w:numFmt w:val="bullet"/>
      <w:suff w:val="tab"/>
      <w:lvlText w:val="·"/>
      <w:lvlJc w:val="left"/>
      <w:pPr>
        <w:ind w:hanging="360" w:left="2160"/>
      </w:pPr>
      <w:rPr>
        <w:rFonts w:ascii="Symbol" w:hAnsi="Symbol"/>
      </w:rPr>
    </w:lvl>
    <w:lvl w:ilvl="3" w:tplc="2AD3F6DA">
      <w:start w:val="1"/>
      <w:numFmt w:val="bullet"/>
      <w:suff w:val="tab"/>
      <w:lvlText w:val="o"/>
      <w:lvlJc w:val="left"/>
      <w:pPr>
        <w:ind w:hanging="360" w:left="2880"/>
      </w:pPr>
      <w:rPr>
        <w:rFonts w:ascii="Symbol" w:hAnsi="Symbol"/>
      </w:rPr>
    </w:lvl>
    <w:lvl w:ilvl="4" w:tplc="083B8A22">
      <w:start w:val="1"/>
      <w:numFmt w:val="bullet"/>
      <w:suff w:val="tab"/>
      <w:lvlText w:val="·"/>
      <w:lvlJc w:val="left"/>
      <w:pPr>
        <w:ind w:hanging="360" w:left="3600"/>
      </w:pPr>
      <w:rPr>
        <w:rFonts w:ascii="Symbol" w:hAnsi="Symbol"/>
      </w:rPr>
    </w:lvl>
    <w:lvl w:ilvl="5" w:tplc="7AD98B74">
      <w:start w:val="1"/>
      <w:numFmt w:val="bullet"/>
      <w:suff w:val="tab"/>
      <w:lvlText w:val="o"/>
      <w:lvlJc w:val="left"/>
      <w:pPr>
        <w:ind w:hanging="360" w:left="4320"/>
      </w:pPr>
      <w:rPr>
        <w:rFonts w:ascii="Symbol" w:hAnsi="Symbol"/>
      </w:rPr>
    </w:lvl>
    <w:lvl w:ilvl="6" w:tplc="76C648AC">
      <w:start w:val="1"/>
      <w:numFmt w:val="bullet"/>
      <w:suff w:val="tab"/>
      <w:lvlText w:val="·"/>
      <w:lvlJc w:val="left"/>
      <w:pPr>
        <w:ind w:hanging="360" w:left="5040"/>
      </w:pPr>
      <w:rPr>
        <w:rFonts w:ascii="Symbol" w:hAnsi="Symbol"/>
      </w:rPr>
    </w:lvl>
    <w:lvl w:ilvl="7" w:tplc="44469A8B">
      <w:start w:val="1"/>
      <w:numFmt w:val="bullet"/>
      <w:suff w:val="tab"/>
      <w:lvlText w:val="o"/>
      <w:lvlJc w:val="left"/>
      <w:pPr>
        <w:ind w:hanging="360" w:left="5760"/>
      </w:pPr>
      <w:rPr>
        <w:rFonts w:ascii="Symbol" w:hAnsi="Symbol"/>
      </w:rPr>
    </w:lvl>
    <w:lvl w:ilvl="8" w:tplc="74550E0A">
      <w:start w:val="1"/>
      <w:numFmt w:val="bullet"/>
      <w:suff w:val="tab"/>
      <w:lvlText w:val="·"/>
      <w:lvlJc w:val="left"/>
      <w:pPr>
        <w:ind w:hanging="360" w:left="6480"/>
      </w:pPr>
      <w:rPr>
        <w:rFonts w:ascii="Symbol" w:hAnsi="Symbol"/>
      </w:rPr>
    </w:lvl>
  </w:abstractNum>
  <w:abstractNum w:abstractNumId="55">
    <w:nsid w:val="4E654F90"/>
    <w:multiLevelType w:val="hybridMultilevel"/>
    <w:lvl w:ilvl="0" w:tplc="690ED649">
      <w:start w:val="1"/>
      <w:numFmt w:val="bullet"/>
      <w:suff w:val="tab"/>
      <w:lvlText w:val="·"/>
      <w:lvlJc w:val="left"/>
      <w:pPr>
        <w:ind w:hanging="360" w:left="720"/>
      </w:pPr>
      <w:rPr>
        <w:rFonts w:ascii="Symbol" w:hAnsi="Symbol" w:cs="Symbol" w:eastAsia="Symbol"/>
      </w:rPr>
    </w:lvl>
    <w:lvl w:ilvl="1" w:tplc="4D7B2E9E">
      <w:start w:val="1"/>
      <w:numFmt w:val="bullet"/>
      <w:suff w:val="tab"/>
      <w:lvlText w:val="o"/>
      <w:lvlJc w:val="left"/>
      <w:pPr>
        <w:ind w:hanging="360" w:left="1440"/>
      </w:pPr>
      <w:rPr>
        <w:rFonts w:ascii="Symbol" w:hAnsi="Symbol"/>
      </w:rPr>
    </w:lvl>
    <w:lvl w:ilvl="2" w:tplc="6EC34B48">
      <w:start w:val="1"/>
      <w:numFmt w:val="bullet"/>
      <w:suff w:val="tab"/>
      <w:lvlText w:val="·"/>
      <w:lvlJc w:val="left"/>
      <w:pPr>
        <w:ind w:hanging="360" w:left="2160"/>
      </w:pPr>
      <w:rPr>
        <w:rFonts w:ascii="Symbol" w:hAnsi="Symbol"/>
      </w:rPr>
    </w:lvl>
    <w:lvl w:ilvl="3" w:tplc="5C3549CD">
      <w:start w:val="1"/>
      <w:numFmt w:val="bullet"/>
      <w:suff w:val="tab"/>
      <w:lvlText w:val="o"/>
      <w:lvlJc w:val="left"/>
      <w:pPr>
        <w:ind w:hanging="360" w:left="2880"/>
      </w:pPr>
      <w:rPr>
        <w:rFonts w:ascii="Symbol" w:hAnsi="Symbol"/>
      </w:rPr>
    </w:lvl>
    <w:lvl w:ilvl="4" w:tplc="226B387E">
      <w:start w:val="1"/>
      <w:numFmt w:val="bullet"/>
      <w:suff w:val="tab"/>
      <w:lvlText w:val="·"/>
      <w:lvlJc w:val="left"/>
      <w:pPr>
        <w:ind w:hanging="360" w:left="3600"/>
      </w:pPr>
      <w:rPr>
        <w:rFonts w:ascii="Symbol" w:hAnsi="Symbol"/>
      </w:rPr>
    </w:lvl>
    <w:lvl w:ilvl="5" w:tplc="13E7A6A1">
      <w:start w:val="1"/>
      <w:numFmt w:val="bullet"/>
      <w:suff w:val="tab"/>
      <w:lvlText w:val="o"/>
      <w:lvlJc w:val="left"/>
      <w:pPr>
        <w:ind w:hanging="360" w:left="4320"/>
      </w:pPr>
      <w:rPr>
        <w:rFonts w:ascii="Symbol" w:hAnsi="Symbol"/>
      </w:rPr>
    </w:lvl>
    <w:lvl w:ilvl="6" w:tplc="12420CC6">
      <w:start w:val="1"/>
      <w:numFmt w:val="bullet"/>
      <w:suff w:val="tab"/>
      <w:lvlText w:val="·"/>
      <w:lvlJc w:val="left"/>
      <w:pPr>
        <w:ind w:hanging="360" w:left="5040"/>
      </w:pPr>
      <w:rPr>
        <w:rFonts w:ascii="Symbol" w:hAnsi="Symbol"/>
      </w:rPr>
    </w:lvl>
    <w:lvl w:ilvl="7" w:tplc="7D0D46F7">
      <w:start w:val="1"/>
      <w:numFmt w:val="bullet"/>
      <w:suff w:val="tab"/>
      <w:lvlText w:val="o"/>
      <w:lvlJc w:val="left"/>
      <w:pPr>
        <w:ind w:hanging="360" w:left="5760"/>
      </w:pPr>
      <w:rPr>
        <w:rFonts w:ascii="Symbol" w:hAnsi="Symbol"/>
      </w:rPr>
    </w:lvl>
    <w:lvl w:ilvl="8" w:tplc="1BAA84BC">
      <w:start w:val="1"/>
      <w:numFmt w:val="bullet"/>
      <w:suff w:val="tab"/>
      <w:lvlText w:val="·"/>
      <w:lvlJc w:val="left"/>
      <w:pPr>
        <w:ind w:hanging="360" w:left="6480"/>
      </w:pPr>
      <w:rPr>
        <w:rFonts w:ascii="Symbol" w:hAnsi="Symbol"/>
      </w:rPr>
    </w:lvl>
  </w:abstractNum>
  <w:abstractNum w:abstractNumId="56">
    <w:nsid w:val="12225830"/>
    <w:multiLevelType w:val="hybridMultilevel"/>
    <w:lvl w:ilvl="0" w:tplc="51587354">
      <w:start w:val="1"/>
      <w:numFmt w:val="bullet"/>
      <w:suff w:val="tab"/>
      <w:lvlText w:val="·"/>
      <w:lvlJc w:val="left"/>
      <w:pPr>
        <w:ind w:hanging="360" w:left="720"/>
      </w:pPr>
      <w:rPr>
        <w:rFonts w:ascii="Symbol" w:hAnsi="Symbol" w:cs="Symbol" w:eastAsia="Symbol"/>
      </w:rPr>
    </w:lvl>
    <w:lvl w:ilvl="1" w:tplc="596416D1">
      <w:start w:val="1"/>
      <w:numFmt w:val="bullet"/>
      <w:suff w:val="tab"/>
      <w:lvlText w:val="o"/>
      <w:lvlJc w:val="left"/>
      <w:pPr>
        <w:ind w:hanging="360" w:left="1440"/>
      </w:pPr>
      <w:rPr>
        <w:rFonts w:ascii="Symbol" w:hAnsi="Symbol"/>
      </w:rPr>
    </w:lvl>
    <w:lvl w:ilvl="2" w:tplc="2D5738BD">
      <w:start w:val="1"/>
      <w:numFmt w:val="bullet"/>
      <w:suff w:val="tab"/>
      <w:lvlText w:val="·"/>
      <w:lvlJc w:val="left"/>
      <w:pPr>
        <w:ind w:hanging="360" w:left="2160"/>
      </w:pPr>
      <w:rPr>
        <w:rFonts w:ascii="Symbol" w:hAnsi="Symbol"/>
      </w:rPr>
    </w:lvl>
    <w:lvl w:ilvl="3" w:tplc="45320A04">
      <w:start w:val="1"/>
      <w:numFmt w:val="bullet"/>
      <w:suff w:val="tab"/>
      <w:lvlText w:val="o"/>
      <w:lvlJc w:val="left"/>
      <w:pPr>
        <w:ind w:hanging="360" w:left="2880"/>
      </w:pPr>
      <w:rPr>
        <w:rFonts w:ascii="Symbol" w:hAnsi="Symbol"/>
      </w:rPr>
    </w:lvl>
    <w:lvl w:ilvl="4" w:tplc="55A4D33D">
      <w:start w:val="1"/>
      <w:numFmt w:val="bullet"/>
      <w:suff w:val="tab"/>
      <w:lvlText w:val="·"/>
      <w:lvlJc w:val="left"/>
      <w:pPr>
        <w:ind w:hanging="360" w:left="3600"/>
      </w:pPr>
      <w:rPr>
        <w:rFonts w:ascii="Symbol" w:hAnsi="Symbol"/>
      </w:rPr>
    </w:lvl>
    <w:lvl w:ilvl="5" w:tplc="17F08EDE">
      <w:start w:val="1"/>
      <w:numFmt w:val="bullet"/>
      <w:suff w:val="tab"/>
      <w:lvlText w:val="o"/>
      <w:lvlJc w:val="left"/>
      <w:pPr>
        <w:ind w:hanging="360" w:left="4320"/>
      </w:pPr>
      <w:rPr>
        <w:rFonts w:ascii="Symbol" w:hAnsi="Symbol"/>
      </w:rPr>
    </w:lvl>
    <w:lvl w:ilvl="6" w:tplc="41493D5D">
      <w:start w:val="1"/>
      <w:numFmt w:val="bullet"/>
      <w:suff w:val="tab"/>
      <w:lvlText w:val="·"/>
      <w:lvlJc w:val="left"/>
      <w:pPr>
        <w:ind w:hanging="360" w:left="5040"/>
      </w:pPr>
      <w:rPr>
        <w:rFonts w:ascii="Symbol" w:hAnsi="Symbol"/>
      </w:rPr>
    </w:lvl>
    <w:lvl w:ilvl="7" w:tplc="0EF56E88">
      <w:start w:val="1"/>
      <w:numFmt w:val="bullet"/>
      <w:suff w:val="tab"/>
      <w:lvlText w:val="o"/>
      <w:lvlJc w:val="left"/>
      <w:pPr>
        <w:ind w:hanging="360" w:left="5760"/>
      </w:pPr>
      <w:rPr>
        <w:rFonts w:ascii="Symbol" w:hAnsi="Symbol"/>
      </w:rPr>
    </w:lvl>
    <w:lvl w:ilvl="8" w:tplc="46D3629C">
      <w:start w:val="1"/>
      <w:numFmt w:val="bullet"/>
      <w:suff w:val="tab"/>
      <w:lvlText w:val="·"/>
      <w:lvlJc w:val="left"/>
      <w:pPr>
        <w:ind w:hanging="360" w:left="6480"/>
      </w:pPr>
      <w:rPr>
        <w:rFonts w:ascii="Symbol" w:hAnsi="Symbol"/>
      </w:rPr>
    </w:lvl>
  </w:abstractNum>
  <w:abstractNum w:abstractNumId="57">
    <w:nsid w:val="700EA432"/>
    <w:multiLevelType w:val="hybridMultilevel"/>
    <w:lvl w:ilvl="0" w:tplc="478731FF">
      <w:start w:val="1"/>
      <w:numFmt w:val="bullet"/>
      <w:suff w:val="tab"/>
      <w:lvlText w:val="·"/>
      <w:lvlJc w:val="left"/>
      <w:pPr>
        <w:ind w:hanging="360" w:left="720"/>
      </w:pPr>
      <w:rPr>
        <w:rFonts w:ascii="Symbol" w:hAnsi="Symbol" w:cs="Symbol" w:eastAsia="Symbol"/>
      </w:rPr>
    </w:lvl>
    <w:lvl w:ilvl="1" w:tplc="52EF4082">
      <w:start w:val="1"/>
      <w:numFmt w:val="bullet"/>
      <w:suff w:val="tab"/>
      <w:lvlText w:val="o"/>
      <w:lvlJc w:val="left"/>
      <w:pPr>
        <w:ind w:hanging="360" w:left="1440"/>
      </w:pPr>
      <w:rPr>
        <w:rFonts w:ascii="Symbol" w:hAnsi="Symbol"/>
      </w:rPr>
    </w:lvl>
    <w:lvl w:ilvl="2" w:tplc="393E17B9">
      <w:start w:val="1"/>
      <w:numFmt w:val="bullet"/>
      <w:suff w:val="tab"/>
      <w:lvlText w:val="·"/>
      <w:lvlJc w:val="left"/>
      <w:pPr>
        <w:ind w:hanging="360" w:left="2160"/>
      </w:pPr>
      <w:rPr>
        <w:rFonts w:ascii="Symbol" w:hAnsi="Symbol"/>
      </w:rPr>
    </w:lvl>
    <w:lvl w:ilvl="3" w:tplc="43FE3D87">
      <w:start w:val="1"/>
      <w:numFmt w:val="bullet"/>
      <w:suff w:val="tab"/>
      <w:lvlText w:val="o"/>
      <w:lvlJc w:val="left"/>
      <w:pPr>
        <w:ind w:hanging="360" w:left="2880"/>
      </w:pPr>
      <w:rPr>
        <w:rFonts w:ascii="Symbol" w:hAnsi="Symbol"/>
      </w:rPr>
    </w:lvl>
    <w:lvl w:ilvl="4" w:tplc="68D873D2">
      <w:start w:val="1"/>
      <w:numFmt w:val="bullet"/>
      <w:suff w:val="tab"/>
      <w:lvlText w:val="·"/>
      <w:lvlJc w:val="left"/>
      <w:pPr>
        <w:ind w:hanging="360" w:left="3600"/>
      </w:pPr>
      <w:rPr>
        <w:rFonts w:ascii="Symbol" w:hAnsi="Symbol"/>
      </w:rPr>
    </w:lvl>
    <w:lvl w:ilvl="5" w:tplc="508F8112">
      <w:start w:val="1"/>
      <w:numFmt w:val="bullet"/>
      <w:suff w:val="tab"/>
      <w:lvlText w:val="o"/>
      <w:lvlJc w:val="left"/>
      <w:pPr>
        <w:ind w:hanging="360" w:left="4320"/>
      </w:pPr>
      <w:rPr>
        <w:rFonts w:ascii="Symbol" w:hAnsi="Symbol"/>
      </w:rPr>
    </w:lvl>
    <w:lvl w:ilvl="6" w:tplc="4BD74546">
      <w:start w:val="1"/>
      <w:numFmt w:val="bullet"/>
      <w:suff w:val="tab"/>
      <w:lvlText w:val="·"/>
      <w:lvlJc w:val="left"/>
      <w:pPr>
        <w:ind w:hanging="360" w:left="5040"/>
      </w:pPr>
      <w:rPr>
        <w:rFonts w:ascii="Symbol" w:hAnsi="Symbol"/>
      </w:rPr>
    </w:lvl>
    <w:lvl w:ilvl="7" w:tplc="2DAF4141">
      <w:start w:val="1"/>
      <w:numFmt w:val="bullet"/>
      <w:suff w:val="tab"/>
      <w:lvlText w:val="o"/>
      <w:lvlJc w:val="left"/>
      <w:pPr>
        <w:ind w:hanging="360" w:left="5760"/>
      </w:pPr>
      <w:rPr>
        <w:rFonts w:ascii="Symbol" w:hAnsi="Symbol"/>
      </w:rPr>
    </w:lvl>
    <w:lvl w:ilvl="8" w:tplc="23017F84">
      <w:start w:val="1"/>
      <w:numFmt w:val="bullet"/>
      <w:suff w:val="tab"/>
      <w:lvlText w:val="·"/>
      <w:lvlJc w:val="left"/>
      <w:pPr>
        <w:ind w:hanging="360" w:left="6480"/>
      </w:pPr>
      <w:rPr>
        <w:rFonts w:ascii="Symbol" w:hAnsi="Symbol"/>
      </w:rPr>
    </w:lvl>
  </w:abstractNum>
  <w:abstractNum w:abstractNumId="58">
    <w:nsid w:val="0E113446"/>
    <w:multiLevelType w:val="hybridMultilevel"/>
    <w:lvl w:ilvl="0" w:tplc="3519A927">
      <w:start w:val="1"/>
      <w:numFmt w:val="bullet"/>
      <w:suff w:val="tab"/>
      <w:lvlText w:val="·"/>
      <w:lvlJc w:val="left"/>
      <w:pPr>
        <w:ind w:hanging="360" w:left="720"/>
      </w:pPr>
      <w:rPr>
        <w:rFonts w:ascii="Symbol" w:hAnsi="Symbol" w:cs="Symbol" w:eastAsia="Symbol"/>
      </w:rPr>
    </w:lvl>
    <w:lvl w:ilvl="1" w:tplc="142E2FA7">
      <w:start w:val="1"/>
      <w:numFmt w:val="bullet"/>
      <w:suff w:val="tab"/>
      <w:lvlText w:val="o"/>
      <w:lvlJc w:val="left"/>
      <w:pPr>
        <w:ind w:hanging="360" w:left="1440"/>
      </w:pPr>
      <w:rPr>
        <w:rFonts w:ascii="Symbol" w:hAnsi="Symbol"/>
      </w:rPr>
    </w:lvl>
    <w:lvl w:ilvl="2" w:tplc="7C518D6C">
      <w:start w:val="1"/>
      <w:numFmt w:val="bullet"/>
      <w:suff w:val="tab"/>
      <w:lvlText w:val="·"/>
      <w:lvlJc w:val="left"/>
      <w:pPr>
        <w:ind w:hanging="360" w:left="2160"/>
      </w:pPr>
      <w:rPr>
        <w:rFonts w:ascii="Symbol" w:hAnsi="Symbol"/>
      </w:rPr>
    </w:lvl>
    <w:lvl w:ilvl="3" w:tplc="637DC73A">
      <w:start w:val="1"/>
      <w:numFmt w:val="bullet"/>
      <w:suff w:val="tab"/>
      <w:lvlText w:val="o"/>
      <w:lvlJc w:val="left"/>
      <w:pPr>
        <w:ind w:hanging="360" w:left="2880"/>
      </w:pPr>
      <w:rPr>
        <w:rFonts w:ascii="Symbol" w:hAnsi="Symbol"/>
      </w:rPr>
    </w:lvl>
    <w:lvl w:ilvl="4" w:tplc="5AC562E7">
      <w:start w:val="1"/>
      <w:numFmt w:val="bullet"/>
      <w:suff w:val="tab"/>
      <w:lvlText w:val="·"/>
      <w:lvlJc w:val="left"/>
      <w:pPr>
        <w:ind w:hanging="360" w:left="3600"/>
      </w:pPr>
      <w:rPr>
        <w:rFonts w:ascii="Symbol" w:hAnsi="Symbol"/>
      </w:rPr>
    </w:lvl>
    <w:lvl w:ilvl="5" w:tplc="3F64F10B">
      <w:start w:val="1"/>
      <w:numFmt w:val="bullet"/>
      <w:suff w:val="tab"/>
      <w:lvlText w:val="o"/>
      <w:lvlJc w:val="left"/>
      <w:pPr>
        <w:ind w:hanging="360" w:left="4320"/>
      </w:pPr>
      <w:rPr>
        <w:rFonts w:ascii="Symbol" w:hAnsi="Symbol"/>
      </w:rPr>
    </w:lvl>
    <w:lvl w:ilvl="6" w:tplc="28143092">
      <w:start w:val="1"/>
      <w:numFmt w:val="bullet"/>
      <w:suff w:val="tab"/>
      <w:lvlText w:val="·"/>
      <w:lvlJc w:val="left"/>
      <w:pPr>
        <w:ind w:hanging="360" w:left="5040"/>
      </w:pPr>
      <w:rPr>
        <w:rFonts w:ascii="Symbol" w:hAnsi="Symbol"/>
      </w:rPr>
    </w:lvl>
    <w:lvl w:ilvl="7" w:tplc="57B1DF94">
      <w:start w:val="1"/>
      <w:numFmt w:val="bullet"/>
      <w:suff w:val="tab"/>
      <w:lvlText w:val="o"/>
      <w:lvlJc w:val="left"/>
      <w:pPr>
        <w:ind w:hanging="360" w:left="5760"/>
      </w:pPr>
      <w:rPr>
        <w:rFonts w:ascii="Symbol" w:hAnsi="Symbol"/>
      </w:rPr>
    </w:lvl>
    <w:lvl w:ilvl="8" w:tplc="52A121A0">
      <w:start w:val="1"/>
      <w:numFmt w:val="bullet"/>
      <w:suff w:val="tab"/>
      <w:lvlText w:val="·"/>
      <w:lvlJc w:val="left"/>
      <w:pPr>
        <w:ind w:hanging="360" w:left="6480"/>
      </w:pPr>
      <w:rPr>
        <w:rFonts w:ascii="Symbol" w:hAnsi="Symbol"/>
      </w:rPr>
    </w:lvl>
  </w:abstractNum>
  <w:abstractNum w:abstractNumId="59">
    <w:nsid w:val="3A62DB37"/>
    <w:multiLevelType w:val="hybridMultilevel"/>
    <w:lvl w:ilvl="0" w:tplc="655E79B5">
      <w:start w:val="1"/>
      <w:numFmt w:val="bullet"/>
      <w:suff w:val="tab"/>
      <w:lvlText w:val="·"/>
      <w:lvlJc w:val="left"/>
      <w:pPr>
        <w:ind w:hanging="360" w:left="720"/>
      </w:pPr>
      <w:rPr>
        <w:rFonts w:ascii="Symbol" w:hAnsi="Symbol" w:cs="Symbol" w:eastAsia="Symbol"/>
      </w:rPr>
    </w:lvl>
    <w:lvl w:ilvl="1" w:tplc="7D341963">
      <w:start w:val="1"/>
      <w:numFmt w:val="bullet"/>
      <w:suff w:val="tab"/>
      <w:lvlText w:val="o"/>
      <w:lvlJc w:val="left"/>
      <w:pPr>
        <w:ind w:hanging="360" w:left="1440"/>
      </w:pPr>
      <w:rPr>
        <w:rFonts w:ascii="Symbol" w:hAnsi="Symbol"/>
      </w:rPr>
    </w:lvl>
    <w:lvl w:ilvl="2" w:tplc="29CF482D">
      <w:start w:val="1"/>
      <w:numFmt w:val="bullet"/>
      <w:suff w:val="tab"/>
      <w:lvlText w:val="·"/>
      <w:lvlJc w:val="left"/>
      <w:pPr>
        <w:ind w:hanging="360" w:left="2160"/>
      </w:pPr>
      <w:rPr>
        <w:rFonts w:ascii="Symbol" w:hAnsi="Symbol"/>
      </w:rPr>
    </w:lvl>
    <w:lvl w:ilvl="3" w:tplc="2E9A426A">
      <w:start w:val="1"/>
      <w:numFmt w:val="bullet"/>
      <w:suff w:val="tab"/>
      <w:lvlText w:val="o"/>
      <w:lvlJc w:val="left"/>
      <w:pPr>
        <w:ind w:hanging="360" w:left="2880"/>
      </w:pPr>
      <w:rPr>
        <w:rFonts w:ascii="Symbol" w:hAnsi="Symbol"/>
      </w:rPr>
    </w:lvl>
    <w:lvl w:ilvl="4" w:tplc="6504FDAE">
      <w:start w:val="1"/>
      <w:numFmt w:val="bullet"/>
      <w:suff w:val="tab"/>
      <w:lvlText w:val="·"/>
      <w:lvlJc w:val="left"/>
      <w:pPr>
        <w:ind w:hanging="360" w:left="3600"/>
      </w:pPr>
      <w:rPr>
        <w:rFonts w:ascii="Symbol" w:hAnsi="Symbol"/>
      </w:rPr>
    </w:lvl>
    <w:lvl w:ilvl="5" w:tplc="50E4547A">
      <w:start w:val="1"/>
      <w:numFmt w:val="bullet"/>
      <w:suff w:val="tab"/>
      <w:lvlText w:val="o"/>
      <w:lvlJc w:val="left"/>
      <w:pPr>
        <w:ind w:hanging="360" w:left="4320"/>
      </w:pPr>
      <w:rPr>
        <w:rFonts w:ascii="Symbol" w:hAnsi="Symbol"/>
      </w:rPr>
    </w:lvl>
    <w:lvl w:ilvl="6" w:tplc="5AF4F810">
      <w:start w:val="1"/>
      <w:numFmt w:val="bullet"/>
      <w:suff w:val="tab"/>
      <w:lvlText w:val="·"/>
      <w:lvlJc w:val="left"/>
      <w:pPr>
        <w:ind w:hanging="360" w:left="5040"/>
      </w:pPr>
      <w:rPr>
        <w:rFonts w:ascii="Symbol" w:hAnsi="Symbol"/>
      </w:rPr>
    </w:lvl>
    <w:lvl w:ilvl="7" w:tplc="6483D92D">
      <w:start w:val="1"/>
      <w:numFmt w:val="bullet"/>
      <w:suff w:val="tab"/>
      <w:lvlText w:val="o"/>
      <w:lvlJc w:val="left"/>
      <w:pPr>
        <w:ind w:hanging="360" w:left="5760"/>
      </w:pPr>
      <w:rPr>
        <w:rFonts w:ascii="Symbol" w:hAnsi="Symbol"/>
      </w:rPr>
    </w:lvl>
    <w:lvl w:ilvl="8" w:tplc="43661518">
      <w:start w:val="1"/>
      <w:numFmt w:val="bullet"/>
      <w:suff w:val="tab"/>
      <w:lvlText w:val="·"/>
      <w:lvlJc w:val="left"/>
      <w:pPr>
        <w:ind w:hanging="360" w:left="6480"/>
      </w:pPr>
      <w:rPr>
        <w:rFonts w:ascii="Symbol" w:hAnsi="Symbol"/>
      </w:rPr>
    </w:lvl>
  </w:abstractNum>
  <w:abstractNum w:abstractNumId="60">
    <w:nsid w:val="225A1FA8"/>
    <w:multiLevelType w:val="hybridMultilevel"/>
    <w:lvl w:ilvl="0" w:tplc="696DE61C">
      <w:start w:val="1"/>
      <w:numFmt w:val="bullet"/>
      <w:suff w:val="tab"/>
      <w:lvlText w:val="·"/>
      <w:lvlJc w:val="left"/>
      <w:pPr>
        <w:ind w:hanging="360" w:left="720"/>
      </w:pPr>
      <w:rPr>
        <w:rFonts w:ascii="Symbol" w:hAnsi="Symbol" w:cs="Symbol" w:eastAsia="Symbol"/>
      </w:rPr>
    </w:lvl>
    <w:lvl w:ilvl="1" w:tplc="1F37D590">
      <w:start w:val="1"/>
      <w:numFmt w:val="bullet"/>
      <w:suff w:val="tab"/>
      <w:lvlText w:val="o"/>
      <w:lvlJc w:val="left"/>
      <w:pPr>
        <w:ind w:hanging="360" w:left="1440"/>
      </w:pPr>
      <w:rPr>
        <w:rFonts w:ascii="Symbol" w:hAnsi="Symbol"/>
      </w:rPr>
    </w:lvl>
    <w:lvl w:ilvl="2" w:tplc="59ACE84C">
      <w:start w:val="1"/>
      <w:numFmt w:val="bullet"/>
      <w:suff w:val="tab"/>
      <w:lvlText w:val="·"/>
      <w:lvlJc w:val="left"/>
      <w:pPr>
        <w:ind w:hanging="360" w:left="2160"/>
      </w:pPr>
      <w:rPr>
        <w:rFonts w:ascii="Symbol" w:hAnsi="Symbol"/>
      </w:rPr>
    </w:lvl>
    <w:lvl w:ilvl="3" w:tplc="27C2928F">
      <w:start w:val="1"/>
      <w:numFmt w:val="bullet"/>
      <w:suff w:val="tab"/>
      <w:lvlText w:val="o"/>
      <w:lvlJc w:val="left"/>
      <w:pPr>
        <w:ind w:hanging="360" w:left="2880"/>
      </w:pPr>
      <w:rPr>
        <w:rFonts w:ascii="Symbol" w:hAnsi="Symbol"/>
      </w:rPr>
    </w:lvl>
    <w:lvl w:ilvl="4" w:tplc="53C41ADC">
      <w:start w:val="1"/>
      <w:numFmt w:val="bullet"/>
      <w:suff w:val="tab"/>
      <w:lvlText w:val="·"/>
      <w:lvlJc w:val="left"/>
      <w:pPr>
        <w:ind w:hanging="360" w:left="3600"/>
      </w:pPr>
      <w:rPr>
        <w:rFonts w:ascii="Symbol" w:hAnsi="Symbol"/>
      </w:rPr>
    </w:lvl>
    <w:lvl w:ilvl="5" w:tplc="625C19F5">
      <w:start w:val="1"/>
      <w:numFmt w:val="bullet"/>
      <w:suff w:val="tab"/>
      <w:lvlText w:val="o"/>
      <w:lvlJc w:val="left"/>
      <w:pPr>
        <w:ind w:hanging="360" w:left="4320"/>
      </w:pPr>
      <w:rPr>
        <w:rFonts w:ascii="Symbol" w:hAnsi="Symbol"/>
      </w:rPr>
    </w:lvl>
    <w:lvl w:ilvl="6" w:tplc="7B3E17F0">
      <w:start w:val="1"/>
      <w:numFmt w:val="bullet"/>
      <w:suff w:val="tab"/>
      <w:lvlText w:val="·"/>
      <w:lvlJc w:val="left"/>
      <w:pPr>
        <w:ind w:hanging="360" w:left="5040"/>
      </w:pPr>
      <w:rPr>
        <w:rFonts w:ascii="Symbol" w:hAnsi="Symbol"/>
      </w:rPr>
    </w:lvl>
    <w:lvl w:ilvl="7" w:tplc="7907A124">
      <w:start w:val="1"/>
      <w:numFmt w:val="bullet"/>
      <w:suff w:val="tab"/>
      <w:lvlText w:val="o"/>
      <w:lvlJc w:val="left"/>
      <w:pPr>
        <w:ind w:hanging="360" w:left="5760"/>
      </w:pPr>
      <w:rPr>
        <w:rFonts w:ascii="Symbol" w:hAnsi="Symbol"/>
      </w:rPr>
    </w:lvl>
    <w:lvl w:ilvl="8" w:tplc="61C7A423">
      <w:start w:val="1"/>
      <w:numFmt w:val="bullet"/>
      <w:suff w:val="tab"/>
      <w:lvlText w:val="·"/>
      <w:lvlJc w:val="left"/>
      <w:pPr>
        <w:ind w:hanging="360" w:left="6480"/>
      </w:pPr>
      <w:rPr>
        <w:rFonts w:ascii="Symbol" w:hAnsi="Symbol"/>
      </w:rPr>
    </w:lvl>
  </w:abstractNum>
  <w:abstractNum w:abstractNumId="61">
    <w:nsid w:val="090C7221"/>
    <w:multiLevelType w:val="hybridMultilevel"/>
    <w:lvl w:ilvl="0" w:tplc="4034F511">
      <w:start w:val="1"/>
      <w:numFmt w:val="bullet"/>
      <w:suff w:val="tab"/>
      <w:lvlText w:val="·"/>
      <w:lvlJc w:val="left"/>
      <w:pPr>
        <w:ind w:hanging="360" w:left="720"/>
      </w:pPr>
      <w:rPr>
        <w:rFonts w:ascii="Symbol" w:hAnsi="Symbol" w:cs="Symbol" w:eastAsia="Symbol"/>
      </w:rPr>
    </w:lvl>
    <w:lvl w:ilvl="1" w:tplc="452EB6D6">
      <w:start w:val="1"/>
      <w:numFmt w:val="bullet"/>
      <w:suff w:val="tab"/>
      <w:lvlText w:val="o"/>
      <w:lvlJc w:val="left"/>
      <w:pPr>
        <w:ind w:hanging="360" w:left="1440"/>
      </w:pPr>
      <w:rPr>
        <w:rFonts w:ascii="Symbol" w:hAnsi="Symbol"/>
      </w:rPr>
    </w:lvl>
    <w:lvl w:ilvl="2" w:tplc="5F7C7918">
      <w:start w:val="1"/>
      <w:numFmt w:val="bullet"/>
      <w:suff w:val="tab"/>
      <w:lvlText w:val="·"/>
      <w:lvlJc w:val="left"/>
      <w:pPr>
        <w:ind w:hanging="360" w:left="2160"/>
      </w:pPr>
      <w:rPr>
        <w:rFonts w:ascii="Symbol" w:hAnsi="Symbol"/>
      </w:rPr>
    </w:lvl>
    <w:lvl w:ilvl="3" w:tplc="793D44BE">
      <w:start w:val="1"/>
      <w:numFmt w:val="bullet"/>
      <w:suff w:val="tab"/>
      <w:lvlText w:val="o"/>
      <w:lvlJc w:val="left"/>
      <w:pPr>
        <w:ind w:hanging="360" w:left="2880"/>
      </w:pPr>
      <w:rPr>
        <w:rFonts w:ascii="Symbol" w:hAnsi="Symbol"/>
      </w:rPr>
    </w:lvl>
    <w:lvl w:ilvl="4" w:tplc="2DA05E88">
      <w:start w:val="1"/>
      <w:numFmt w:val="bullet"/>
      <w:suff w:val="tab"/>
      <w:lvlText w:val="·"/>
      <w:lvlJc w:val="left"/>
      <w:pPr>
        <w:ind w:hanging="360" w:left="3600"/>
      </w:pPr>
      <w:rPr>
        <w:rFonts w:ascii="Symbol" w:hAnsi="Symbol"/>
      </w:rPr>
    </w:lvl>
    <w:lvl w:ilvl="5" w:tplc="27BA8996">
      <w:start w:val="1"/>
      <w:numFmt w:val="bullet"/>
      <w:suff w:val="tab"/>
      <w:lvlText w:val="o"/>
      <w:lvlJc w:val="left"/>
      <w:pPr>
        <w:ind w:hanging="360" w:left="4320"/>
      </w:pPr>
      <w:rPr>
        <w:rFonts w:ascii="Symbol" w:hAnsi="Symbol"/>
      </w:rPr>
    </w:lvl>
    <w:lvl w:ilvl="6" w:tplc="74D6A54A">
      <w:start w:val="1"/>
      <w:numFmt w:val="bullet"/>
      <w:suff w:val="tab"/>
      <w:lvlText w:val="·"/>
      <w:lvlJc w:val="left"/>
      <w:pPr>
        <w:ind w:hanging="360" w:left="5040"/>
      </w:pPr>
      <w:rPr>
        <w:rFonts w:ascii="Symbol" w:hAnsi="Symbol"/>
      </w:rPr>
    </w:lvl>
    <w:lvl w:ilvl="7" w:tplc="0247F9D7">
      <w:start w:val="1"/>
      <w:numFmt w:val="bullet"/>
      <w:suff w:val="tab"/>
      <w:lvlText w:val="o"/>
      <w:lvlJc w:val="left"/>
      <w:pPr>
        <w:ind w:hanging="360" w:left="5760"/>
      </w:pPr>
      <w:rPr>
        <w:rFonts w:ascii="Symbol" w:hAnsi="Symbol"/>
      </w:rPr>
    </w:lvl>
    <w:lvl w:ilvl="8" w:tplc="716E075B">
      <w:start w:val="1"/>
      <w:numFmt w:val="bullet"/>
      <w:suff w:val="tab"/>
      <w:lvlText w:val="·"/>
      <w:lvlJc w:val="left"/>
      <w:pPr>
        <w:ind w:hanging="360" w:left="6480"/>
      </w:pPr>
      <w:rPr>
        <w:rFonts w:ascii="Symbol" w:hAnsi="Symbol"/>
      </w:rPr>
    </w:lvl>
  </w:abstractNum>
  <w:abstractNum w:abstractNumId="62">
    <w:nsid w:val="136D4E5F"/>
    <w:multiLevelType w:val="hybridMultilevel"/>
    <w:lvl w:ilvl="0" w:tplc="62D1CAC5">
      <w:start w:val="1"/>
      <w:numFmt w:val="bullet"/>
      <w:suff w:val="tab"/>
      <w:lvlText w:val="·"/>
      <w:lvlJc w:val="left"/>
      <w:pPr>
        <w:ind w:hanging="360" w:left="720"/>
      </w:pPr>
      <w:rPr>
        <w:rFonts w:ascii="Symbol" w:hAnsi="Symbol" w:cs="Symbol" w:eastAsia="Symbol"/>
      </w:rPr>
    </w:lvl>
    <w:lvl w:ilvl="1" w:tplc="6088CC24">
      <w:start w:val="1"/>
      <w:numFmt w:val="bullet"/>
      <w:suff w:val="tab"/>
      <w:lvlText w:val="o"/>
      <w:lvlJc w:val="left"/>
      <w:pPr>
        <w:ind w:hanging="360" w:left="1440"/>
      </w:pPr>
      <w:rPr>
        <w:rFonts w:ascii="Symbol" w:hAnsi="Symbol"/>
      </w:rPr>
    </w:lvl>
    <w:lvl w:ilvl="2" w:tplc="71A7C71C">
      <w:start w:val="1"/>
      <w:numFmt w:val="bullet"/>
      <w:suff w:val="tab"/>
      <w:lvlText w:val="·"/>
      <w:lvlJc w:val="left"/>
      <w:pPr>
        <w:ind w:hanging="360" w:left="2160"/>
      </w:pPr>
      <w:rPr>
        <w:rFonts w:ascii="Symbol" w:hAnsi="Symbol"/>
      </w:rPr>
    </w:lvl>
    <w:lvl w:ilvl="3" w:tplc="19663833">
      <w:start w:val="1"/>
      <w:numFmt w:val="bullet"/>
      <w:suff w:val="tab"/>
      <w:lvlText w:val="o"/>
      <w:lvlJc w:val="left"/>
      <w:pPr>
        <w:ind w:hanging="360" w:left="2880"/>
      </w:pPr>
      <w:rPr>
        <w:rFonts w:ascii="Symbol" w:hAnsi="Symbol"/>
      </w:rPr>
    </w:lvl>
    <w:lvl w:ilvl="4" w:tplc="6A8C8D67">
      <w:start w:val="1"/>
      <w:numFmt w:val="bullet"/>
      <w:suff w:val="tab"/>
      <w:lvlText w:val="·"/>
      <w:lvlJc w:val="left"/>
      <w:pPr>
        <w:ind w:hanging="360" w:left="3600"/>
      </w:pPr>
      <w:rPr>
        <w:rFonts w:ascii="Symbol" w:hAnsi="Symbol"/>
      </w:rPr>
    </w:lvl>
    <w:lvl w:ilvl="5" w:tplc="74B5F509">
      <w:start w:val="1"/>
      <w:numFmt w:val="bullet"/>
      <w:suff w:val="tab"/>
      <w:lvlText w:val="o"/>
      <w:lvlJc w:val="left"/>
      <w:pPr>
        <w:ind w:hanging="360" w:left="4320"/>
      </w:pPr>
      <w:rPr>
        <w:rFonts w:ascii="Symbol" w:hAnsi="Symbol"/>
      </w:rPr>
    </w:lvl>
    <w:lvl w:ilvl="6" w:tplc="077F41C8">
      <w:start w:val="1"/>
      <w:numFmt w:val="bullet"/>
      <w:suff w:val="tab"/>
      <w:lvlText w:val="·"/>
      <w:lvlJc w:val="left"/>
      <w:pPr>
        <w:ind w:hanging="360" w:left="5040"/>
      </w:pPr>
      <w:rPr>
        <w:rFonts w:ascii="Symbol" w:hAnsi="Symbol"/>
      </w:rPr>
    </w:lvl>
    <w:lvl w:ilvl="7" w:tplc="4BF9A165">
      <w:start w:val="1"/>
      <w:numFmt w:val="bullet"/>
      <w:suff w:val="tab"/>
      <w:lvlText w:val="o"/>
      <w:lvlJc w:val="left"/>
      <w:pPr>
        <w:ind w:hanging="360" w:left="5760"/>
      </w:pPr>
      <w:rPr>
        <w:rFonts w:ascii="Symbol" w:hAnsi="Symbol"/>
      </w:rPr>
    </w:lvl>
    <w:lvl w:ilvl="8" w:tplc="6E8AFCCB">
      <w:start w:val="1"/>
      <w:numFmt w:val="bullet"/>
      <w:suff w:val="tab"/>
      <w:lvlText w:val="·"/>
      <w:lvlJc w:val="left"/>
      <w:pPr>
        <w:ind w:hanging="360" w:left="6480"/>
      </w:pPr>
      <w:rPr>
        <w:rFonts w:ascii="Symbol" w:hAnsi="Symbol"/>
      </w:rPr>
    </w:lvl>
  </w:abstractNum>
  <w:abstractNum w:abstractNumId="63">
    <w:nsid w:val="16FE6F1B"/>
    <w:multiLevelType w:val="hybridMultilevel"/>
    <w:lvl w:ilvl="0" w:tplc="23C15B43">
      <w:start w:val="1"/>
      <w:numFmt w:val="bullet"/>
      <w:suff w:val="tab"/>
      <w:lvlText w:val="·"/>
      <w:lvlJc w:val="left"/>
      <w:pPr>
        <w:ind w:hanging="360" w:left="720"/>
      </w:pPr>
      <w:rPr>
        <w:rFonts w:ascii="Symbol" w:hAnsi="Symbol" w:cs="Symbol" w:eastAsia="Symbol"/>
      </w:rPr>
    </w:lvl>
    <w:lvl w:ilvl="1" w:tplc="0748EFF6">
      <w:start w:val="1"/>
      <w:numFmt w:val="bullet"/>
      <w:suff w:val="tab"/>
      <w:lvlText w:val="o"/>
      <w:lvlJc w:val="left"/>
      <w:pPr>
        <w:ind w:hanging="360" w:left="1440"/>
      </w:pPr>
      <w:rPr>
        <w:rFonts w:ascii="Symbol" w:hAnsi="Symbol"/>
      </w:rPr>
    </w:lvl>
    <w:lvl w:ilvl="2" w:tplc="0C4FAB1F">
      <w:start w:val="1"/>
      <w:numFmt w:val="bullet"/>
      <w:suff w:val="tab"/>
      <w:lvlText w:val="·"/>
      <w:lvlJc w:val="left"/>
      <w:pPr>
        <w:ind w:hanging="360" w:left="2160"/>
      </w:pPr>
      <w:rPr>
        <w:rFonts w:ascii="Symbol" w:hAnsi="Symbol"/>
      </w:rPr>
    </w:lvl>
    <w:lvl w:ilvl="3" w:tplc="361C055C">
      <w:start w:val="1"/>
      <w:numFmt w:val="bullet"/>
      <w:suff w:val="tab"/>
      <w:lvlText w:val="o"/>
      <w:lvlJc w:val="left"/>
      <w:pPr>
        <w:ind w:hanging="360" w:left="2880"/>
      </w:pPr>
      <w:rPr>
        <w:rFonts w:ascii="Symbol" w:hAnsi="Symbol"/>
      </w:rPr>
    </w:lvl>
    <w:lvl w:ilvl="4" w:tplc="450B8593">
      <w:start w:val="1"/>
      <w:numFmt w:val="bullet"/>
      <w:suff w:val="tab"/>
      <w:lvlText w:val="·"/>
      <w:lvlJc w:val="left"/>
      <w:pPr>
        <w:ind w:hanging="360" w:left="3600"/>
      </w:pPr>
      <w:rPr>
        <w:rFonts w:ascii="Symbol" w:hAnsi="Symbol"/>
      </w:rPr>
    </w:lvl>
    <w:lvl w:ilvl="5" w:tplc="4A6A0EDE">
      <w:start w:val="1"/>
      <w:numFmt w:val="bullet"/>
      <w:suff w:val="tab"/>
      <w:lvlText w:val="o"/>
      <w:lvlJc w:val="left"/>
      <w:pPr>
        <w:ind w:hanging="360" w:left="4320"/>
      </w:pPr>
      <w:rPr>
        <w:rFonts w:ascii="Symbol" w:hAnsi="Symbol"/>
      </w:rPr>
    </w:lvl>
    <w:lvl w:ilvl="6" w:tplc="7D208A29">
      <w:start w:val="1"/>
      <w:numFmt w:val="bullet"/>
      <w:suff w:val="tab"/>
      <w:lvlText w:val="·"/>
      <w:lvlJc w:val="left"/>
      <w:pPr>
        <w:ind w:hanging="360" w:left="5040"/>
      </w:pPr>
      <w:rPr>
        <w:rFonts w:ascii="Symbol" w:hAnsi="Symbol"/>
      </w:rPr>
    </w:lvl>
    <w:lvl w:ilvl="7" w:tplc="5D3A536A">
      <w:start w:val="1"/>
      <w:numFmt w:val="bullet"/>
      <w:suff w:val="tab"/>
      <w:lvlText w:val="o"/>
      <w:lvlJc w:val="left"/>
      <w:pPr>
        <w:ind w:hanging="360" w:left="5760"/>
      </w:pPr>
      <w:rPr>
        <w:rFonts w:ascii="Symbol" w:hAnsi="Symbol"/>
      </w:rPr>
    </w:lvl>
    <w:lvl w:ilvl="8" w:tplc="007E2B2C">
      <w:start w:val="1"/>
      <w:numFmt w:val="bullet"/>
      <w:suff w:val="tab"/>
      <w:lvlText w:val="·"/>
      <w:lvlJc w:val="left"/>
      <w:pPr>
        <w:ind w:hanging="360" w:left="6480"/>
      </w:pPr>
      <w:rPr>
        <w:rFonts w:ascii="Symbol" w:hAnsi="Symbol"/>
      </w:rPr>
    </w:lvl>
  </w:abstractNum>
  <w:abstractNum w:abstractNumId="64">
    <w:nsid w:val="27640EB0"/>
    <w:multiLevelType w:val="hybridMultilevel"/>
    <w:lvl w:ilvl="0" w:tplc="6C8AC9E9">
      <w:start w:val="1"/>
      <w:numFmt w:val="bullet"/>
      <w:suff w:val="tab"/>
      <w:lvlText w:val="·"/>
      <w:lvlJc w:val="left"/>
      <w:pPr>
        <w:ind w:hanging="360" w:left="720"/>
      </w:pPr>
      <w:rPr>
        <w:rFonts w:ascii="Symbol" w:hAnsi="Symbol" w:cs="Symbol" w:eastAsia="Symbol"/>
      </w:rPr>
    </w:lvl>
    <w:lvl w:ilvl="1" w:tplc="2CB8A46F">
      <w:start w:val="1"/>
      <w:numFmt w:val="bullet"/>
      <w:suff w:val="tab"/>
      <w:lvlText w:val="o"/>
      <w:lvlJc w:val="left"/>
      <w:pPr>
        <w:ind w:hanging="360" w:left="1440"/>
      </w:pPr>
      <w:rPr>
        <w:rFonts w:ascii="Symbol" w:hAnsi="Symbol"/>
      </w:rPr>
    </w:lvl>
    <w:lvl w:ilvl="2" w:tplc="6BAD478E">
      <w:start w:val="1"/>
      <w:numFmt w:val="bullet"/>
      <w:suff w:val="tab"/>
      <w:lvlText w:val="·"/>
      <w:lvlJc w:val="left"/>
      <w:pPr>
        <w:ind w:hanging="360" w:left="2160"/>
      </w:pPr>
      <w:rPr>
        <w:rFonts w:ascii="Symbol" w:hAnsi="Symbol"/>
      </w:rPr>
    </w:lvl>
    <w:lvl w:ilvl="3" w:tplc="69919235">
      <w:start w:val="1"/>
      <w:numFmt w:val="bullet"/>
      <w:suff w:val="tab"/>
      <w:lvlText w:val="o"/>
      <w:lvlJc w:val="left"/>
      <w:pPr>
        <w:ind w:hanging="360" w:left="2880"/>
      </w:pPr>
      <w:rPr>
        <w:rFonts w:ascii="Symbol" w:hAnsi="Symbol"/>
      </w:rPr>
    </w:lvl>
    <w:lvl w:ilvl="4" w:tplc="3DABA4F0">
      <w:start w:val="1"/>
      <w:numFmt w:val="bullet"/>
      <w:suff w:val="tab"/>
      <w:lvlText w:val="·"/>
      <w:lvlJc w:val="left"/>
      <w:pPr>
        <w:ind w:hanging="360" w:left="3600"/>
      </w:pPr>
      <w:rPr>
        <w:rFonts w:ascii="Symbol" w:hAnsi="Symbol"/>
      </w:rPr>
    </w:lvl>
    <w:lvl w:ilvl="5" w:tplc="54F64D0B">
      <w:start w:val="1"/>
      <w:numFmt w:val="bullet"/>
      <w:suff w:val="tab"/>
      <w:lvlText w:val="o"/>
      <w:lvlJc w:val="left"/>
      <w:pPr>
        <w:ind w:hanging="360" w:left="4320"/>
      </w:pPr>
      <w:rPr>
        <w:rFonts w:ascii="Symbol" w:hAnsi="Symbol"/>
      </w:rPr>
    </w:lvl>
    <w:lvl w:ilvl="6" w:tplc="42BD6A2B">
      <w:start w:val="1"/>
      <w:numFmt w:val="bullet"/>
      <w:suff w:val="tab"/>
      <w:lvlText w:val="·"/>
      <w:lvlJc w:val="left"/>
      <w:pPr>
        <w:ind w:hanging="360" w:left="5040"/>
      </w:pPr>
      <w:rPr>
        <w:rFonts w:ascii="Symbol" w:hAnsi="Symbol"/>
      </w:rPr>
    </w:lvl>
    <w:lvl w:ilvl="7" w:tplc="79B3AE9F">
      <w:start w:val="1"/>
      <w:numFmt w:val="bullet"/>
      <w:suff w:val="tab"/>
      <w:lvlText w:val="o"/>
      <w:lvlJc w:val="left"/>
      <w:pPr>
        <w:ind w:hanging="360" w:left="5760"/>
      </w:pPr>
      <w:rPr>
        <w:rFonts w:ascii="Symbol" w:hAnsi="Symbol"/>
      </w:rPr>
    </w:lvl>
    <w:lvl w:ilvl="8" w:tplc="4D315AC5">
      <w:start w:val="1"/>
      <w:numFmt w:val="bullet"/>
      <w:suff w:val="tab"/>
      <w:lvlText w:val="·"/>
      <w:lvlJc w:val="left"/>
      <w:pPr>
        <w:ind w:hanging="360" w:left="6480"/>
      </w:pPr>
      <w:rPr>
        <w:rFonts w:ascii="Symbol" w:hAnsi="Symbol"/>
      </w:rPr>
    </w:lvl>
  </w:abstractNum>
  <w:abstractNum w:abstractNumId="65">
    <w:nsid w:val="5A81F608"/>
    <w:multiLevelType w:val="hybridMultilevel"/>
    <w:lvl w:ilvl="0" w:tplc="527B75A1">
      <w:start w:val="1"/>
      <w:numFmt w:val="bullet"/>
      <w:suff w:val="tab"/>
      <w:lvlText w:val="·"/>
      <w:lvlJc w:val="left"/>
      <w:pPr>
        <w:ind w:hanging="360" w:left="720"/>
      </w:pPr>
      <w:rPr>
        <w:rFonts w:ascii="Symbol" w:hAnsi="Symbol" w:cs="Symbol" w:eastAsia="Symbol"/>
      </w:rPr>
    </w:lvl>
    <w:lvl w:ilvl="1" w:tplc="4F14188A">
      <w:start w:val="1"/>
      <w:numFmt w:val="bullet"/>
      <w:suff w:val="tab"/>
      <w:lvlText w:val="o"/>
      <w:lvlJc w:val="left"/>
      <w:pPr>
        <w:ind w:hanging="360" w:left="1440"/>
      </w:pPr>
      <w:rPr>
        <w:rFonts w:ascii="Symbol" w:hAnsi="Symbol"/>
      </w:rPr>
    </w:lvl>
    <w:lvl w:ilvl="2" w:tplc="19A80EF2">
      <w:start w:val="1"/>
      <w:numFmt w:val="bullet"/>
      <w:suff w:val="tab"/>
      <w:lvlText w:val="·"/>
      <w:lvlJc w:val="left"/>
      <w:pPr>
        <w:ind w:hanging="360" w:left="2160"/>
      </w:pPr>
      <w:rPr>
        <w:rFonts w:ascii="Symbol" w:hAnsi="Symbol"/>
      </w:rPr>
    </w:lvl>
    <w:lvl w:ilvl="3" w:tplc="52871B27">
      <w:start w:val="1"/>
      <w:numFmt w:val="bullet"/>
      <w:suff w:val="tab"/>
      <w:lvlText w:val="o"/>
      <w:lvlJc w:val="left"/>
      <w:pPr>
        <w:ind w:hanging="360" w:left="2880"/>
      </w:pPr>
      <w:rPr>
        <w:rFonts w:ascii="Symbol" w:hAnsi="Symbol"/>
      </w:rPr>
    </w:lvl>
    <w:lvl w:ilvl="4" w:tplc="24011108">
      <w:start w:val="1"/>
      <w:numFmt w:val="bullet"/>
      <w:suff w:val="tab"/>
      <w:lvlText w:val="·"/>
      <w:lvlJc w:val="left"/>
      <w:pPr>
        <w:ind w:hanging="360" w:left="3600"/>
      </w:pPr>
      <w:rPr>
        <w:rFonts w:ascii="Symbol" w:hAnsi="Symbol"/>
      </w:rPr>
    </w:lvl>
    <w:lvl w:ilvl="5" w:tplc="1AED9058">
      <w:start w:val="1"/>
      <w:numFmt w:val="bullet"/>
      <w:suff w:val="tab"/>
      <w:lvlText w:val="o"/>
      <w:lvlJc w:val="left"/>
      <w:pPr>
        <w:ind w:hanging="360" w:left="4320"/>
      </w:pPr>
      <w:rPr>
        <w:rFonts w:ascii="Symbol" w:hAnsi="Symbol"/>
      </w:rPr>
    </w:lvl>
    <w:lvl w:ilvl="6" w:tplc="2FFA15B1">
      <w:start w:val="1"/>
      <w:numFmt w:val="bullet"/>
      <w:suff w:val="tab"/>
      <w:lvlText w:val="·"/>
      <w:lvlJc w:val="left"/>
      <w:pPr>
        <w:ind w:hanging="360" w:left="5040"/>
      </w:pPr>
      <w:rPr>
        <w:rFonts w:ascii="Symbol" w:hAnsi="Symbol"/>
      </w:rPr>
    </w:lvl>
    <w:lvl w:ilvl="7" w:tplc="5C6AE22B">
      <w:start w:val="1"/>
      <w:numFmt w:val="bullet"/>
      <w:suff w:val="tab"/>
      <w:lvlText w:val="o"/>
      <w:lvlJc w:val="left"/>
      <w:pPr>
        <w:ind w:hanging="360" w:left="5760"/>
      </w:pPr>
      <w:rPr>
        <w:rFonts w:ascii="Symbol" w:hAnsi="Symbol"/>
      </w:rPr>
    </w:lvl>
    <w:lvl w:ilvl="8" w:tplc="27BFB360">
      <w:start w:val="1"/>
      <w:numFmt w:val="bullet"/>
      <w:suff w:val="tab"/>
      <w:lvlText w:val="·"/>
      <w:lvlJc w:val="left"/>
      <w:pPr>
        <w:ind w:hanging="360" w:left="6480"/>
      </w:pPr>
      <w:rPr>
        <w:rFonts w:ascii="Symbol" w:hAnsi="Symbol"/>
      </w:rPr>
    </w:lvl>
  </w:abstractNum>
  <w:abstractNum w:abstractNumId="66">
    <w:nsid w:val="3F942B1F"/>
    <w:multiLevelType w:val="hybridMultilevel"/>
    <w:lvl w:ilvl="0" w:tplc="397D6395">
      <w:start w:val="1"/>
      <w:numFmt w:val="bullet"/>
      <w:suff w:val="tab"/>
      <w:lvlText w:val="·"/>
      <w:lvlJc w:val="left"/>
      <w:pPr>
        <w:ind w:hanging="360" w:left="720"/>
      </w:pPr>
      <w:rPr>
        <w:rFonts w:ascii="Symbol" w:hAnsi="Symbol" w:cs="Symbol" w:eastAsia="Symbol"/>
      </w:rPr>
    </w:lvl>
    <w:lvl w:ilvl="1" w:tplc="0B98F343">
      <w:start w:val="1"/>
      <w:numFmt w:val="bullet"/>
      <w:suff w:val="tab"/>
      <w:lvlText w:val="o"/>
      <w:lvlJc w:val="left"/>
      <w:pPr>
        <w:ind w:hanging="360" w:left="1440"/>
      </w:pPr>
      <w:rPr>
        <w:rFonts w:ascii="Symbol" w:hAnsi="Symbol"/>
      </w:rPr>
    </w:lvl>
    <w:lvl w:ilvl="2" w:tplc="203D09D7">
      <w:start w:val="1"/>
      <w:numFmt w:val="bullet"/>
      <w:suff w:val="tab"/>
      <w:lvlText w:val="·"/>
      <w:lvlJc w:val="left"/>
      <w:pPr>
        <w:ind w:hanging="360" w:left="2160"/>
      </w:pPr>
      <w:rPr>
        <w:rFonts w:ascii="Symbol" w:hAnsi="Symbol"/>
      </w:rPr>
    </w:lvl>
    <w:lvl w:ilvl="3" w:tplc="3264D0B3">
      <w:start w:val="1"/>
      <w:numFmt w:val="bullet"/>
      <w:suff w:val="tab"/>
      <w:lvlText w:val="o"/>
      <w:lvlJc w:val="left"/>
      <w:pPr>
        <w:ind w:hanging="360" w:left="2880"/>
      </w:pPr>
      <w:rPr>
        <w:rFonts w:ascii="Symbol" w:hAnsi="Symbol"/>
      </w:rPr>
    </w:lvl>
    <w:lvl w:ilvl="4" w:tplc="7D07E15A">
      <w:start w:val="1"/>
      <w:numFmt w:val="bullet"/>
      <w:suff w:val="tab"/>
      <w:lvlText w:val="·"/>
      <w:lvlJc w:val="left"/>
      <w:pPr>
        <w:ind w:hanging="360" w:left="3600"/>
      </w:pPr>
      <w:rPr>
        <w:rFonts w:ascii="Symbol" w:hAnsi="Symbol"/>
      </w:rPr>
    </w:lvl>
    <w:lvl w:ilvl="5" w:tplc="3A93E006">
      <w:start w:val="1"/>
      <w:numFmt w:val="bullet"/>
      <w:suff w:val="tab"/>
      <w:lvlText w:val="o"/>
      <w:lvlJc w:val="left"/>
      <w:pPr>
        <w:ind w:hanging="360" w:left="4320"/>
      </w:pPr>
      <w:rPr>
        <w:rFonts w:ascii="Symbol" w:hAnsi="Symbol"/>
      </w:rPr>
    </w:lvl>
    <w:lvl w:ilvl="6" w:tplc="65CCE3C0">
      <w:start w:val="1"/>
      <w:numFmt w:val="bullet"/>
      <w:suff w:val="tab"/>
      <w:lvlText w:val="·"/>
      <w:lvlJc w:val="left"/>
      <w:pPr>
        <w:ind w:hanging="360" w:left="5040"/>
      </w:pPr>
      <w:rPr>
        <w:rFonts w:ascii="Symbol" w:hAnsi="Symbol"/>
      </w:rPr>
    </w:lvl>
    <w:lvl w:ilvl="7" w:tplc="4EDABBE0">
      <w:start w:val="1"/>
      <w:numFmt w:val="bullet"/>
      <w:suff w:val="tab"/>
      <w:lvlText w:val="o"/>
      <w:lvlJc w:val="left"/>
      <w:pPr>
        <w:ind w:hanging="360" w:left="5760"/>
      </w:pPr>
      <w:rPr>
        <w:rFonts w:ascii="Symbol" w:hAnsi="Symbol"/>
      </w:rPr>
    </w:lvl>
    <w:lvl w:ilvl="8" w:tplc="6E18EF55">
      <w:start w:val="1"/>
      <w:numFmt w:val="bullet"/>
      <w:suff w:val="tab"/>
      <w:lvlText w:val="·"/>
      <w:lvlJc w:val="left"/>
      <w:pPr>
        <w:ind w:hanging="360" w:left="6480"/>
      </w:pPr>
      <w:rPr>
        <w:rFonts w:ascii="Symbol" w:hAnsi="Symbol"/>
      </w:rPr>
    </w:lvl>
  </w:abstractNum>
  <w:abstractNum w:abstractNumId="67">
    <w:nsid w:val="2B936861"/>
    <w:multiLevelType w:val="hybridMultilevel"/>
    <w:lvl w:ilvl="0" w:tplc="194A0F37">
      <w:start w:val="1"/>
      <w:numFmt w:val="bullet"/>
      <w:suff w:val="tab"/>
      <w:lvlText w:val="·"/>
      <w:lvlJc w:val="left"/>
      <w:pPr>
        <w:ind w:hanging="360" w:left="720"/>
      </w:pPr>
      <w:rPr>
        <w:rFonts w:ascii="Symbol" w:hAnsi="Symbol" w:cs="Symbol" w:eastAsia="Symbol"/>
      </w:rPr>
    </w:lvl>
    <w:lvl w:ilvl="1" w:tplc="0EDEFA95">
      <w:start w:val="1"/>
      <w:numFmt w:val="bullet"/>
      <w:suff w:val="tab"/>
      <w:lvlText w:val="o"/>
      <w:lvlJc w:val="left"/>
      <w:pPr>
        <w:ind w:hanging="360" w:left="1440"/>
      </w:pPr>
      <w:rPr>
        <w:rFonts w:ascii="Symbol" w:hAnsi="Symbol"/>
      </w:rPr>
    </w:lvl>
    <w:lvl w:ilvl="2" w:tplc="01E7F73E">
      <w:start w:val="1"/>
      <w:numFmt w:val="bullet"/>
      <w:suff w:val="tab"/>
      <w:lvlText w:val="·"/>
      <w:lvlJc w:val="left"/>
      <w:pPr>
        <w:ind w:hanging="360" w:left="2160"/>
      </w:pPr>
      <w:rPr>
        <w:rFonts w:ascii="Symbol" w:hAnsi="Symbol"/>
      </w:rPr>
    </w:lvl>
    <w:lvl w:ilvl="3" w:tplc="6EFEE3B1">
      <w:start w:val="1"/>
      <w:numFmt w:val="bullet"/>
      <w:suff w:val="tab"/>
      <w:lvlText w:val="o"/>
      <w:lvlJc w:val="left"/>
      <w:pPr>
        <w:ind w:hanging="360" w:left="2880"/>
      </w:pPr>
      <w:rPr>
        <w:rFonts w:ascii="Symbol" w:hAnsi="Symbol"/>
      </w:rPr>
    </w:lvl>
    <w:lvl w:ilvl="4" w:tplc="7B62F876">
      <w:start w:val="1"/>
      <w:numFmt w:val="bullet"/>
      <w:suff w:val="tab"/>
      <w:lvlText w:val="·"/>
      <w:lvlJc w:val="left"/>
      <w:pPr>
        <w:ind w:hanging="360" w:left="3600"/>
      </w:pPr>
      <w:rPr>
        <w:rFonts w:ascii="Symbol" w:hAnsi="Symbol"/>
      </w:rPr>
    </w:lvl>
    <w:lvl w:ilvl="5" w:tplc="6DAF2B17">
      <w:start w:val="1"/>
      <w:numFmt w:val="bullet"/>
      <w:suff w:val="tab"/>
      <w:lvlText w:val="o"/>
      <w:lvlJc w:val="left"/>
      <w:pPr>
        <w:ind w:hanging="360" w:left="4320"/>
      </w:pPr>
      <w:rPr>
        <w:rFonts w:ascii="Symbol" w:hAnsi="Symbol"/>
      </w:rPr>
    </w:lvl>
    <w:lvl w:ilvl="6" w:tplc="657E3082">
      <w:start w:val="1"/>
      <w:numFmt w:val="bullet"/>
      <w:suff w:val="tab"/>
      <w:lvlText w:val="·"/>
      <w:lvlJc w:val="left"/>
      <w:pPr>
        <w:ind w:hanging="360" w:left="5040"/>
      </w:pPr>
      <w:rPr>
        <w:rFonts w:ascii="Symbol" w:hAnsi="Symbol"/>
      </w:rPr>
    </w:lvl>
    <w:lvl w:ilvl="7" w:tplc="03818E00">
      <w:start w:val="1"/>
      <w:numFmt w:val="bullet"/>
      <w:suff w:val="tab"/>
      <w:lvlText w:val="o"/>
      <w:lvlJc w:val="left"/>
      <w:pPr>
        <w:ind w:hanging="360" w:left="5760"/>
      </w:pPr>
      <w:rPr>
        <w:rFonts w:ascii="Symbol" w:hAnsi="Symbol"/>
      </w:rPr>
    </w:lvl>
    <w:lvl w:ilvl="8" w:tplc="1E7CF57F">
      <w:start w:val="1"/>
      <w:numFmt w:val="bullet"/>
      <w:suff w:val="tab"/>
      <w:lvlText w:val="·"/>
      <w:lvlJc w:val="left"/>
      <w:pPr>
        <w:ind w:hanging="360" w:left="6480"/>
      </w:pPr>
      <w:rPr>
        <w:rFonts w:ascii="Symbol" w:hAnsi="Symbol"/>
      </w:rPr>
    </w:lvl>
  </w:abstractNum>
  <w:abstractNum w:abstractNumId="68">
    <w:nsid w:val="4066CF3B"/>
    <w:multiLevelType w:val="hybridMultilevel"/>
    <w:lvl w:ilvl="0" w:tplc="41D3DBB2">
      <w:start w:val="1"/>
      <w:numFmt w:val="bullet"/>
      <w:suff w:val="tab"/>
      <w:lvlText w:val="·"/>
      <w:lvlJc w:val="left"/>
      <w:pPr>
        <w:ind w:hanging="360" w:left="720"/>
      </w:pPr>
      <w:rPr>
        <w:rFonts w:ascii="Symbol" w:hAnsi="Symbol" w:cs="Symbol" w:eastAsia="Symbol"/>
      </w:rPr>
    </w:lvl>
    <w:lvl w:ilvl="1" w:tplc="22F36C81">
      <w:start w:val="1"/>
      <w:numFmt w:val="bullet"/>
      <w:suff w:val="tab"/>
      <w:lvlText w:val="o"/>
      <w:lvlJc w:val="left"/>
      <w:pPr>
        <w:ind w:hanging="360" w:left="1440"/>
      </w:pPr>
      <w:rPr>
        <w:rFonts w:ascii="Symbol" w:hAnsi="Symbol"/>
      </w:rPr>
    </w:lvl>
    <w:lvl w:ilvl="2" w:tplc="70962DED">
      <w:start w:val="1"/>
      <w:numFmt w:val="bullet"/>
      <w:suff w:val="tab"/>
      <w:lvlText w:val="·"/>
      <w:lvlJc w:val="left"/>
      <w:pPr>
        <w:ind w:hanging="360" w:left="2160"/>
      </w:pPr>
      <w:rPr>
        <w:rFonts w:ascii="Symbol" w:hAnsi="Symbol"/>
      </w:rPr>
    </w:lvl>
    <w:lvl w:ilvl="3" w:tplc="34530E9D">
      <w:start w:val="1"/>
      <w:numFmt w:val="bullet"/>
      <w:suff w:val="tab"/>
      <w:lvlText w:val="o"/>
      <w:lvlJc w:val="left"/>
      <w:pPr>
        <w:ind w:hanging="360" w:left="2880"/>
      </w:pPr>
      <w:rPr>
        <w:rFonts w:ascii="Symbol" w:hAnsi="Symbol"/>
      </w:rPr>
    </w:lvl>
    <w:lvl w:ilvl="4" w:tplc="351F413B">
      <w:start w:val="1"/>
      <w:numFmt w:val="bullet"/>
      <w:suff w:val="tab"/>
      <w:lvlText w:val="·"/>
      <w:lvlJc w:val="left"/>
      <w:pPr>
        <w:ind w:hanging="360" w:left="3600"/>
      </w:pPr>
      <w:rPr>
        <w:rFonts w:ascii="Symbol" w:hAnsi="Symbol"/>
      </w:rPr>
    </w:lvl>
    <w:lvl w:ilvl="5" w:tplc="31173350">
      <w:start w:val="1"/>
      <w:numFmt w:val="bullet"/>
      <w:suff w:val="tab"/>
      <w:lvlText w:val="o"/>
      <w:lvlJc w:val="left"/>
      <w:pPr>
        <w:ind w:hanging="360" w:left="4320"/>
      </w:pPr>
      <w:rPr>
        <w:rFonts w:ascii="Symbol" w:hAnsi="Symbol"/>
      </w:rPr>
    </w:lvl>
    <w:lvl w:ilvl="6" w:tplc="4FC1F7AB">
      <w:start w:val="1"/>
      <w:numFmt w:val="bullet"/>
      <w:suff w:val="tab"/>
      <w:lvlText w:val="·"/>
      <w:lvlJc w:val="left"/>
      <w:pPr>
        <w:ind w:hanging="360" w:left="5040"/>
      </w:pPr>
      <w:rPr>
        <w:rFonts w:ascii="Symbol" w:hAnsi="Symbol"/>
      </w:rPr>
    </w:lvl>
    <w:lvl w:ilvl="7" w:tplc="50229F55">
      <w:start w:val="1"/>
      <w:numFmt w:val="bullet"/>
      <w:suff w:val="tab"/>
      <w:lvlText w:val="o"/>
      <w:lvlJc w:val="left"/>
      <w:pPr>
        <w:ind w:hanging="360" w:left="5760"/>
      </w:pPr>
      <w:rPr>
        <w:rFonts w:ascii="Symbol" w:hAnsi="Symbol"/>
      </w:rPr>
    </w:lvl>
    <w:lvl w:ilvl="8" w:tplc="0E8E0254">
      <w:start w:val="1"/>
      <w:numFmt w:val="bullet"/>
      <w:suff w:val="tab"/>
      <w:lvlText w:val="·"/>
      <w:lvlJc w:val="left"/>
      <w:pPr>
        <w:ind w:hanging="360" w:left="6480"/>
      </w:pPr>
      <w:rPr>
        <w:rFonts w:ascii="Symbol" w:hAnsi="Symbol"/>
      </w:rPr>
    </w:lvl>
  </w:abstractNum>
  <w:abstractNum w:abstractNumId="69">
    <w:nsid w:val="2E957435"/>
    <w:multiLevelType w:val="hybridMultilevel"/>
    <w:lvl w:ilvl="0" w:tplc="307233CF">
      <w:start w:val="1"/>
      <w:numFmt w:val="bullet"/>
      <w:suff w:val="tab"/>
      <w:lvlText w:val="·"/>
      <w:lvlJc w:val="left"/>
      <w:pPr>
        <w:ind w:hanging="360" w:left="720"/>
      </w:pPr>
      <w:rPr>
        <w:rFonts w:ascii="Symbol" w:hAnsi="Symbol" w:cs="Symbol" w:eastAsia="Symbol"/>
      </w:rPr>
    </w:lvl>
    <w:lvl w:ilvl="1" w:tplc="5C08D58F">
      <w:start w:val="1"/>
      <w:numFmt w:val="bullet"/>
      <w:suff w:val="tab"/>
      <w:lvlText w:val="o"/>
      <w:lvlJc w:val="left"/>
      <w:pPr>
        <w:ind w:hanging="360" w:left="1440"/>
      </w:pPr>
      <w:rPr>
        <w:rFonts w:ascii="Symbol" w:hAnsi="Symbol"/>
      </w:rPr>
    </w:lvl>
    <w:lvl w:ilvl="2" w:tplc="299D448E">
      <w:start w:val="1"/>
      <w:numFmt w:val="bullet"/>
      <w:suff w:val="tab"/>
      <w:lvlText w:val="·"/>
      <w:lvlJc w:val="left"/>
      <w:pPr>
        <w:ind w:hanging="360" w:left="2160"/>
      </w:pPr>
      <w:rPr>
        <w:rFonts w:ascii="Symbol" w:hAnsi="Symbol"/>
      </w:rPr>
    </w:lvl>
    <w:lvl w:ilvl="3" w:tplc="5675229A">
      <w:start w:val="1"/>
      <w:numFmt w:val="bullet"/>
      <w:suff w:val="tab"/>
      <w:lvlText w:val="o"/>
      <w:lvlJc w:val="left"/>
      <w:pPr>
        <w:ind w:hanging="360" w:left="2880"/>
      </w:pPr>
      <w:rPr>
        <w:rFonts w:ascii="Symbol" w:hAnsi="Symbol"/>
      </w:rPr>
    </w:lvl>
    <w:lvl w:ilvl="4" w:tplc="3EBEA258">
      <w:start w:val="1"/>
      <w:numFmt w:val="bullet"/>
      <w:suff w:val="tab"/>
      <w:lvlText w:val="·"/>
      <w:lvlJc w:val="left"/>
      <w:pPr>
        <w:ind w:hanging="360" w:left="3600"/>
      </w:pPr>
      <w:rPr>
        <w:rFonts w:ascii="Symbol" w:hAnsi="Symbol"/>
      </w:rPr>
    </w:lvl>
    <w:lvl w:ilvl="5" w:tplc="2ECD383B">
      <w:start w:val="1"/>
      <w:numFmt w:val="bullet"/>
      <w:suff w:val="tab"/>
      <w:lvlText w:val="o"/>
      <w:lvlJc w:val="left"/>
      <w:pPr>
        <w:ind w:hanging="360" w:left="4320"/>
      </w:pPr>
      <w:rPr>
        <w:rFonts w:ascii="Symbol" w:hAnsi="Symbol"/>
      </w:rPr>
    </w:lvl>
    <w:lvl w:ilvl="6" w:tplc="422811D6">
      <w:start w:val="1"/>
      <w:numFmt w:val="bullet"/>
      <w:suff w:val="tab"/>
      <w:lvlText w:val="·"/>
      <w:lvlJc w:val="left"/>
      <w:pPr>
        <w:ind w:hanging="360" w:left="5040"/>
      </w:pPr>
      <w:rPr>
        <w:rFonts w:ascii="Symbol" w:hAnsi="Symbol"/>
      </w:rPr>
    </w:lvl>
    <w:lvl w:ilvl="7" w:tplc="39BEB6E2">
      <w:start w:val="1"/>
      <w:numFmt w:val="bullet"/>
      <w:suff w:val="tab"/>
      <w:lvlText w:val="o"/>
      <w:lvlJc w:val="left"/>
      <w:pPr>
        <w:ind w:hanging="360" w:left="5760"/>
      </w:pPr>
      <w:rPr>
        <w:rFonts w:ascii="Symbol" w:hAnsi="Symbol"/>
      </w:rPr>
    </w:lvl>
    <w:lvl w:ilvl="8" w:tplc="4522493E">
      <w:start w:val="1"/>
      <w:numFmt w:val="bullet"/>
      <w:suff w:val="tab"/>
      <w:lvlText w:val="·"/>
      <w:lvlJc w:val="left"/>
      <w:pPr>
        <w:ind w:hanging="360" w:left="6480"/>
      </w:pPr>
      <w:rPr>
        <w:rFonts w:ascii="Symbol" w:hAnsi="Symbol"/>
      </w:rPr>
    </w:lvl>
  </w:abstractNum>
  <w:abstractNum w:abstractNumId="70">
    <w:nsid w:val="383FDE70"/>
    <w:multiLevelType w:val="hybridMultilevel"/>
    <w:lvl w:ilvl="0" w:tplc="33CD32DB">
      <w:start w:val="1"/>
      <w:numFmt w:val="bullet"/>
      <w:suff w:val="tab"/>
      <w:lvlText w:val="·"/>
      <w:lvlJc w:val="left"/>
      <w:pPr>
        <w:ind w:hanging="360" w:left="720"/>
      </w:pPr>
      <w:rPr>
        <w:rFonts w:ascii="Symbol" w:hAnsi="Symbol" w:cs="Symbol" w:eastAsia="Symbol"/>
      </w:rPr>
    </w:lvl>
    <w:lvl w:ilvl="1" w:tplc="36C93D41">
      <w:start w:val="1"/>
      <w:numFmt w:val="bullet"/>
      <w:suff w:val="tab"/>
      <w:lvlText w:val="o"/>
      <w:lvlJc w:val="left"/>
      <w:pPr>
        <w:ind w:hanging="360" w:left="1440"/>
      </w:pPr>
      <w:rPr>
        <w:rFonts w:ascii="Symbol" w:hAnsi="Symbol"/>
      </w:rPr>
    </w:lvl>
    <w:lvl w:ilvl="2" w:tplc="6778ADD6">
      <w:start w:val="1"/>
      <w:numFmt w:val="bullet"/>
      <w:suff w:val="tab"/>
      <w:lvlText w:val="·"/>
      <w:lvlJc w:val="left"/>
      <w:pPr>
        <w:ind w:hanging="360" w:left="2160"/>
      </w:pPr>
      <w:rPr>
        <w:rFonts w:ascii="Symbol" w:hAnsi="Symbol"/>
      </w:rPr>
    </w:lvl>
    <w:lvl w:ilvl="3" w:tplc="303C127F">
      <w:start w:val="1"/>
      <w:numFmt w:val="bullet"/>
      <w:suff w:val="tab"/>
      <w:lvlText w:val="o"/>
      <w:lvlJc w:val="left"/>
      <w:pPr>
        <w:ind w:hanging="360" w:left="2880"/>
      </w:pPr>
      <w:rPr>
        <w:rFonts w:ascii="Symbol" w:hAnsi="Symbol"/>
      </w:rPr>
    </w:lvl>
    <w:lvl w:ilvl="4" w:tplc="5975F6F9">
      <w:start w:val="1"/>
      <w:numFmt w:val="bullet"/>
      <w:suff w:val="tab"/>
      <w:lvlText w:val="·"/>
      <w:lvlJc w:val="left"/>
      <w:pPr>
        <w:ind w:hanging="360" w:left="3600"/>
      </w:pPr>
      <w:rPr>
        <w:rFonts w:ascii="Symbol" w:hAnsi="Symbol"/>
      </w:rPr>
    </w:lvl>
    <w:lvl w:ilvl="5" w:tplc="088C818E">
      <w:start w:val="1"/>
      <w:numFmt w:val="bullet"/>
      <w:suff w:val="tab"/>
      <w:lvlText w:val="o"/>
      <w:lvlJc w:val="left"/>
      <w:pPr>
        <w:ind w:hanging="360" w:left="4320"/>
      </w:pPr>
      <w:rPr>
        <w:rFonts w:ascii="Symbol" w:hAnsi="Symbol"/>
      </w:rPr>
    </w:lvl>
    <w:lvl w:ilvl="6" w:tplc="4B2E36F7">
      <w:start w:val="1"/>
      <w:numFmt w:val="bullet"/>
      <w:suff w:val="tab"/>
      <w:lvlText w:val="·"/>
      <w:lvlJc w:val="left"/>
      <w:pPr>
        <w:ind w:hanging="360" w:left="5040"/>
      </w:pPr>
      <w:rPr>
        <w:rFonts w:ascii="Symbol" w:hAnsi="Symbol"/>
      </w:rPr>
    </w:lvl>
    <w:lvl w:ilvl="7" w:tplc="684B1782">
      <w:start w:val="1"/>
      <w:numFmt w:val="bullet"/>
      <w:suff w:val="tab"/>
      <w:lvlText w:val="o"/>
      <w:lvlJc w:val="left"/>
      <w:pPr>
        <w:ind w:hanging="360" w:left="5760"/>
      </w:pPr>
      <w:rPr>
        <w:rFonts w:ascii="Symbol" w:hAnsi="Symbol"/>
      </w:rPr>
    </w:lvl>
    <w:lvl w:ilvl="8" w:tplc="350E2885">
      <w:start w:val="1"/>
      <w:numFmt w:val="bullet"/>
      <w:suff w:val="tab"/>
      <w:lvlText w:val="·"/>
      <w:lvlJc w:val="left"/>
      <w:pPr>
        <w:ind w:hanging="360" w:left="6480"/>
      </w:pPr>
      <w:rPr>
        <w:rFonts w:ascii="Symbol" w:hAnsi="Symbol"/>
      </w:rPr>
    </w:lvl>
  </w:abstractNum>
  <w:abstractNum w:abstractNumId="71">
    <w:nsid w:val="12B11217"/>
    <w:multiLevelType w:val="hybridMultilevel"/>
    <w:lvl w:ilvl="0" w:tplc="26FB61CF">
      <w:start w:val="1"/>
      <w:numFmt w:val="bullet"/>
      <w:suff w:val="tab"/>
      <w:lvlText w:val="·"/>
      <w:lvlJc w:val="left"/>
      <w:pPr>
        <w:ind w:hanging="360" w:left="720"/>
      </w:pPr>
      <w:rPr>
        <w:rFonts w:ascii="Symbol" w:hAnsi="Symbol" w:cs="Symbol" w:eastAsia="Symbol"/>
      </w:rPr>
    </w:lvl>
    <w:lvl w:ilvl="1" w:tplc="42F26846">
      <w:start w:val="1"/>
      <w:numFmt w:val="bullet"/>
      <w:suff w:val="tab"/>
      <w:lvlText w:val="o"/>
      <w:lvlJc w:val="left"/>
      <w:pPr>
        <w:ind w:hanging="360" w:left="1440"/>
      </w:pPr>
      <w:rPr>
        <w:rFonts w:ascii="Symbol" w:hAnsi="Symbol"/>
      </w:rPr>
    </w:lvl>
    <w:lvl w:ilvl="2" w:tplc="3BEBB3DB">
      <w:start w:val="1"/>
      <w:numFmt w:val="bullet"/>
      <w:suff w:val="tab"/>
      <w:lvlText w:val="·"/>
      <w:lvlJc w:val="left"/>
      <w:pPr>
        <w:ind w:hanging="360" w:left="2160"/>
      </w:pPr>
      <w:rPr>
        <w:rFonts w:ascii="Symbol" w:hAnsi="Symbol"/>
      </w:rPr>
    </w:lvl>
    <w:lvl w:ilvl="3" w:tplc="549DBE5D">
      <w:start w:val="1"/>
      <w:numFmt w:val="bullet"/>
      <w:suff w:val="tab"/>
      <w:lvlText w:val="o"/>
      <w:lvlJc w:val="left"/>
      <w:pPr>
        <w:ind w:hanging="360" w:left="2880"/>
      </w:pPr>
      <w:rPr>
        <w:rFonts w:ascii="Symbol" w:hAnsi="Symbol"/>
      </w:rPr>
    </w:lvl>
    <w:lvl w:ilvl="4" w:tplc="5E59BB47">
      <w:start w:val="1"/>
      <w:numFmt w:val="bullet"/>
      <w:suff w:val="tab"/>
      <w:lvlText w:val="·"/>
      <w:lvlJc w:val="left"/>
      <w:pPr>
        <w:ind w:hanging="360" w:left="3600"/>
      </w:pPr>
      <w:rPr>
        <w:rFonts w:ascii="Symbol" w:hAnsi="Symbol"/>
      </w:rPr>
    </w:lvl>
    <w:lvl w:ilvl="5" w:tplc="1AB85814">
      <w:start w:val="1"/>
      <w:numFmt w:val="bullet"/>
      <w:suff w:val="tab"/>
      <w:lvlText w:val="o"/>
      <w:lvlJc w:val="left"/>
      <w:pPr>
        <w:ind w:hanging="360" w:left="4320"/>
      </w:pPr>
      <w:rPr>
        <w:rFonts w:ascii="Symbol" w:hAnsi="Symbol"/>
      </w:rPr>
    </w:lvl>
    <w:lvl w:ilvl="6" w:tplc="2DA335C6">
      <w:start w:val="1"/>
      <w:numFmt w:val="bullet"/>
      <w:suff w:val="tab"/>
      <w:lvlText w:val="·"/>
      <w:lvlJc w:val="left"/>
      <w:pPr>
        <w:ind w:hanging="360" w:left="5040"/>
      </w:pPr>
      <w:rPr>
        <w:rFonts w:ascii="Symbol" w:hAnsi="Symbol"/>
      </w:rPr>
    </w:lvl>
    <w:lvl w:ilvl="7" w:tplc="7BCCAFE5">
      <w:start w:val="1"/>
      <w:numFmt w:val="bullet"/>
      <w:suff w:val="tab"/>
      <w:lvlText w:val="o"/>
      <w:lvlJc w:val="left"/>
      <w:pPr>
        <w:ind w:hanging="360" w:left="5760"/>
      </w:pPr>
      <w:rPr>
        <w:rFonts w:ascii="Symbol" w:hAnsi="Symbol"/>
      </w:rPr>
    </w:lvl>
    <w:lvl w:ilvl="8" w:tplc="46EDC8CA">
      <w:start w:val="1"/>
      <w:numFmt w:val="bullet"/>
      <w:suff w:val="tab"/>
      <w:lvlText w:val="·"/>
      <w:lvlJc w:val="left"/>
      <w:pPr>
        <w:ind w:hanging="360" w:left="6480"/>
      </w:pPr>
      <w:rPr>
        <w:rFonts w:ascii="Symbol" w:hAnsi="Symbol"/>
      </w:rPr>
    </w:lvl>
  </w:abstractNum>
  <w:abstractNum w:abstractNumId="72">
    <w:nsid w:val="2CB8F54F"/>
    <w:multiLevelType w:val="hybridMultilevel"/>
    <w:lvl w:ilvl="0" w:tplc="1A653C73">
      <w:start w:val="1"/>
      <w:numFmt w:val="bullet"/>
      <w:suff w:val="tab"/>
      <w:lvlText w:val="·"/>
      <w:lvlJc w:val="left"/>
      <w:pPr>
        <w:ind w:hanging="360" w:left="720"/>
      </w:pPr>
      <w:rPr>
        <w:rFonts w:ascii="Symbol" w:hAnsi="Symbol" w:cs="Symbol" w:eastAsia="Symbol"/>
      </w:rPr>
    </w:lvl>
    <w:lvl w:ilvl="1" w:tplc="05E8259C">
      <w:start w:val="1"/>
      <w:numFmt w:val="bullet"/>
      <w:suff w:val="tab"/>
      <w:lvlText w:val="o"/>
      <w:lvlJc w:val="left"/>
      <w:pPr>
        <w:ind w:hanging="360" w:left="1440"/>
      </w:pPr>
      <w:rPr>
        <w:rFonts w:ascii="Symbol" w:hAnsi="Symbol"/>
      </w:rPr>
    </w:lvl>
    <w:lvl w:ilvl="2" w:tplc="56B3915C">
      <w:start w:val="1"/>
      <w:numFmt w:val="bullet"/>
      <w:suff w:val="tab"/>
      <w:lvlText w:val="·"/>
      <w:lvlJc w:val="left"/>
      <w:pPr>
        <w:ind w:hanging="360" w:left="2160"/>
      </w:pPr>
      <w:rPr>
        <w:rFonts w:ascii="Symbol" w:hAnsi="Symbol"/>
      </w:rPr>
    </w:lvl>
    <w:lvl w:ilvl="3" w:tplc="4E34B8DF">
      <w:start w:val="1"/>
      <w:numFmt w:val="bullet"/>
      <w:suff w:val="tab"/>
      <w:lvlText w:val="o"/>
      <w:lvlJc w:val="left"/>
      <w:pPr>
        <w:ind w:hanging="360" w:left="2880"/>
      </w:pPr>
      <w:rPr>
        <w:rFonts w:ascii="Symbol" w:hAnsi="Symbol"/>
      </w:rPr>
    </w:lvl>
    <w:lvl w:ilvl="4" w:tplc="7EC97A0B">
      <w:start w:val="1"/>
      <w:numFmt w:val="bullet"/>
      <w:suff w:val="tab"/>
      <w:lvlText w:val="·"/>
      <w:lvlJc w:val="left"/>
      <w:pPr>
        <w:ind w:hanging="360" w:left="3600"/>
      </w:pPr>
      <w:rPr>
        <w:rFonts w:ascii="Symbol" w:hAnsi="Symbol"/>
      </w:rPr>
    </w:lvl>
    <w:lvl w:ilvl="5" w:tplc="380047F0">
      <w:start w:val="1"/>
      <w:numFmt w:val="bullet"/>
      <w:suff w:val="tab"/>
      <w:lvlText w:val="o"/>
      <w:lvlJc w:val="left"/>
      <w:pPr>
        <w:ind w:hanging="360" w:left="4320"/>
      </w:pPr>
      <w:rPr>
        <w:rFonts w:ascii="Symbol" w:hAnsi="Symbol"/>
      </w:rPr>
    </w:lvl>
    <w:lvl w:ilvl="6" w:tplc="28E21BC2">
      <w:start w:val="1"/>
      <w:numFmt w:val="bullet"/>
      <w:suff w:val="tab"/>
      <w:lvlText w:val="·"/>
      <w:lvlJc w:val="left"/>
      <w:pPr>
        <w:ind w:hanging="360" w:left="5040"/>
      </w:pPr>
      <w:rPr>
        <w:rFonts w:ascii="Symbol" w:hAnsi="Symbol"/>
      </w:rPr>
    </w:lvl>
    <w:lvl w:ilvl="7" w:tplc="68F29F54">
      <w:start w:val="1"/>
      <w:numFmt w:val="bullet"/>
      <w:suff w:val="tab"/>
      <w:lvlText w:val="o"/>
      <w:lvlJc w:val="left"/>
      <w:pPr>
        <w:ind w:hanging="360" w:left="5760"/>
      </w:pPr>
      <w:rPr>
        <w:rFonts w:ascii="Symbol" w:hAnsi="Symbol"/>
      </w:rPr>
    </w:lvl>
    <w:lvl w:ilvl="8" w:tplc="06CE44EE">
      <w:start w:val="1"/>
      <w:numFmt w:val="bullet"/>
      <w:suff w:val="tab"/>
      <w:lvlText w:val="·"/>
      <w:lvlJc w:val="left"/>
      <w:pPr>
        <w:ind w:hanging="360" w:left="6480"/>
      </w:pPr>
      <w:rPr>
        <w:rFonts w:ascii="Symbol" w:hAnsi="Symbol"/>
      </w:rPr>
    </w:lvl>
  </w:abstractNum>
  <w:abstractNum w:abstractNumId="73">
    <w:nsid w:val="76261FB3"/>
    <w:multiLevelType w:val="hybridMultilevel"/>
    <w:lvl w:ilvl="0" w:tplc="30238242">
      <w:start w:val="1"/>
      <w:numFmt w:val="bullet"/>
      <w:suff w:val="tab"/>
      <w:lvlText w:val="·"/>
      <w:lvlJc w:val="left"/>
      <w:pPr>
        <w:ind w:hanging="360" w:left="720"/>
      </w:pPr>
      <w:rPr>
        <w:rFonts w:ascii="Symbol" w:hAnsi="Symbol" w:cs="Symbol" w:eastAsia="Symbol"/>
      </w:rPr>
    </w:lvl>
    <w:lvl w:ilvl="1" w:tplc="51326C77">
      <w:start w:val="1"/>
      <w:numFmt w:val="bullet"/>
      <w:suff w:val="tab"/>
      <w:lvlText w:val="o"/>
      <w:lvlJc w:val="left"/>
      <w:pPr>
        <w:ind w:hanging="360" w:left="1440"/>
      </w:pPr>
      <w:rPr>
        <w:rFonts w:ascii="Symbol" w:hAnsi="Symbol"/>
      </w:rPr>
    </w:lvl>
    <w:lvl w:ilvl="2" w:tplc="5A8EAE6B">
      <w:start w:val="1"/>
      <w:numFmt w:val="bullet"/>
      <w:suff w:val="tab"/>
      <w:lvlText w:val="·"/>
      <w:lvlJc w:val="left"/>
      <w:pPr>
        <w:ind w:hanging="360" w:left="2160"/>
      </w:pPr>
      <w:rPr>
        <w:rFonts w:ascii="Symbol" w:hAnsi="Symbol"/>
      </w:rPr>
    </w:lvl>
    <w:lvl w:ilvl="3" w:tplc="3A4E5EF8">
      <w:start w:val="1"/>
      <w:numFmt w:val="bullet"/>
      <w:suff w:val="tab"/>
      <w:lvlText w:val="o"/>
      <w:lvlJc w:val="left"/>
      <w:pPr>
        <w:ind w:hanging="360" w:left="2880"/>
      </w:pPr>
      <w:rPr>
        <w:rFonts w:ascii="Symbol" w:hAnsi="Symbol"/>
      </w:rPr>
    </w:lvl>
    <w:lvl w:ilvl="4" w:tplc="344CF013">
      <w:start w:val="1"/>
      <w:numFmt w:val="bullet"/>
      <w:suff w:val="tab"/>
      <w:lvlText w:val="·"/>
      <w:lvlJc w:val="left"/>
      <w:pPr>
        <w:ind w:hanging="360" w:left="3600"/>
      </w:pPr>
      <w:rPr>
        <w:rFonts w:ascii="Symbol" w:hAnsi="Symbol"/>
      </w:rPr>
    </w:lvl>
    <w:lvl w:ilvl="5" w:tplc="7D1C3771">
      <w:start w:val="1"/>
      <w:numFmt w:val="bullet"/>
      <w:suff w:val="tab"/>
      <w:lvlText w:val="o"/>
      <w:lvlJc w:val="left"/>
      <w:pPr>
        <w:ind w:hanging="360" w:left="4320"/>
      </w:pPr>
      <w:rPr>
        <w:rFonts w:ascii="Symbol" w:hAnsi="Symbol"/>
      </w:rPr>
    </w:lvl>
    <w:lvl w:ilvl="6" w:tplc="342ACFF7">
      <w:start w:val="1"/>
      <w:numFmt w:val="bullet"/>
      <w:suff w:val="tab"/>
      <w:lvlText w:val="·"/>
      <w:lvlJc w:val="left"/>
      <w:pPr>
        <w:ind w:hanging="360" w:left="5040"/>
      </w:pPr>
      <w:rPr>
        <w:rFonts w:ascii="Symbol" w:hAnsi="Symbol"/>
      </w:rPr>
    </w:lvl>
    <w:lvl w:ilvl="7" w:tplc="24F5B1C4">
      <w:start w:val="1"/>
      <w:numFmt w:val="bullet"/>
      <w:suff w:val="tab"/>
      <w:lvlText w:val="o"/>
      <w:lvlJc w:val="left"/>
      <w:pPr>
        <w:ind w:hanging="360" w:left="5760"/>
      </w:pPr>
      <w:rPr>
        <w:rFonts w:ascii="Symbol" w:hAnsi="Symbol"/>
      </w:rPr>
    </w:lvl>
    <w:lvl w:ilvl="8" w:tplc="6DD46099">
      <w:start w:val="1"/>
      <w:numFmt w:val="bullet"/>
      <w:suff w:val="tab"/>
      <w:lvlText w:val="·"/>
      <w:lvlJc w:val="left"/>
      <w:pPr>
        <w:ind w:hanging="360" w:left="6480"/>
      </w:pPr>
      <w:rPr>
        <w:rFonts w:ascii="Symbol" w:hAnsi="Symbol"/>
      </w:rPr>
    </w:lvl>
  </w:abstractNum>
  <w:abstractNum w:abstractNumId="74">
    <w:nsid w:val="649E6E7C"/>
    <w:multiLevelType w:val="hybridMultilevel"/>
    <w:lvl w:ilvl="0" w:tplc="0BC30020">
      <w:start w:val="1"/>
      <w:numFmt w:val="bullet"/>
      <w:suff w:val="tab"/>
      <w:lvlText w:val="·"/>
      <w:lvlJc w:val="left"/>
      <w:pPr>
        <w:ind w:hanging="360" w:left="720"/>
      </w:pPr>
      <w:rPr>
        <w:rFonts w:ascii="Symbol" w:hAnsi="Symbol" w:cs="Symbol" w:eastAsia="Symbol"/>
      </w:rPr>
    </w:lvl>
    <w:lvl w:ilvl="1" w:tplc="2B777DDD">
      <w:start w:val="1"/>
      <w:numFmt w:val="bullet"/>
      <w:suff w:val="tab"/>
      <w:lvlText w:val="o"/>
      <w:lvlJc w:val="left"/>
      <w:pPr>
        <w:ind w:hanging="360" w:left="1440"/>
      </w:pPr>
      <w:rPr>
        <w:rFonts w:ascii="Symbol" w:hAnsi="Symbol"/>
      </w:rPr>
    </w:lvl>
    <w:lvl w:ilvl="2" w:tplc="03FFA818">
      <w:start w:val="1"/>
      <w:numFmt w:val="bullet"/>
      <w:suff w:val="tab"/>
      <w:lvlText w:val="·"/>
      <w:lvlJc w:val="left"/>
      <w:pPr>
        <w:ind w:hanging="360" w:left="2160"/>
      </w:pPr>
      <w:rPr>
        <w:rFonts w:ascii="Symbol" w:hAnsi="Symbol"/>
      </w:rPr>
    </w:lvl>
    <w:lvl w:ilvl="3" w:tplc="34BA9656">
      <w:start w:val="1"/>
      <w:numFmt w:val="bullet"/>
      <w:suff w:val="tab"/>
      <w:lvlText w:val="o"/>
      <w:lvlJc w:val="left"/>
      <w:pPr>
        <w:ind w:hanging="360" w:left="2880"/>
      </w:pPr>
      <w:rPr>
        <w:rFonts w:ascii="Symbol" w:hAnsi="Symbol"/>
      </w:rPr>
    </w:lvl>
    <w:lvl w:ilvl="4" w:tplc="7846C371">
      <w:start w:val="1"/>
      <w:numFmt w:val="bullet"/>
      <w:suff w:val="tab"/>
      <w:lvlText w:val="·"/>
      <w:lvlJc w:val="left"/>
      <w:pPr>
        <w:ind w:hanging="360" w:left="3600"/>
      </w:pPr>
      <w:rPr>
        <w:rFonts w:ascii="Symbol" w:hAnsi="Symbol"/>
      </w:rPr>
    </w:lvl>
    <w:lvl w:ilvl="5" w:tplc="31594A9D">
      <w:start w:val="1"/>
      <w:numFmt w:val="bullet"/>
      <w:suff w:val="tab"/>
      <w:lvlText w:val="o"/>
      <w:lvlJc w:val="left"/>
      <w:pPr>
        <w:ind w:hanging="360" w:left="4320"/>
      </w:pPr>
      <w:rPr>
        <w:rFonts w:ascii="Symbol" w:hAnsi="Symbol"/>
      </w:rPr>
    </w:lvl>
    <w:lvl w:ilvl="6" w:tplc="31A46C2B">
      <w:start w:val="1"/>
      <w:numFmt w:val="bullet"/>
      <w:suff w:val="tab"/>
      <w:lvlText w:val="·"/>
      <w:lvlJc w:val="left"/>
      <w:pPr>
        <w:ind w:hanging="360" w:left="5040"/>
      </w:pPr>
      <w:rPr>
        <w:rFonts w:ascii="Symbol" w:hAnsi="Symbol"/>
      </w:rPr>
    </w:lvl>
    <w:lvl w:ilvl="7" w:tplc="794A5B23">
      <w:start w:val="1"/>
      <w:numFmt w:val="bullet"/>
      <w:suff w:val="tab"/>
      <w:lvlText w:val="o"/>
      <w:lvlJc w:val="left"/>
      <w:pPr>
        <w:ind w:hanging="360" w:left="5760"/>
      </w:pPr>
      <w:rPr>
        <w:rFonts w:ascii="Symbol" w:hAnsi="Symbol"/>
      </w:rPr>
    </w:lvl>
    <w:lvl w:ilvl="8" w:tplc="1D067A95">
      <w:start w:val="1"/>
      <w:numFmt w:val="bullet"/>
      <w:suff w:val="tab"/>
      <w:lvlText w:val="·"/>
      <w:lvlJc w:val="left"/>
      <w:pPr>
        <w:ind w:hanging="360" w:left="6480"/>
      </w:pPr>
      <w:rPr>
        <w:rFonts w:ascii="Symbol" w:hAnsi="Symbol"/>
      </w:rPr>
    </w:lvl>
  </w:abstractNum>
  <w:abstractNum w:abstractNumId="75">
    <w:nsid w:val="4E03F28E"/>
    <w:multiLevelType w:val="hybridMultilevel"/>
    <w:lvl w:ilvl="0" w:tplc="1044F373">
      <w:start w:val="1"/>
      <w:numFmt w:val="bullet"/>
      <w:suff w:val="tab"/>
      <w:lvlText w:val="·"/>
      <w:lvlJc w:val="left"/>
      <w:pPr>
        <w:ind w:hanging="360" w:left="720"/>
      </w:pPr>
      <w:rPr>
        <w:rFonts w:ascii="Symbol" w:hAnsi="Symbol" w:cs="Symbol" w:eastAsia="Symbol"/>
      </w:rPr>
    </w:lvl>
    <w:lvl w:ilvl="1" w:tplc="3756B2B7">
      <w:start w:val="1"/>
      <w:numFmt w:val="bullet"/>
      <w:suff w:val="tab"/>
      <w:lvlText w:val="o"/>
      <w:lvlJc w:val="left"/>
      <w:pPr>
        <w:ind w:hanging="360" w:left="1440"/>
      </w:pPr>
      <w:rPr>
        <w:rFonts w:ascii="Symbol" w:hAnsi="Symbol"/>
      </w:rPr>
    </w:lvl>
    <w:lvl w:ilvl="2" w:tplc="01E10396">
      <w:start w:val="1"/>
      <w:numFmt w:val="bullet"/>
      <w:suff w:val="tab"/>
      <w:lvlText w:val="·"/>
      <w:lvlJc w:val="left"/>
      <w:pPr>
        <w:ind w:hanging="360" w:left="2160"/>
      </w:pPr>
      <w:rPr>
        <w:rFonts w:ascii="Symbol" w:hAnsi="Symbol"/>
      </w:rPr>
    </w:lvl>
    <w:lvl w:ilvl="3" w:tplc="07593311">
      <w:start w:val="1"/>
      <w:numFmt w:val="bullet"/>
      <w:suff w:val="tab"/>
      <w:lvlText w:val="o"/>
      <w:lvlJc w:val="left"/>
      <w:pPr>
        <w:ind w:hanging="360" w:left="2880"/>
      </w:pPr>
      <w:rPr>
        <w:rFonts w:ascii="Symbol" w:hAnsi="Symbol"/>
      </w:rPr>
    </w:lvl>
    <w:lvl w:ilvl="4" w:tplc="289B23C3">
      <w:start w:val="1"/>
      <w:numFmt w:val="bullet"/>
      <w:suff w:val="tab"/>
      <w:lvlText w:val="·"/>
      <w:lvlJc w:val="left"/>
      <w:pPr>
        <w:ind w:hanging="360" w:left="3600"/>
      </w:pPr>
      <w:rPr>
        <w:rFonts w:ascii="Symbol" w:hAnsi="Symbol"/>
      </w:rPr>
    </w:lvl>
    <w:lvl w:ilvl="5" w:tplc="10BCE9F5">
      <w:start w:val="1"/>
      <w:numFmt w:val="bullet"/>
      <w:suff w:val="tab"/>
      <w:lvlText w:val="o"/>
      <w:lvlJc w:val="left"/>
      <w:pPr>
        <w:ind w:hanging="360" w:left="4320"/>
      </w:pPr>
      <w:rPr>
        <w:rFonts w:ascii="Symbol" w:hAnsi="Symbol"/>
      </w:rPr>
    </w:lvl>
    <w:lvl w:ilvl="6" w:tplc="5845142B">
      <w:start w:val="1"/>
      <w:numFmt w:val="bullet"/>
      <w:suff w:val="tab"/>
      <w:lvlText w:val="·"/>
      <w:lvlJc w:val="left"/>
      <w:pPr>
        <w:ind w:hanging="360" w:left="5040"/>
      </w:pPr>
      <w:rPr>
        <w:rFonts w:ascii="Symbol" w:hAnsi="Symbol"/>
      </w:rPr>
    </w:lvl>
    <w:lvl w:ilvl="7" w:tplc="694251D7">
      <w:start w:val="1"/>
      <w:numFmt w:val="bullet"/>
      <w:suff w:val="tab"/>
      <w:lvlText w:val="o"/>
      <w:lvlJc w:val="left"/>
      <w:pPr>
        <w:ind w:hanging="360" w:left="5760"/>
      </w:pPr>
      <w:rPr>
        <w:rFonts w:ascii="Symbol" w:hAnsi="Symbol"/>
      </w:rPr>
    </w:lvl>
    <w:lvl w:ilvl="8" w:tplc="266B251C">
      <w:start w:val="1"/>
      <w:numFmt w:val="bullet"/>
      <w:suff w:val="tab"/>
      <w:lvlText w:val="·"/>
      <w:lvlJc w:val="left"/>
      <w:pPr>
        <w:ind w:hanging="360" w:left="6480"/>
      </w:pPr>
      <w:rPr>
        <w:rFonts w:ascii="Symbol" w:hAnsi="Symbol"/>
      </w:rPr>
    </w:lvl>
  </w:abstractNum>
  <w:abstractNum w:abstractNumId="76">
    <w:nsid w:val="4D5FBE5D"/>
    <w:multiLevelType w:val="hybridMultilevel"/>
    <w:lvl w:ilvl="0" w:tplc="77F7276B">
      <w:start w:val="1"/>
      <w:numFmt w:val="bullet"/>
      <w:suff w:val="tab"/>
      <w:lvlText w:val="·"/>
      <w:lvlJc w:val="left"/>
      <w:pPr>
        <w:ind w:hanging="360" w:left="720"/>
      </w:pPr>
      <w:rPr>
        <w:rFonts w:ascii="Symbol" w:hAnsi="Symbol" w:cs="Symbol" w:eastAsia="Symbol"/>
      </w:rPr>
    </w:lvl>
    <w:lvl w:ilvl="1" w:tplc="032C082D">
      <w:start w:val="1"/>
      <w:numFmt w:val="bullet"/>
      <w:suff w:val="tab"/>
      <w:lvlText w:val="o"/>
      <w:lvlJc w:val="left"/>
      <w:pPr>
        <w:ind w:hanging="360" w:left="1440"/>
      </w:pPr>
      <w:rPr>
        <w:rFonts w:ascii="Symbol" w:hAnsi="Symbol"/>
      </w:rPr>
    </w:lvl>
    <w:lvl w:ilvl="2" w:tplc="3C941A4C">
      <w:start w:val="1"/>
      <w:numFmt w:val="bullet"/>
      <w:suff w:val="tab"/>
      <w:lvlText w:val="·"/>
      <w:lvlJc w:val="left"/>
      <w:pPr>
        <w:ind w:hanging="360" w:left="2160"/>
      </w:pPr>
      <w:rPr>
        <w:rFonts w:ascii="Symbol" w:hAnsi="Symbol"/>
      </w:rPr>
    </w:lvl>
    <w:lvl w:ilvl="3" w:tplc="4377E2B2">
      <w:start w:val="1"/>
      <w:numFmt w:val="bullet"/>
      <w:suff w:val="tab"/>
      <w:lvlText w:val="o"/>
      <w:lvlJc w:val="left"/>
      <w:pPr>
        <w:ind w:hanging="360" w:left="2880"/>
      </w:pPr>
      <w:rPr>
        <w:rFonts w:ascii="Symbol" w:hAnsi="Symbol"/>
      </w:rPr>
    </w:lvl>
    <w:lvl w:ilvl="4" w:tplc="221224A5">
      <w:start w:val="1"/>
      <w:numFmt w:val="bullet"/>
      <w:suff w:val="tab"/>
      <w:lvlText w:val="·"/>
      <w:lvlJc w:val="left"/>
      <w:pPr>
        <w:ind w:hanging="360" w:left="3600"/>
      </w:pPr>
      <w:rPr>
        <w:rFonts w:ascii="Symbol" w:hAnsi="Symbol"/>
      </w:rPr>
    </w:lvl>
    <w:lvl w:ilvl="5" w:tplc="7158EEA6">
      <w:start w:val="1"/>
      <w:numFmt w:val="bullet"/>
      <w:suff w:val="tab"/>
      <w:lvlText w:val="o"/>
      <w:lvlJc w:val="left"/>
      <w:pPr>
        <w:ind w:hanging="360" w:left="4320"/>
      </w:pPr>
      <w:rPr>
        <w:rFonts w:ascii="Symbol" w:hAnsi="Symbol"/>
      </w:rPr>
    </w:lvl>
    <w:lvl w:ilvl="6" w:tplc="78841F5D">
      <w:start w:val="1"/>
      <w:numFmt w:val="bullet"/>
      <w:suff w:val="tab"/>
      <w:lvlText w:val="·"/>
      <w:lvlJc w:val="left"/>
      <w:pPr>
        <w:ind w:hanging="360" w:left="5040"/>
      </w:pPr>
      <w:rPr>
        <w:rFonts w:ascii="Symbol" w:hAnsi="Symbol"/>
      </w:rPr>
    </w:lvl>
    <w:lvl w:ilvl="7" w:tplc="5FCE7975">
      <w:start w:val="1"/>
      <w:numFmt w:val="bullet"/>
      <w:suff w:val="tab"/>
      <w:lvlText w:val="o"/>
      <w:lvlJc w:val="left"/>
      <w:pPr>
        <w:ind w:hanging="360" w:left="5760"/>
      </w:pPr>
      <w:rPr>
        <w:rFonts w:ascii="Symbol" w:hAnsi="Symbol"/>
      </w:rPr>
    </w:lvl>
    <w:lvl w:ilvl="8" w:tplc="38631F87">
      <w:start w:val="1"/>
      <w:numFmt w:val="bullet"/>
      <w:suff w:val="tab"/>
      <w:lvlText w:val="·"/>
      <w:lvlJc w:val="left"/>
      <w:pPr>
        <w:ind w:hanging="360" w:left="6480"/>
      </w:pPr>
      <w:rPr>
        <w:rFonts w:ascii="Symbol" w:hAnsi="Symbol"/>
      </w:rPr>
    </w:lvl>
  </w:abstractNum>
  <w:abstractNum w:abstractNumId="77">
    <w:nsid w:val="3FCC60AF"/>
    <w:multiLevelType w:val="hybridMultilevel"/>
    <w:lvl w:ilvl="0" w:tplc="5C9BBF8F">
      <w:start w:val="1"/>
      <w:numFmt w:val="bullet"/>
      <w:suff w:val="tab"/>
      <w:lvlText w:val="·"/>
      <w:lvlJc w:val="left"/>
      <w:pPr>
        <w:ind w:hanging="360" w:left="720"/>
      </w:pPr>
      <w:rPr>
        <w:rFonts w:ascii="Symbol" w:hAnsi="Symbol" w:cs="Symbol" w:eastAsia="Symbol"/>
      </w:rPr>
    </w:lvl>
    <w:lvl w:ilvl="1" w:tplc="477E895E">
      <w:start w:val="1"/>
      <w:numFmt w:val="bullet"/>
      <w:suff w:val="tab"/>
      <w:lvlText w:val="o"/>
      <w:lvlJc w:val="left"/>
      <w:pPr>
        <w:ind w:hanging="360" w:left="1440"/>
      </w:pPr>
      <w:rPr>
        <w:rFonts w:ascii="Symbol" w:hAnsi="Symbol"/>
      </w:rPr>
    </w:lvl>
    <w:lvl w:ilvl="2" w:tplc="25C84682">
      <w:start w:val="1"/>
      <w:numFmt w:val="bullet"/>
      <w:suff w:val="tab"/>
      <w:lvlText w:val="·"/>
      <w:lvlJc w:val="left"/>
      <w:pPr>
        <w:ind w:hanging="360" w:left="2160"/>
      </w:pPr>
      <w:rPr>
        <w:rFonts w:ascii="Symbol" w:hAnsi="Symbol"/>
      </w:rPr>
    </w:lvl>
    <w:lvl w:ilvl="3" w:tplc="7771A2BB">
      <w:start w:val="1"/>
      <w:numFmt w:val="bullet"/>
      <w:suff w:val="tab"/>
      <w:lvlText w:val="o"/>
      <w:lvlJc w:val="left"/>
      <w:pPr>
        <w:ind w:hanging="360" w:left="2880"/>
      </w:pPr>
      <w:rPr>
        <w:rFonts w:ascii="Symbol" w:hAnsi="Symbol"/>
      </w:rPr>
    </w:lvl>
    <w:lvl w:ilvl="4" w:tplc="6EB377C2">
      <w:start w:val="1"/>
      <w:numFmt w:val="bullet"/>
      <w:suff w:val="tab"/>
      <w:lvlText w:val="·"/>
      <w:lvlJc w:val="left"/>
      <w:pPr>
        <w:ind w:hanging="360" w:left="3600"/>
      </w:pPr>
      <w:rPr>
        <w:rFonts w:ascii="Symbol" w:hAnsi="Symbol"/>
      </w:rPr>
    </w:lvl>
    <w:lvl w:ilvl="5" w:tplc="29C6EEF5">
      <w:start w:val="1"/>
      <w:numFmt w:val="bullet"/>
      <w:suff w:val="tab"/>
      <w:lvlText w:val="o"/>
      <w:lvlJc w:val="left"/>
      <w:pPr>
        <w:ind w:hanging="360" w:left="4320"/>
      </w:pPr>
      <w:rPr>
        <w:rFonts w:ascii="Symbol" w:hAnsi="Symbol"/>
      </w:rPr>
    </w:lvl>
    <w:lvl w:ilvl="6" w:tplc="373BF7A9">
      <w:start w:val="1"/>
      <w:numFmt w:val="bullet"/>
      <w:suff w:val="tab"/>
      <w:lvlText w:val="·"/>
      <w:lvlJc w:val="left"/>
      <w:pPr>
        <w:ind w:hanging="360" w:left="5040"/>
      </w:pPr>
      <w:rPr>
        <w:rFonts w:ascii="Symbol" w:hAnsi="Symbol"/>
      </w:rPr>
    </w:lvl>
    <w:lvl w:ilvl="7" w:tplc="4E3387CD">
      <w:start w:val="1"/>
      <w:numFmt w:val="bullet"/>
      <w:suff w:val="tab"/>
      <w:lvlText w:val="o"/>
      <w:lvlJc w:val="left"/>
      <w:pPr>
        <w:ind w:hanging="360" w:left="5760"/>
      </w:pPr>
      <w:rPr>
        <w:rFonts w:ascii="Symbol" w:hAnsi="Symbol"/>
      </w:rPr>
    </w:lvl>
    <w:lvl w:ilvl="8" w:tplc="0D2EAE42">
      <w:start w:val="1"/>
      <w:numFmt w:val="bullet"/>
      <w:suff w:val="tab"/>
      <w:lvlText w:val="·"/>
      <w:lvlJc w:val="left"/>
      <w:pPr>
        <w:ind w:hanging="360" w:left="6480"/>
      </w:pPr>
      <w:rPr>
        <w:rFonts w:ascii="Symbol" w:hAnsi="Symbol"/>
      </w:rPr>
    </w:lvl>
  </w:abstractNum>
  <w:abstractNum w:abstractNumId="78">
    <w:nsid w:val="2904C722"/>
    <w:multiLevelType w:val="hybridMultilevel"/>
    <w:lvl w:ilvl="0" w:tplc="333914E6">
      <w:start w:val="1"/>
      <w:numFmt w:val="bullet"/>
      <w:suff w:val="tab"/>
      <w:lvlText w:val="·"/>
      <w:lvlJc w:val="left"/>
      <w:pPr>
        <w:ind w:hanging="360" w:left="720"/>
      </w:pPr>
      <w:rPr>
        <w:rFonts w:ascii="Symbol" w:hAnsi="Symbol" w:cs="Symbol" w:eastAsia="Symbol"/>
      </w:rPr>
    </w:lvl>
    <w:lvl w:ilvl="1" w:tplc="64813423">
      <w:start w:val="1"/>
      <w:numFmt w:val="bullet"/>
      <w:suff w:val="tab"/>
      <w:lvlText w:val="o"/>
      <w:lvlJc w:val="left"/>
      <w:pPr>
        <w:ind w:hanging="360" w:left="1440"/>
      </w:pPr>
      <w:rPr>
        <w:rFonts w:ascii="Symbol" w:hAnsi="Symbol"/>
      </w:rPr>
    </w:lvl>
    <w:lvl w:ilvl="2" w:tplc="52E7C3D3">
      <w:start w:val="1"/>
      <w:numFmt w:val="bullet"/>
      <w:suff w:val="tab"/>
      <w:lvlText w:val="·"/>
      <w:lvlJc w:val="left"/>
      <w:pPr>
        <w:ind w:hanging="360" w:left="2160"/>
      </w:pPr>
      <w:rPr>
        <w:rFonts w:ascii="Symbol" w:hAnsi="Symbol"/>
      </w:rPr>
    </w:lvl>
    <w:lvl w:ilvl="3" w:tplc="43A1597D">
      <w:start w:val="1"/>
      <w:numFmt w:val="bullet"/>
      <w:suff w:val="tab"/>
      <w:lvlText w:val="o"/>
      <w:lvlJc w:val="left"/>
      <w:pPr>
        <w:ind w:hanging="360" w:left="2880"/>
      </w:pPr>
      <w:rPr>
        <w:rFonts w:ascii="Symbol" w:hAnsi="Symbol"/>
      </w:rPr>
    </w:lvl>
    <w:lvl w:ilvl="4" w:tplc="02BFF63B">
      <w:start w:val="1"/>
      <w:numFmt w:val="bullet"/>
      <w:suff w:val="tab"/>
      <w:lvlText w:val="·"/>
      <w:lvlJc w:val="left"/>
      <w:pPr>
        <w:ind w:hanging="360" w:left="3600"/>
      </w:pPr>
      <w:rPr>
        <w:rFonts w:ascii="Symbol" w:hAnsi="Symbol"/>
      </w:rPr>
    </w:lvl>
    <w:lvl w:ilvl="5" w:tplc="65CB30B4">
      <w:start w:val="1"/>
      <w:numFmt w:val="bullet"/>
      <w:suff w:val="tab"/>
      <w:lvlText w:val="o"/>
      <w:lvlJc w:val="left"/>
      <w:pPr>
        <w:ind w:hanging="360" w:left="4320"/>
      </w:pPr>
      <w:rPr>
        <w:rFonts w:ascii="Symbol" w:hAnsi="Symbol"/>
      </w:rPr>
    </w:lvl>
    <w:lvl w:ilvl="6" w:tplc="57EE1B4F">
      <w:start w:val="1"/>
      <w:numFmt w:val="bullet"/>
      <w:suff w:val="tab"/>
      <w:lvlText w:val="·"/>
      <w:lvlJc w:val="left"/>
      <w:pPr>
        <w:ind w:hanging="360" w:left="5040"/>
      </w:pPr>
      <w:rPr>
        <w:rFonts w:ascii="Symbol" w:hAnsi="Symbol"/>
      </w:rPr>
    </w:lvl>
    <w:lvl w:ilvl="7" w:tplc="65F2F1AA">
      <w:start w:val="1"/>
      <w:numFmt w:val="bullet"/>
      <w:suff w:val="tab"/>
      <w:lvlText w:val="o"/>
      <w:lvlJc w:val="left"/>
      <w:pPr>
        <w:ind w:hanging="360" w:left="5760"/>
      </w:pPr>
      <w:rPr>
        <w:rFonts w:ascii="Symbol" w:hAnsi="Symbol"/>
      </w:rPr>
    </w:lvl>
    <w:lvl w:ilvl="8" w:tplc="1345B40F">
      <w:start w:val="1"/>
      <w:numFmt w:val="bullet"/>
      <w:suff w:val="tab"/>
      <w:lvlText w:val="·"/>
      <w:lvlJc w:val="left"/>
      <w:pPr>
        <w:ind w:hanging="360" w:left="6480"/>
      </w:pPr>
      <w:rPr>
        <w:rFonts w:ascii="Symbol" w:hAnsi="Symbol"/>
      </w:rPr>
    </w:lvl>
  </w:abstractNum>
  <w:abstractNum w:abstractNumId="79">
    <w:nsid w:val="53B27C94"/>
    <w:multiLevelType w:val="hybridMultilevel"/>
    <w:lvl w:ilvl="0" w:tplc="31A6ECC7">
      <w:start w:val="1"/>
      <w:numFmt w:val="bullet"/>
      <w:suff w:val="tab"/>
      <w:lvlText w:val="·"/>
      <w:lvlJc w:val="left"/>
      <w:pPr>
        <w:ind w:hanging="360" w:left="720"/>
      </w:pPr>
      <w:rPr>
        <w:rFonts w:ascii="Symbol" w:hAnsi="Symbol" w:cs="Symbol" w:eastAsia="Symbol"/>
      </w:rPr>
    </w:lvl>
    <w:lvl w:ilvl="1" w:tplc="0A2AE29F">
      <w:start w:val="1"/>
      <w:numFmt w:val="bullet"/>
      <w:suff w:val="tab"/>
      <w:lvlText w:val="o"/>
      <w:lvlJc w:val="left"/>
      <w:pPr>
        <w:ind w:hanging="360" w:left="1440"/>
      </w:pPr>
      <w:rPr>
        <w:rFonts w:ascii="Symbol" w:hAnsi="Symbol"/>
      </w:rPr>
    </w:lvl>
    <w:lvl w:ilvl="2" w:tplc="6327356A">
      <w:start w:val="1"/>
      <w:numFmt w:val="bullet"/>
      <w:suff w:val="tab"/>
      <w:lvlText w:val="·"/>
      <w:lvlJc w:val="left"/>
      <w:pPr>
        <w:ind w:hanging="360" w:left="2160"/>
      </w:pPr>
      <w:rPr>
        <w:rFonts w:ascii="Symbol" w:hAnsi="Symbol"/>
      </w:rPr>
    </w:lvl>
    <w:lvl w:ilvl="3" w:tplc="6C570B0C">
      <w:start w:val="1"/>
      <w:numFmt w:val="bullet"/>
      <w:suff w:val="tab"/>
      <w:lvlText w:val="o"/>
      <w:lvlJc w:val="left"/>
      <w:pPr>
        <w:ind w:hanging="360" w:left="2880"/>
      </w:pPr>
      <w:rPr>
        <w:rFonts w:ascii="Symbol" w:hAnsi="Symbol"/>
      </w:rPr>
    </w:lvl>
    <w:lvl w:ilvl="4" w:tplc="35B37E33">
      <w:start w:val="1"/>
      <w:numFmt w:val="bullet"/>
      <w:suff w:val="tab"/>
      <w:lvlText w:val="·"/>
      <w:lvlJc w:val="left"/>
      <w:pPr>
        <w:ind w:hanging="360" w:left="3600"/>
      </w:pPr>
      <w:rPr>
        <w:rFonts w:ascii="Symbol" w:hAnsi="Symbol"/>
      </w:rPr>
    </w:lvl>
    <w:lvl w:ilvl="5" w:tplc="694B6B46">
      <w:start w:val="1"/>
      <w:numFmt w:val="bullet"/>
      <w:suff w:val="tab"/>
      <w:lvlText w:val="o"/>
      <w:lvlJc w:val="left"/>
      <w:pPr>
        <w:ind w:hanging="360" w:left="4320"/>
      </w:pPr>
      <w:rPr>
        <w:rFonts w:ascii="Symbol" w:hAnsi="Symbol"/>
      </w:rPr>
    </w:lvl>
    <w:lvl w:ilvl="6" w:tplc="1F91D8AF">
      <w:start w:val="1"/>
      <w:numFmt w:val="bullet"/>
      <w:suff w:val="tab"/>
      <w:lvlText w:val="·"/>
      <w:lvlJc w:val="left"/>
      <w:pPr>
        <w:ind w:hanging="360" w:left="5040"/>
      </w:pPr>
      <w:rPr>
        <w:rFonts w:ascii="Symbol" w:hAnsi="Symbol"/>
      </w:rPr>
    </w:lvl>
    <w:lvl w:ilvl="7" w:tplc="2F10043C">
      <w:start w:val="1"/>
      <w:numFmt w:val="bullet"/>
      <w:suff w:val="tab"/>
      <w:lvlText w:val="o"/>
      <w:lvlJc w:val="left"/>
      <w:pPr>
        <w:ind w:hanging="360" w:left="5760"/>
      </w:pPr>
      <w:rPr>
        <w:rFonts w:ascii="Symbol" w:hAnsi="Symbol"/>
      </w:rPr>
    </w:lvl>
    <w:lvl w:ilvl="8" w:tplc="07034F0E">
      <w:start w:val="1"/>
      <w:numFmt w:val="bullet"/>
      <w:suff w:val="tab"/>
      <w:lvlText w:val="·"/>
      <w:lvlJc w:val="left"/>
      <w:pPr>
        <w:ind w:hanging="360" w:left="6480"/>
      </w:pPr>
      <w:rPr>
        <w:rFonts w:ascii="Symbol" w:hAnsi="Symbol"/>
      </w:rPr>
    </w:lvl>
  </w:abstractNum>
  <w:abstractNum w:abstractNumId="80">
    <w:nsid w:val="58B2D6AB"/>
    <w:multiLevelType w:val="hybridMultilevel"/>
    <w:lvl w:ilvl="0" w:tplc="51E2CB74">
      <w:start w:val="1"/>
      <w:numFmt w:val="bullet"/>
      <w:suff w:val="tab"/>
      <w:lvlText w:val="·"/>
      <w:lvlJc w:val="left"/>
      <w:pPr>
        <w:ind w:hanging="360" w:left="720"/>
      </w:pPr>
      <w:rPr>
        <w:rFonts w:ascii="Symbol" w:hAnsi="Symbol" w:cs="Symbol" w:eastAsia="Symbol"/>
      </w:rPr>
    </w:lvl>
    <w:lvl w:ilvl="1" w:tplc="7667241A">
      <w:start w:val="1"/>
      <w:numFmt w:val="bullet"/>
      <w:suff w:val="tab"/>
      <w:lvlText w:val="o"/>
      <w:lvlJc w:val="left"/>
      <w:pPr>
        <w:ind w:hanging="360" w:left="1440"/>
      </w:pPr>
      <w:rPr>
        <w:rFonts w:ascii="Symbol" w:hAnsi="Symbol"/>
      </w:rPr>
    </w:lvl>
    <w:lvl w:ilvl="2" w:tplc="7F1888E9">
      <w:start w:val="1"/>
      <w:numFmt w:val="bullet"/>
      <w:suff w:val="tab"/>
      <w:lvlText w:val="·"/>
      <w:lvlJc w:val="left"/>
      <w:pPr>
        <w:ind w:hanging="360" w:left="2160"/>
      </w:pPr>
      <w:rPr>
        <w:rFonts w:ascii="Symbol" w:hAnsi="Symbol"/>
      </w:rPr>
    </w:lvl>
    <w:lvl w:ilvl="3" w:tplc="70EA9505">
      <w:start w:val="1"/>
      <w:numFmt w:val="bullet"/>
      <w:suff w:val="tab"/>
      <w:lvlText w:val="o"/>
      <w:lvlJc w:val="left"/>
      <w:pPr>
        <w:ind w:hanging="360" w:left="2880"/>
      </w:pPr>
      <w:rPr>
        <w:rFonts w:ascii="Symbol" w:hAnsi="Symbol"/>
      </w:rPr>
    </w:lvl>
    <w:lvl w:ilvl="4" w:tplc="27A2136D">
      <w:start w:val="1"/>
      <w:numFmt w:val="bullet"/>
      <w:suff w:val="tab"/>
      <w:lvlText w:val="·"/>
      <w:lvlJc w:val="left"/>
      <w:pPr>
        <w:ind w:hanging="360" w:left="3600"/>
      </w:pPr>
      <w:rPr>
        <w:rFonts w:ascii="Symbol" w:hAnsi="Symbol"/>
      </w:rPr>
    </w:lvl>
    <w:lvl w:ilvl="5" w:tplc="3653AECF">
      <w:start w:val="1"/>
      <w:numFmt w:val="bullet"/>
      <w:suff w:val="tab"/>
      <w:lvlText w:val="o"/>
      <w:lvlJc w:val="left"/>
      <w:pPr>
        <w:ind w:hanging="360" w:left="4320"/>
      </w:pPr>
      <w:rPr>
        <w:rFonts w:ascii="Symbol" w:hAnsi="Symbol"/>
      </w:rPr>
    </w:lvl>
    <w:lvl w:ilvl="6" w:tplc="2C9B9240">
      <w:start w:val="1"/>
      <w:numFmt w:val="bullet"/>
      <w:suff w:val="tab"/>
      <w:lvlText w:val="·"/>
      <w:lvlJc w:val="left"/>
      <w:pPr>
        <w:ind w:hanging="360" w:left="5040"/>
      </w:pPr>
      <w:rPr>
        <w:rFonts w:ascii="Symbol" w:hAnsi="Symbol"/>
      </w:rPr>
    </w:lvl>
    <w:lvl w:ilvl="7" w:tplc="3DA4AD76">
      <w:start w:val="1"/>
      <w:numFmt w:val="bullet"/>
      <w:suff w:val="tab"/>
      <w:lvlText w:val="o"/>
      <w:lvlJc w:val="left"/>
      <w:pPr>
        <w:ind w:hanging="360" w:left="5760"/>
      </w:pPr>
      <w:rPr>
        <w:rFonts w:ascii="Symbol" w:hAnsi="Symbol"/>
      </w:rPr>
    </w:lvl>
    <w:lvl w:ilvl="8" w:tplc="4D2CF3CC">
      <w:start w:val="1"/>
      <w:numFmt w:val="bullet"/>
      <w:suff w:val="tab"/>
      <w:lvlText w:val="·"/>
      <w:lvlJc w:val="left"/>
      <w:pPr>
        <w:ind w:hanging="360" w:left="6480"/>
      </w:pPr>
      <w:rPr>
        <w:rFonts w:ascii="Symbol" w:hAnsi="Symbol"/>
      </w:rPr>
    </w:lvl>
  </w:abstractNum>
  <w:abstractNum w:abstractNumId="81">
    <w:nsid w:val="4D550FE6"/>
    <w:multiLevelType w:val="hybridMultilevel"/>
    <w:lvl w:ilvl="0" w:tplc="464C3E3C">
      <w:start w:val="1"/>
      <w:numFmt w:val="bullet"/>
      <w:suff w:val="tab"/>
      <w:lvlText w:val="·"/>
      <w:lvlJc w:val="left"/>
      <w:pPr>
        <w:ind w:hanging="360" w:left="720"/>
      </w:pPr>
      <w:rPr>
        <w:rFonts w:ascii="Symbol" w:hAnsi="Symbol" w:cs="Symbol" w:eastAsia="Symbol"/>
      </w:rPr>
    </w:lvl>
    <w:lvl w:ilvl="1" w:tplc="45D7FDF1">
      <w:start w:val="1"/>
      <w:numFmt w:val="bullet"/>
      <w:suff w:val="tab"/>
      <w:lvlText w:val="o"/>
      <w:lvlJc w:val="left"/>
      <w:pPr>
        <w:ind w:hanging="360" w:left="1440"/>
      </w:pPr>
      <w:rPr>
        <w:rFonts w:ascii="Symbol" w:hAnsi="Symbol"/>
      </w:rPr>
    </w:lvl>
    <w:lvl w:ilvl="2" w:tplc="7023B070">
      <w:start w:val="1"/>
      <w:numFmt w:val="bullet"/>
      <w:suff w:val="tab"/>
      <w:lvlText w:val="·"/>
      <w:lvlJc w:val="left"/>
      <w:pPr>
        <w:ind w:hanging="360" w:left="2160"/>
      </w:pPr>
      <w:rPr>
        <w:rFonts w:ascii="Symbol" w:hAnsi="Symbol"/>
      </w:rPr>
    </w:lvl>
    <w:lvl w:ilvl="3" w:tplc="3D926CDF">
      <w:start w:val="1"/>
      <w:numFmt w:val="bullet"/>
      <w:suff w:val="tab"/>
      <w:lvlText w:val="o"/>
      <w:lvlJc w:val="left"/>
      <w:pPr>
        <w:ind w:hanging="360" w:left="2880"/>
      </w:pPr>
      <w:rPr>
        <w:rFonts w:ascii="Symbol" w:hAnsi="Symbol"/>
      </w:rPr>
    </w:lvl>
    <w:lvl w:ilvl="4" w:tplc="6F7EC9C7">
      <w:start w:val="1"/>
      <w:numFmt w:val="bullet"/>
      <w:suff w:val="tab"/>
      <w:lvlText w:val="·"/>
      <w:lvlJc w:val="left"/>
      <w:pPr>
        <w:ind w:hanging="360" w:left="3600"/>
      </w:pPr>
      <w:rPr>
        <w:rFonts w:ascii="Symbol" w:hAnsi="Symbol"/>
      </w:rPr>
    </w:lvl>
    <w:lvl w:ilvl="5" w:tplc="52CC4352">
      <w:start w:val="1"/>
      <w:numFmt w:val="bullet"/>
      <w:suff w:val="tab"/>
      <w:lvlText w:val="o"/>
      <w:lvlJc w:val="left"/>
      <w:pPr>
        <w:ind w:hanging="360" w:left="4320"/>
      </w:pPr>
      <w:rPr>
        <w:rFonts w:ascii="Symbol" w:hAnsi="Symbol"/>
      </w:rPr>
    </w:lvl>
    <w:lvl w:ilvl="6" w:tplc="7B2DB373">
      <w:start w:val="1"/>
      <w:numFmt w:val="bullet"/>
      <w:suff w:val="tab"/>
      <w:lvlText w:val="·"/>
      <w:lvlJc w:val="left"/>
      <w:pPr>
        <w:ind w:hanging="360" w:left="5040"/>
      </w:pPr>
      <w:rPr>
        <w:rFonts w:ascii="Symbol" w:hAnsi="Symbol"/>
      </w:rPr>
    </w:lvl>
    <w:lvl w:ilvl="7" w:tplc="7A16BDC5">
      <w:start w:val="1"/>
      <w:numFmt w:val="bullet"/>
      <w:suff w:val="tab"/>
      <w:lvlText w:val="o"/>
      <w:lvlJc w:val="left"/>
      <w:pPr>
        <w:ind w:hanging="360" w:left="5760"/>
      </w:pPr>
      <w:rPr>
        <w:rFonts w:ascii="Symbol" w:hAnsi="Symbol"/>
      </w:rPr>
    </w:lvl>
    <w:lvl w:ilvl="8" w:tplc="756F9D96">
      <w:start w:val="1"/>
      <w:numFmt w:val="bullet"/>
      <w:suff w:val="tab"/>
      <w:lvlText w:val="·"/>
      <w:lvlJc w:val="left"/>
      <w:pPr>
        <w:ind w:hanging="360" w:left="6480"/>
      </w:pPr>
      <w:rPr>
        <w:rFonts w:ascii="Symbol" w:hAnsi="Symbol"/>
      </w:rPr>
    </w:lvl>
  </w:abstractNum>
  <w:abstractNum w:abstractNumId="82">
    <w:nsid w:val="0F24851D"/>
    <w:multiLevelType w:val="hybridMultilevel"/>
    <w:lvl w:ilvl="0" w:tplc="6E1CEE49">
      <w:start w:val="1"/>
      <w:numFmt w:val="bullet"/>
      <w:suff w:val="tab"/>
      <w:lvlText w:val="·"/>
      <w:lvlJc w:val="left"/>
      <w:pPr>
        <w:ind w:hanging="360" w:left="720"/>
      </w:pPr>
      <w:rPr>
        <w:rFonts w:ascii="Symbol" w:hAnsi="Symbol" w:cs="Symbol" w:eastAsia="Symbol"/>
      </w:rPr>
    </w:lvl>
    <w:lvl w:ilvl="1" w:tplc="15F16E5D">
      <w:start w:val="1"/>
      <w:numFmt w:val="bullet"/>
      <w:suff w:val="tab"/>
      <w:lvlText w:val="o"/>
      <w:lvlJc w:val="left"/>
      <w:pPr>
        <w:ind w:hanging="360" w:left="1440"/>
      </w:pPr>
      <w:rPr>
        <w:rFonts w:ascii="Symbol" w:hAnsi="Symbol"/>
      </w:rPr>
    </w:lvl>
    <w:lvl w:ilvl="2" w:tplc="7D6F45F2">
      <w:start w:val="1"/>
      <w:numFmt w:val="bullet"/>
      <w:suff w:val="tab"/>
      <w:lvlText w:val="·"/>
      <w:lvlJc w:val="left"/>
      <w:pPr>
        <w:ind w:hanging="360" w:left="2160"/>
      </w:pPr>
      <w:rPr>
        <w:rFonts w:ascii="Symbol" w:hAnsi="Symbol"/>
      </w:rPr>
    </w:lvl>
    <w:lvl w:ilvl="3" w:tplc="26D5FC87">
      <w:start w:val="1"/>
      <w:numFmt w:val="bullet"/>
      <w:suff w:val="tab"/>
      <w:lvlText w:val="o"/>
      <w:lvlJc w:val="left"/>
      <w:pPr>
        <w:ind w:hanging="360" w:left="2880"/>
      </w:pPr>
      <w:rPr>
        <w:rFonts w:ascii="Symbol" w:hAnsi="Symbol"/>
      </w:rPr>
    </w:lvl>
    <w:lvl w:ilvl="4" w:tplc="7BEB6393">
      <w:start w:val="1"/>
      <w:numFmt w:val="bullet"/>
      <w:suff w:val="tab"/>
      <w:lvlText w:val="·"/>
      <w:lvlJc w:val="left"/>
      <w:pPr>
        <w:ind w:hanging="360" w:left="3600"/>
      </w:pPr>
      <w:rPr>
        <w:rFonts w:ascii="Symbol" w:hAnsi="Symbol"/>
      </w:rPr>
    </w:lvl>
    <w:lvl w:ilvl="5" w:tplc="520C220E">
      <w:start w:val="1"/>
      <w:numFmt w:val="bullet"/>
      <w:suff w:val="tab"/>
      <w:lvlText w:val="o"/>
      <w:lvlJc w:val="left"/>
      <w:pPr>
        <w:ind w:hanging="360" w:left="4320"/>
      </w:pPr>
      <w:rPr>
        <w:rFonts w:ascii="Symbol" w:hAnsi="Symbol"/>
      </w:rPr>
    </w:lvl>
    <w:lvl w:ilvl="6" w:tplc="04A8E4F1">
      <w:start w:val="1"/>
      <w:numFmt w:val="bullet"/>
      <w:suff w:val="tab"/>
      <w:lvlText w:val="·"/>
      <w:lvlJc w:val="left"/>
      <w:pPr>
        <w:ind w:hanging="360" w:left="5040"/>
      </w:pPr>
      <w:rPr>
        <w:rFonts w:ascii="Symbol" w:hAnsi="Symbol"/>
      </w:rPr>
    </w:lvl>
    <w:lvl w:ilvl="7" w:tplc="731B94BA">
      <w:start w:val="1"/>
      <w:numFmt w:val="bullet"/>
      <w:suff w:val="tab"/>
      <w:lvlText w:val="o"/>
      <w:lvlJc w:val="left"/>
      <w:pPr>
        <w:ind w:hanging="360" w:left="5760"/>
      </w:pPr>
      <w:rPr>
        <w:rFonts w:ascii="Symbol" w:hAnsi="Symbol"/>
      </w:rPr>
    </w:lvl>
    <w:lvl w:ilvl="8" w:tplc="06A38740">
      <w:start w:val="1"/>
      <w:numFmt w:val="bullet"/>
      <w:suff w:val="tab"/>
      <w:lvlText w:val="·"/>
      <w:lvlJc w:val="left"/>
      <w:pPr>
        <w:ind w:hanging="360" w:left="6480"/>
      </w:pPr>
      <w:rPr>
        <w:rFonts w:ascii="Symbol" w:hAnsi="Symbol"/>
      </w:rPr>
    </w:lvl>
  </w:abstractNum>
  <w:abstractNum w:abstractNumId="83">
    <w:nsid w:val="0DA01996"/>
    <w:multiLevelType w:val="hybridMultilevel"/>
    <w:lvl w:ilvl="0" w:tplc="7485F72D">
      <w:start w:val="1"/>
      <w:numFmt w:val="bullet"/>
      <w:suff w:val="tab"/>
      <w:lvlText w:val="·"/>
      <w:lvlJc w:val="left"/>
      <w:pPr>
        <w:ind w:hanging="360" w:left="720"/>
      </w:pPr>
      <w:rPr>
        <w:rFonts w:ascii="Symbol" w:hAnsi="Symbol" w:cs="Symbol" w:eastAsia="Symbol"/>
      </w:rPr>
    </w:lvl>
    <w:lvl w:ilvl="1" w:tplc="2F1F28E9">
      <w:start w:val="1"/>
      <w:numFmt w:val="bullet"/>
      <w:suff w:val="tab"/>
      <w:lvlText w:val="o"/>
      <w:lvlJc w:val="left"/>
      <w:pPr>
        <w:ind w:hanging="360" w:left="1440"/>
      </w:pPr>
      <w:rPr>
        <w:rFonts w:ascii="Symbol" w:hAnsi="Symbol"/>
      </w:rPr>
    </w:lvl>
    <w:lvl w:ilvl="2" w:tplc="0BF3689D">
      <w:start w:val="1"/>
      <w:numFmt w:val="bullet"/>
      <w:suff w:val="tab"/>
      <w:lvlText w:val="·"/>
      <w:lvlJc w:val="left"/>
      <w:pPr>
        <w:ind w:hanging="360" w:left="2160"/>
      </w:pPr>
      <w:rPr>
        <w:rFonts w:ascii="Symbol" w:hAnsi="Symbol"/>
      </w:rPr>
    </w:lvl>
    <w:lvl w:ilvl="3" w:tplc="2E6924DB">
      <w:start w:val="1"/>
      <w:numFmt w:val="bullet"/>
      <w:suff w:val="tab"/>
      <w:lvlText w:val="o"/>
      <w:lvlJc w:val="left"/>
      <w:pPr>
        <w:ind w:hanging="360" w:left="2880"/>
      </w:pPr>
      <w:rPr>
        <w:rFonts w:ascii="Symbol" w:hAnsi="Symbol"/>
      </w:rPr>
    </w:lvl>
    <w:lvl w:ilvl="4" w:tplc="29E42CEF">
      <w:start w:val="1"/>
      <w:numFmt w:val="bullet"/>
      <w:suff w:val="tab"/>
      <w:lvlText w:val="·"/>
      <w:lvlJc w:val="left"/>
      <w:pPr>
        <w:ind w:hanging="360" w:left="3600"/>
      </w:pPr>
      <w:rPr>
        <w:rFonts w:ascii="Symbol" w:hAnsi="Symbol"/>
      </w:rPr>
    </w:lvl>
    <w:lvl w:ilvl="5" w:tplc="4FC09728">
      <w:start w:val="1"/>
      <w:numFmt w:val="bullet"/>
      <w:suff w:val="tab"/>
      <w:lvlText w:val="o"/>
      <w:lvlJc w:val="left"/>
      <w:pPr>
        <w:ind w:hanging="360" w:left="4320"/>
      </w:pPr>
      <w:rPr>
        <w:rFonts w:ascii="Symbol" w:hAnsi="Symbol"/>
      </w:rPr>
    </w:lvl>
    <w:lvl w:ilvl="6" w:tplc="783411EB">
      <w:start w:val="1"/>
      <w:numFmt w:val="bullet"/>
      <w:suff w:val="tab"/>
      <w:lvlText w:val="·"/>
      <w:lvlJc w:val="left"/>
      <w:pPr>
        <w:ind w:hanging="360" w:left="5040"/>
      </w:pPr>
      <w:rPr>
        <w:rFonts w:ascii="Symbol" w:hAnsi="Symbol"/>
      </w:rPr>
    </w:lvl>
    <w:lvl w:ilvl="7" w:tplc="6F5765FC">
      <w:start w:val="1"/>
      <w:numFmt w:val="bullet"/>
      <w:suff w:val="tab"/>
      <w:lvlText w:val="o"/>
      <w:lvlJc w:val="left"/>
      <w:pPr>
        <w:ind w:hanging="360" w:left="5760"/>
      </w:pPr>
      <w:rPr>
        <w:rFonts w:ascii="Symbol" w:hAnsi="Symbol"/>
      </w:rPr>
    </w:lvl>
    <w:lvl w:ilvl="8" w:tplc="418ACE2A">
      <w:start w:val="1"/>
      <w:numFmt w:val="bullet"/>
      <w:suff w:val="tab"/>
      <w:lvlText w:val="·"/>
      <w:lvlJc w:val="left"/>
      <w:pPr>
        <w:ind w:hanging="360" w:left="6480"/>
      </w:pPr>
      <w:rPr>
        <w:rFonts w:ascii="Symbol" w:hAnsi="Symbol"/>
      </w:rPr>
    </w:lvl>
  </w:abstractNum>
  <w:abstractNum w:abstractNumId="84">
    <w:nsid w:val="2FBC8079"/>
    <w:multiLevelType w:val="hybridMultilevel"/>
    <w:lvl w:ilvl="0" w:tplc="66121BFE">
      <w:start w:val="1"/>
      <w:numFmt w:val="bullet"/>
      <w:suff w:val="tab"/>
      <w:lvlText w:val="·"/>
      <w:lvlJc w:val="left"/>
      <w:pPr>
        <w:ind w:hanging="360" w:left="720"/>
      </w:pPr>
      <w:rPr>
        <w:rFonts w:ascii="Symbol" w:hAnsi="Symbol" w:cs="Symbol" w:eastAsia="Symbol"/>
      </w:rPr>
    </w:lvl>
    <w:lvl w:ilvl="1" w:tplc="723C4B38">
      <w:start w:val="1"/>
      <w:numFmt w:val="bullet"/>
      <w:suff w:val="tab"/>
      <w:lvlText w:val="o"/>
      <w:lvlJc w:val="left"/>
      <w:pPr>
        <w:ind w:hanging="360" w:left="1440"/>
      </w:pPr>
      <w:rPr>
        <w:rFonts w:ascii="Symbol" w:hAnsi="Symbol"/>
      </w:rPr>
    </w:lvl>
    <w:lvl w:ilvl="2" w:tplc="39E67026">
      <w:start w:val="1"/>
      <w:numFmt w:val="bullet"/>
      <w:suff w:val="tab"/>
      <w:lvlText w:val="·"/>
      <w:lvlJc w:val="left"/>
      <w:pPr>
        <w:ind w:hanging="360" w:left="2160"/>
      </w:pPr>
      <w:rPr>
        <w:rFonts w:ascii="Symbol" w:hAnsi="Symbol"/>
      </w:rPr>
    </w:lvl>
    <w:lvl w:ilvl="3" w:tplc="008C583D">
      <w:start w:val="1"/>
      <w:numFmt w:val="bullet"/>
      <w:suff w:val="tab"/>
      <w:lvlText w:val="o"/>
      <w:lvlJc w:val="left"/>
      <w:pPr>
        <w:ind w:hanging="360" w:left="2880"/>
      </w:pPr>
      <w:rPr>
        <w:rFonts w:ascii="Symbol" w:hAnsi="Symbol"/>
      </w:rPr>
    </w:lvl>
    <w:lvl w:ilvl="4" w:tplc="47697009">
      <w:start w:val="1"/>
      <w:numFmt w:val="bullet"/>
      <w:suff w:val="tab"/>
      <w:lvlText w:val="·"/>
      <w:lvlJc w:val="left"/>
      <w:pPr>
        <w:ind w:hanging="360" w:left="3600"/>
      </w:pPr>
      <w:rPr>
        <w:rFonts w:ascii="Symbol" w:hAnsi="Symbol"/>
      </w:rPr>
    </w:lvl>
    <w:lvl w:ilvl="5" w:tplc="51370F63">
      <w:start w:val="1"/>
      <w:numFmt w:val="bullet"/>
      <w:suff w:val="tab"/>
      <w:lvlText w:val="o"/>
      <w:lvlJc w:val="left"/>
      <w:pPr>
        <w:ind w:hanging="360" w:left="4320"/>
      </w:pPr>
      <w:rPr>
        <w:rFonts w:ascii="Symbol" w:hAnsi="Symbol"/>
      </w:rPr>
    </w:lvl>
    <w:lvl w:ilvl="6" w:tplc="62BFEE39">
      <w:start w:val="1"/>
      <w:numFmt w:val="bullet"/>
      <w:suff w:val="tab"/>
      <w:lvlText w:val="·"/>
      <w:lvlJc w:val="left"/>
      <w:pPr>
        <w:ind w:hanging="360" w:left="5040"/>
      </w:pPr>
      <w:rPr>
        <w:rFonts w:ascii="Symbol" w:hAnsi="Symbol"/>
      </w:rPr>
    </w:lvl>
    <w:lvl w:ilvl="7" w:tplc="3C313677">
      <w:start w:val="1"/>
      <w:numFmt w:val="bullet"/>
      <w:suff w:val="tab"/>
      <w:lvlText w:val="o"/>
      <w:lvlJc w:val="left"/>
      <w:pPr>
        <w:ind w:hanging="360" w:left="5760"/>
      </w:pPr>
      <w:rPr>
        <w:rFonts w:ascii="Symbol" w:hAnsi="Symbol"/>
      </w:rPr>
    </w:lvl>
    <w:lvl w:ilvl="8" w:tplc="244A0984">
      <w:start w:val="1"/>
      <w:numFmt w:val="bullet"/>
      <w:suff w:val="tab"/>
      <w:lvlText w:val="·"/>
      <w:lvlJc w:val="left"/>
      <w:pPr>
        <w:ind w:hanging="360" w:left="6480"/>
      </w:pPr>
      <w:rPr>
        <w:rFonts w:ascii="Symbol" w:hAnsi="Symbol"/>
      </w:rPr>
    </w:lvl>
  </w:abstractNum>
  <w:abstractNum w:abstractNumId="85">
    <w:nsid w:val="76A24A08"/>
    <w:multiLevelType w:val="hybridMultilevel"/>
    <w:lvl w:ilvl="0" w:tplc="46EB3EAA">
      <w:start w:val="1"/>
      <w:numFmt w:val="bullet"/>
      <w:suff w:val="tab"/>
      <w:lvlText w:val="·"/>
      <w:lvlJc w:val="left"/>
      <w:pPr>
        <w:ind w:hanging="360" w:left="720"/>
      </w:pPr>
      <w:rPr>
        <w:rFonts w:ascii="Symbol" w:hAnsi="Symbol" w:cs="Symbol" w:eastAsia="Symbol"/>
      </w:rPr>
    </w:lvl>
    <w:lvl w:ilvl="1" w:tplc="6AAD9CE3">
      <w:start w:val="1"/>
      <w:numFmt w:val="bullet"/>
      <w:suff w:val="tab"/>
      <w:lvlText w:val="o"/>
      <w:lvlJc w:val="left"/>
      <w:pPr>
        <w:ind w:hanging="360" w:left="1440"/>
      </w:pPr>
      <w:rPr>
        <w:rFonts w:ascii="Symbol" w:hAnsi="Symbol"/>
      </w:rPr>
    </w:lvl>
    <w:lvl w:ilvl="2" w:tplc="63EB582A">
      <w:start w:val="1"/>
      <w:numFmt w:val="bullet"/>
      <w:suff w:val="tab"/>
      <w:lvlText w:val="·"/>
      <w:lvlJc w:val="left"/>
      <w:pPr>
        <w:ind w:hanging="360" w:left="2160"/>
      </w:pPr>
      <w:rPr>
        <w:rFonts w:ascii="Symbol" w:hAnsi="Symbol"/>
      </w:rPr>
    </w:lvl>
    <w:lvl w:ilvl="3" w:tplc="1CB2F919">
      <w:start w:val="1"/>
      <w:numFmt w:val="bullet"/>
      <w:suff w:val="tab"/>
      <w:lvlText w:val="o"/>
      <w:lvlJc w:val="left"/>
      <w:pPr>
        <w:ind w:hanging="360" w:left="2880"/>
      </w:pPr>
      <w:rPr>
        <w:rFonts w:ascii="Symbol" w:hAnsi="Symbol"/>
      </w:rPr>
    </w:lvl>
    <w:lvl w:ilvl="4" w:tplc="3ACA8D56">
      <w:start w:val="1"/>
      <w:numFmt w:val="bullet"/>
      <w:suff w:val="tab"/>
      <w:lvlText w:val="·"/>
      <w:lvlJc w:val="left"/>
      <w:pPr>
        <w:ind w:hanging="360" w:left="3600"/>
      </w:pPr>
      <w:rPr>
        <w:rFonts w:ascii="Symbol" w:hAnsi="Symbol"/>
      </w:rPr>
    </w:lvl>
    <w:lvl w:ilvl="5" w:tplc="1B6F2B9F">
      <w:start w:val="1"/>
      <w:numFmt w:val="bullet"/>
      <w:suff w:val="tab"/>
      <w:lvlText w:val="o"/>
      <w:lvlJc w:val="left"/>
      <w:pPr>
        <w:ind w:hanging="360" w:left="4320"/>
      </w:pPr>
      <w:rPr>
        <w:rFonts w:ascii="Symbol" w:hAnsi="Symbol"/>
      </w:rPr>
    </w:lvl>
    <w:lvl w:ilvl="6" w:tplc="0E5B27BB">
      <w:start w:val="1"/>
      <w:numFmt w:val="bullet"/>
      <w:suff w:val="tab"/>
      <w:lvlText w:val="·"/>
      <w:lvlJc w:val="left"/>
      <w:pPr>
        <w:ind w:hanging="360" w:left="5040"/>
      </w:pPr>
      <w:rPr>
        <w:rFonts w:ascii="Symbol" w:hAnsi="Symbol"/>
      </w:rPr>
    </w:lvl>
    <w:lvl w:ilvl="7" w:tplc="121728F4">
      <w:start w:val="1"/>
      <w:numFmt w:val="bullet"/>
      <w:suff w:val="tab"/>
      <w:lvlText w:val="o"/>
      <w:lvlJc w:val="left"/>
      <w:pPr>
        <w:ind w:hanging="360" w:left="5760"/>
      </w:pPr>
      <w:rPr>
        <w:rFonts w:ascii="Symbol" w:hAnsi="Symbol"/>
      </w:rPr>
    </w:lvl>
    <w:lvl w:ilvl="8" w:tplc="7B5E65B2">
      <w:start w:val="1"/>
      <w:numFmt w:val="bullet"/>
      <w:suff w:val="tab"/>
      <w:lvlText w:val="·"/>
      <w:lvlJc w:val="left"/>
      <w:pPr>
        <w:ind w:hanging="360" w:left="6480"/>
      </w:pPr>
      <w:rPr>
        <w:rFonts w:ascii="Symbol" w:hAnsi="Symbol"/>
      </w:rPr>
    </w:lvl>
  </w:abstractNum>
  <w:abstractNum w:abstractNumId="86">
    <w:nsid w:val="1D8C07C9"/>
    <w:multiLevelType w:val="hybridMultilevel"/>
    <w:lvl w:ilvl="0" w:tplc="126A9431">
      <w:start w:val="1"/>
      <w:numFmt w:val="bullet"/>
      <w:suff w:val="tab"/>
      <w:lvlText w:val="·"/>
      <w:lvlJc w:val="left"/>
      <w:pPr>
        <w:ind w:hanging="360" w:left="720"/>
      </w:pPr>
      <w:rPr>
        <w:rFonts w:ascii="Symbol" w:hAnsi="Symbol" w:cs="Symbol" w:eastAsia="Symbol"/>
      </w:rPr>
    </w:lvl>
    <w:lvl w:ilvl="1" w:tplc="1D53FD16">
      <w:start w:val="1"/>
      <w:numFmt w:val="bullet"/>
      <w:suff w:val="tab"/>
      <w:lvlText w:val="o"/>
      <w:lvlJc w:val="left"/>
      <w:pPr>
        <w:ind w:hanging="360" w:left="1440"/>
      </w:pPr>
      <w:rPr>
        <w:rFonts w:ascii="Symbol" w:hAnsi="Symbol"/>
      </w:rPr>
    </w:lvl>
    <w:lvl w:ilvl="2" w:tplc="697C8770">
      <w:start w:val="1"/>
      <w:numFmt w:val="bullet"/>
      <w:suff w:val="tab"/>
      <w:lvlText w:val="·"/>
      <w:lvlJc w:val="left"/>
      <w:pPr>
        <w:ind w:hanging="360" w:left="2160"/>
      </w:pPr>
      <w:rPr>
        <w:rFonts w:ascii="Symbol" w:hAnsi="Symbol"/>
      </w:rPr>
    </w:lvl>
    <w:lvl w:ilvl="3" w:tplc="13AE9CED">
      <w:start w:val="1"/>
      <w:numFmt w:val="bullet"/>
      <w:suff w:val="tab"/>
      <w:lvlText w:val="o"/>
      <w:lvlJc w:val="left"/>
      <w:pPr>
        <w:ind w:hanging="360" w:left="2880"/>
      </w:pPr>
      <w:rPr>
        <w:rFonts w:ascii="Symbol" w:hAnsi="Symbol"/>
      </w:rPr>
    </w:lvl>
    <w:lvl w:ilvl="4" w:tplc="7E3FF93B">
      <w:start w:val="1"/>
      <w:numFmt w:val="bullet"/>
      <w:suff w:val="tab"/>
      <w:lvlText w:val="·"/>
      <w:lvlJc w:val="left"/>
      <w:pPr>
        <w:ind w:hanging="360" w:left="3600"/>
      </w:pPr>
      <w:rPr>
        <w:rFonts w:ascii="Symbol" w:hAnsi="Symbol"/>
      </w:rPr>
    </w:lvl>
    <w:lvl w:ilvl="5" w:tplc="1CAA4837">
      <w:start w:val="1"/>
      <w:numFmt w:val="bullet"/>
      <w:suff w:val="tab"/>
      <w:lvlText w:val="o"/>
      <w:lvlJc w:val="left"/>
      <w:pPr>
        <w:ind w:hanging="360" w:left="4320"/>
      </w:pPr>
      <w:rPr>
        <w:rFonts w:ascii="Symbol" w:hAnsi="Symbol"/>
      </w:rPr>
    </w:lvl>
    <w:lvl w:ilvl="6" w:tplc="067B61E7">
      <w:start w:val="1"/>
      <w:numFmt w:val="bullet"/>
      <w:suff w:val="tab"/>
      <w:lvlText w:val="·"/>
      <w:lvlJc w:val="left"/>
      <w:pPr>
        <w:ind w:hanging="360" w:left="5040"/>
      </w:pPr>
      <w:rPr>
        <w:rFonts w:ascii="Symbol" w:hAnsi="Symbol"/>
      </w:rPr>
    </w:lvl>
    <w:lvl w:ilvl="7" w:tplc="234DDC9B">
      <w:start w:val="1"/>
      <w:numFmt w:val="bullet"/>
      <w:suff w:val="tab"/>
      <w:lvlText w:val="o"/>
      <w:lvlJc w:val="left"/>
      <w:pPr>
        <w:ind w:hanging="360" w:left="5760"/>
      </w:pPr>
      <w:rPr>
        <w:rFonts w:ascii="Symbol" w:hAnsi="Symbol"/>
      </w:rPr>
    </w:lvl>
    <w:lvl w:ilvl="8" w:tplc="4269B5BF">
      <w:start w:val="1"/>
      <w:numFmt w:val="bullet"/>
      <w:suff w:val="tab"/>
      <w:lvlText w:val="·"/>
      <w:lvlJc w:val="left"/>
      <w:pPr>
        <w:ind w:hanging="360" w:left="6480"/>
      </w:pPr>
      <w:rPr>
        <w:rFonts w:ascii="Symbol" w:hAnsi="Symbol"/>
      </w:rPr>
    </w:lvl>
  </w:abstractNum>
  <w:abstractNum w:abstractNumId="87">
    <w:nsid w:val="6E7ABE42"/>
    <w:multiLevelType w:val="hybridMultilevel"/>
    <w:lvl w:ilvl="0" w:tplc="6E127A5D">
      <w:start w:val="1"/>
      <w:numFmt w:val="bullet"/>
      <w:suff w:val="tab"/>
      <w:lvlText w:val="·"/>
      <w:lvlJc w:val="left"/>
      <w:pPr>
        <w:ind w:hanging="360" w:left="720"/>
      </w:pPr>
      <w:rPr>
        <w:rFonts w:ascii="Symbol" w:hAnsi="Symbol" w:cs="Symbol" w:eastAsia="Symbol"/>
      </w:rPr>
    </w:lvl>
    <w:lvl w:ilvl="1" w:tplc="7B087269">
      <w:start w:val="1"/>
      <w:numFmt w:val="bullet"/>
      <w:suff w:val="tab"/>
      <w:lvlText w:val="o"/>
      <w:lvlJc w:val="left"/>
      <w:pPr>
        <w:ind w:hanging="360" w:left="1440"/>
      </w:pPr>
      <w:rPr>
        <w:rFonts w:ascii="Symbol" w:hAnsi="Symbol"/>
      </w:rPr>
    </w:lvl>
    <w:lvl w:ilvl="2" w:tplc="28109446">
      <w:start w:val="1"/>
      <w:numFmt w:val="bullet"/>
      <w:suff w:val="tab"/>
      <w:lvlText w:val="·"/>
      <w:lvlJc w:val="left"/>
      <w:pPr>
        <w:ind w:hanging="360" w:left="2160"/>
      </w:pPr>
      <w:rPr>
        <w:rFonts w:ascii="Symbol" w:hAnsi="Symbol"/>
      </w:rPr>
    </w:lvl>
    <w:lvl w:ilvl="3" w:tplc="69487842">
      <w:start w:val="1"/>
      <w:numFmt w:val="bullet"/>
      <w:suff w:val="tab"/>
      <w:lvlText w:val="o"/>
      <w:lvlJc w:val="left"/>
      <w:pPr>
        <w:ind w:hanging="360" w:left="2880"/>
      </w:pPr>
      <w:rPr>
        <w:rFonts w:ascii="Symbol" w:hAnsi="Symbol"/>
      </w:rPr>
    </w:lvl>
    <w:lvl w:ilvl="4" w:tplc="7B374445">
      <w:start w:val="1"/>
      <w:numFmt w:val="bullet"/>
      <w:suff w:val="tab"/>
      <w:lvlText w:val="·"/>
      <w:lvlJc w:val="left"/>
      <w:pPr>
        <w:ind w:hanging="360" w:left="3600"/>
      </w:pPr>
      <w:rPr>
        <w:rFonts w:ascii="Symbol" w:hAnsi="Symbol"/>
      </w:rPr>
    </w:lvl>
    <w:lvl w:ilvl="5" w:tplc="46533948">
      <w:start w:val="1"/>
      <w:numFmt w:val="bullet"/>
      <w:suff w:val="tab"/>
      <w:lvlText w:val="o"/>
      <w:lvlJc w:val="left"/>
      <w:pPr>
        <w:ind w:hanging="360" w:left="4320"/>
      </w:pPr>
      <w:rPr>
        <w:rFonts w:ascii="Symbol" w:hAnsi="Symbol"/>
      </w:rPr>
    </w:lvl>
    <w:lvl w:ilvl="6" w:tplc="71ACE5F1">
      <w:start w:val="1"/>
      <w:numFmt w:val="bullet"/>
      <w:suff w:val="tab"/>
      <w:lvlText w:val="·"/>
      <w:lvlJc w:val="left"/>
      <w:pPr>
        <w:ind w:hanging="360" w:left="5040"/>
      </w:pPr>
      <w:rPr>
        <w:rFonts w:ascii="Symbol" w:hAnsi="Symbol"/>
      </w:rPr>
    </w:lvl>
    <w:lvl w:ilvl="7" w:tplc="2452ACE7">
      <w:start w:val="1"/>
      <w:numFmt w:val="bullet"/>
      <w:suff w:val="tab"/>
      <w:lvlText w:val="o"/>
      <w:lvlJc w:val="left"/>
      <w:pPr>
        <w:ind w:hanging="360" w:left="5760"/>
      </w:pPr>
      <w:rPr>
        <w:rFonts w:ascii="Symbol" w:hAnsi="Symbol"/>
      </w:rPr>
    </w:lvl>
    <w:lvl w:ilvl="8" w:tplc="735CDB70">
      <w:start w:val="1"/>
      <w:numFmt w:val="bullet"/>
      <w:suff w:val="tab"/>
      <w:lvlText w:val="·"/>
      <w:lvlJc w:val="left"/>
      <w:pPr>
        <w:ind w:hanging="360" w:left="6480"/>
      </w:pPr>
      <w:rPr>
        <w:rFonts w:ascii="Symbol" w:hAnsi="Symbol"/>
      </w:rPr>
    </w:lvl>
  </w:abstractNum>
  <w:abstractNum w:abstractNumId="88">
    <w:nsid w:val="1DF522EC"/>
    <w:multiLevelType w:val="hybridMultilevel"/>
    <w:lvl w:ilvl="0" w:tplc="49566E0C">
      <w:start w:val="1"/>
      <w:numFmt w:val="bullet"/>
      <w:suff w:val="tab"/>
      <w:lvlText w:val="·"/>
      <w:lvlJc w:val="left"/>
      <w:pPr>
        <w:ind w:hanging="360" w:left="720"/>
      </w:pPr>
      <w:rPr>
        <w:rFonts w:ascii="Symbol" w:hAnsi="Symbol" w:cs="Symbol" w:eastAsia="Symbol"/>
      </w:rPr>
    </w:lvl>
    <w:lvl w:ilvl="1" w:tplc="6F0CCDF0">
      <w:start w:val="1"/>
      <w:numFmt w:val="bullet"/>
      <w:suff w:val="tab"/>
      <w:lvlText w:val="o"/>
      <w:lvlJc w:val="left"/>
      <w:pPr>
        <w:ind w:hanging="360" w:left="1440"/>
      </w:pPr>
      <w:rPr>
        <w:rFonts w:ascii="Symbol" w:hAnsi="Symbol"/>
      </w:rPr>
    </w:lvl>
    <w:lvl w:ilvl="2" w:tplc="03A8DA14">
      <w:start w:val="1"/>
      <w:numFmt w:val="bullet"/>
      <w:suff w:val="tab"/>
      <w:lvlText w:val="·"/>
      <w:lvlJc w:val="left"/>
      <w:pPr>
        <w:ind w:hanging="360" w:left="2160"/>
      </w:pPr>
      <w:rPr>
        <w:rFonts w:ascii="Symbol" w:hAnsi="Symbol"/>
      </w:rPr>
    </w:lvl>
    <w:lvl w:ilvl="3" w:tplc="5BE43CDF">
      <w:start w:val="1"/>
      <w:numFmt w:val="bullet"/>
      <w:suff w:val="tab"/>
      <w:lvlText w:val="o"/>
      <w:lvlJc w:val="left"/>
      <w:pPr>
        <w:ind w:hanging="360" w:left="2880"/>
      </w:pPr>
      <w:rPr>
        <w:rFonts w:ascii="Symbol" w:hAnsi="Symbol"/>
      </w:rPr>
    </w:lvl>
    <w:lvl w:ilvl="4" w:tplc="4E3E81EC">
      <w:start w:val="1"/>
      <w:numFmt w:val="bullet"/>
      <w:suff w:val="tab"/>
      <w:lvlText w:val="·"/>
      <w:lvlJc w:val="left"/>
      <w:pPr>
        <w:ind w:hanging="360" w:left="3600"/>
      </w:pPr>
      <w:rPr>
        <w:rFonts w:ascii="Symbol" w:hAnsi="Symbol"/>
      </w:rPr>
    </w:lvl>
    <w:lvl w:ilvl="5" w:tplc="5D32DCFB">
      <w:start w:val="1"/>
      <w:numFmt w:val="bullet"/>
      <w:suff w:val="tab"/>
      <w:lvlText w:val="o"/>
      <w:lvlJc w:val="left"/>
      <w:pPr>
        <w:ind w:hanging="360" w:left="4320"/>
      </w:pPr>
      <w:rPr>
        <w:rFonts w:ascii="Symbol" w:hAnsi="Symbol"/>
      </w:rPr>
    </w:lvl>
    <w:lvl w:ilvl="6" w:tplc="3FEE6CFC">
      <w:start w:val="1"/>
      <w:numFmt w:val="bullet"/>
      <w:suff w:val="tab"/>
      <w:lvlText w:val="·"/>
      <w:lvlJc w:val="left"/>
      <w:pPr>
        <w:ind w:hanging="360" w:left="5040"/>
      </w:pPr>
      <w:rPr>
        <w:rFonts w:ascii="Symbol" w:hAnsi="Symbol"/>
      </w:rPr>
    </w:lvl>
    <w:lvl w:ilvl="7" w:tplc="0BB46781">
      <w:start w:val="1"/>
      <w:numFmt w:val="bullet"/>
      <w:suff w:val="tab"/>
      <w:lvlText w:val="o"/>
      <w:lvlJc w:val="left"/>
      <w:pPr>
        <w:ind w:hanging="360" w:left="5760"/>
      </w:pPr>
      <w:rPr>
        <w:rFonts w:ascii="Symbol" w:hAnsi="Symbol"/>
      </w:rPr>
    </w:lvl>
    <w:lvl w:ilvl="8" w:tplc="209712C3">
      <w:start w:val="1"/>
      <w:numFmt w:val="bullet"/>
      <w:suff w:val="tab"/>
      <w:lvlText w:val="·"/>
      <w:lvlJc w:val="left"/>
      <w:pPr>
        <w:ind w:hanging="360" w:left="6480"/>
      </w:pPr>
      <w:rPr>
        <w:rFonts w:ascii="Symbol" w:hAnsi="Symbol"/>
      </w:rPr>
    </w:lvl>
  </w:abstractNum>
  <w:abstractNum w:abstractNumId="89">
    <w:nsid w:val="794A2DDE"/>
    <w:multiLevelType w:val="hybridMultilevel"/>
    <w:lvl w:ilvl="0" w:tplc="7BF5689B">
      <w:start w:val="1"/>
      <w:numFmt w:val="bullet"/>
      <w:suff w:val="tab"/>
      <w:lvlText w:val="·"/>
      <w:lvlJc w:val="left"/>
      <w:pPr>
        <w:ind w:hanging="360" w:left="720"/>
      </w:pPr>
      <w:rPr>
        <w:rFonts w:ascii="Symbol" w:hAnsi="Symbol" w:cs="Symbol" w:eastAsia="Symbol"/>
      </w:rPr>
    </w:lvl>
    <w:lvl w:ilvl="1" w:tplc="0EBC831F">
      <w:start w:val="1"/>
      <w:numFmt w:val="bullet"/>
      <w:suff w:val="tab"/>
      <w:lvlText w:val="o"/>
      <w:lvlJc w:val="left"/>
      <w:pPr>
        <w:ind w:hanging="360" w:left="1440"/>
      </w:pPr>
      <w:rPr>
        <w:rFonts w:ascii="Symbol" w:hAnsi="Symbol"/>
      </w:rPr>
    </w:lvl>
    <w:lvl w:ilvl="2" w:tplc="118F0098">
      <w:start w:val="1"/>
      <w:numFmt w:val="bullet"/>
      <w:suff w:val="tab"/>
      <w:lvlText w:val="·"/>
      <w:lvlJc w:val="left"/>
      <w:pPr>
        <w:ind w:hanging="360" w:left="2160"/>
      </w:pPr>
      <w:rPr>
        <w:rFonts w:ascii="Symbol" w:hAnsi="Symbol"/>
      </w:rPr>
    </w:lvl>
    <w:lvl w:ilvl="3" w:tplc="655C56F1">
      <w:start w:val="1"/>
      <w:numFmt w:val="bullet"/>
      <w:suff w:val="tab"/>
      <w:lvlText w:val="o"/>
      <w:lvlJc w:val="left"/>
      <w:pPr>
        <w:ind w:hanging="360" w:left="2880"/>
      </w:pPr>
      <w:rPr>
        <w:rFonts w:ascii="Symbol" w:hAnsi="Symbol"/>
      </w:rPr>
    </w:lvl>
    <w:lvl w:ilvl="4" w:tplc="3721F3D0">
      <w:start w:val="1"/>
      <w:numFmt w:val="bullet"/>
      <w:suff w:val="tab"/>
      <w:lvlText w:val="·"/>
      <w:lvlJc w:val="left"/>
      <w:pPr>
        <w:ind w:hanging="360" w:left="3600"/>
      </w:pPr>
      <w:rPr>
        <w:rFonts w:ascii="Symbol" w:hAnsi="Symbol"/>
      </w:rPr>
    </w:lvl>
    <w:lvl w:ilvl="5" w:tplc="7F69FAC5">
      <w:start w:val="1"/>
      <w:numFmt w:val="bullet"/>
      <w:suff w:val="tab"/>
      <w:lvlText w:val="o"/>
      <w:lvlJc w:val="left"/>
      <w:pPr>
        <w:ind w:hanging="360" w:left="4320"/>
      </w:pPr>
      <w:rPr>
        <w:rFonts w:ascii="Symbol" w:hAnsi="Symbol"/>
      </w:rPr>
    </w:lvl>
    <w:lvl w:ilvl="6" w:tplc="542D59CF">
      <w:start w:val="1"/>
      <w:numFmt w:val="bullet"/>
      <w:suff w:val="tab"/>
      <w:lvlText w:val="·"/>
      <w:lvlJc w:val="left"/>
      <w:pPr>
        <w:ind w:hanging="360" w:left="5040"/>
      </w:pPr>
      <w:rPr>
        <w:rFonts w:ascii="Symbol" w:hAnsi="Symbol"/>
      </w:rPr>
    </w:lvl>
    <w:lvl w:ilvl="7" w:tplc="737CB751">
      <w:start w:val="1"/>
      <w:numFmt w:val="bullet"/>
      <w:suff w:val="tab"/>
      <w:lvlText w:val="o"/>
      <w:lvlJc w:val="left"/>
      <w:pPr>
        <w:ind w:hanging="360" w:left="5760"/>
      </w:pPr>
      <w:rPr>
        <w:rFonts w:ascii="Symbol" w:hAnsi="Symbol"/>
      </w:rPr>
    </w:lvl>
    <w:lvl w:ilvl="8" w:tplc="2EE91FF0">
      <w:start w:val="1"/>
      <w:numFmt w:val="bullet"/>
      <w:suff w:val="tab"/>
      <w:lvlText w:val="·"/>
      <w:lvlJc w:val="left"/>
      <w:pPr>
        <w:ind w:hanging="360" w:left="6480"/>
      </w:pPr>
      <w:rPr>
        <w:rFonts w:ascii="Symbol" w:hAnsi="Symbol"/>
      </w:rPr>
    </w:lvl>
  </w:abstractNum>
  <w:abstractNum w:abstractNumId="90">
    <w:nsid w:val="295C6AC6"/>
    <w:multiLevelType w:val="hybridMultilevel"/>
    <w:lvl w:ilvl="0" w:tplc="624FA676">
      <w:start w:val="1"/>
      <w:numFmt w:val="bullet"/>
      <w:suff w:val="tab"/>
      <w:lvlText w:val="·"/>
      <w:lvlJc w:val="left"/>
      <w:pPr>
        <w:ind w:hanging="360" w:left="720"/>
      </w:pPr>
      <w:rPr>
        <w:rFonts w:ascii="Symbol" w:hAnsi="Symbol" w:cs="Symbol" w:eastAsia="Symbol"/>
      </w:rPr>
    </w:lvl>
    <w:lvl w:ilvl="1" w:tplc="2CBB3BC7">
      <w:start w:val="1"/>
      <w:numFmt w:val="bullet"/>
      <w:suff w:val="tab"/>
      <w:lvlText w:val="o"/>
      <w:lvlJc w:val="left"/>
      <w:pPr>
        <w:ind w:hanging="360" w:left="1440"/>
      </w:pPr>
      <w:rPr>
        <w:rFonts w:ascii="Symbol" w:hAnsi="Symbol"/>
      </w:rPr>
    </w:lvl>
    <w:lvl w:ilvl="2" w:tplc="7F2A26B5">
      <w:start w:val="1"/>
      <w:numFmt w:val="bullet"/>
      <w:suff w:val="tab"/>
      <w:lvlText w:val="·"/>
      <w:lvlJc w:val="left"/>
      <w:pPr>
        <w:ind w:hanging="360" w:left="2160"/>
      </w:pPr>
      <w:rPr>
        <w:rFonts w:ascii="Symbol" w:hAnsi="Symbol"/>
      </w:rPr>
    </w:lvl>
    <w:lvl w:ilvl="3" w:tplc="0EF2BDC0">
      <w:start w:val="1"/>
      <w:numFmt w:val="bullet"/>
      <w:suff w:val="tab"/>
      <w:lvlText w:val="o"/>
      <w:lvlJc w:val="left"/>
      <w:pPr>
        <w:ind w:hanging="360" w:left="2880"/>
      </w:pPr>
      <w:rPr>
        <w:rFonts w:ascii="Symbol" w:hAnsi="Symbol"/>
      </w:rPr>
    </w:lvl>
    <w:lvl w:ilvl="4" w:tplc="107D606E">
      <w:start w:val="1"/>
      <w:numFmt w:val="bullet"/>
      <w:suff w:val="tab"/>
      <w:lvlText w:val="·"/>
      <w:lvlJc w:val="left"/>
      <w:pPr>
        <w:ind w:hanging="360" w:left="3600"/>
      </w:pPr>
      <w:rPr>
        <w:rFonts w:ascii="Symbol" w:hAnsi="Symbol"/>
      </w:rPr>
    </w:lvl>
    <w:lvl w:ilvl="5" w:tplc="79279FE5">
      <w:start w:val="1"/>
      <w:numFmt w:val="bullet"/>
      <w:suff w:val="tab"/>
      <w:lvlText w:val="o"/>
      <w:lvlJc w:val="left"/>
      <w:pPr>
        <w:ind w:hanging="360" w:left="4320"/>
      </w:pPr>
      <w:rPr>
        <w:rFonts w:ascii="Symbol" w:hAnsi="Symbol"/>
      </w:rPr>
    </w:lvl>
    <w:lvl w:ilvl="6" w:tplc="4CE6FFAF">
      <w:start w:val="1"/>
      <w:numFmt w:val="bullet"/>
      <w:suff w:val="tab"/>
      <w:lvlText w:val="·"/>
      <w:lvlJc w:val="left"/>
      <w:pPr>
        <w:ind w:hanging="360" w:left="5040"/>
      </w:pPr>
      <w:rPr>
        <w:rFonts w:ascii="Symbol" w:hAnsi="Symbol"/>
      </w:rPr>
    </w:lvl>
    <w:lvl w:ilvl="7" w:tplc="361F2683">
      <w:start w:val="1"/>
      <w:numFmt w:val="bullet"/>
      <w:suff w:val="tab"/>
      <w:lvlText w:val="o"/>
      <w:lvlJc w:val="left"/>
      <w:pPr>
        <w:ind w:hanging="360" w:left="5760"/>
      </w:pPr>
      <w:rPr>
        <w:rFonts w:ascii="Symbol" w:hAnsi="Symbol"/>
      </w:rPr>
    </w:lvl>
    <w:lvl w:ilvl="8" w:tplc="656B0BB9">
      <w:start w:val="1"/>
      <w:numFmt w:val="bullet"/>
      <w:suff w:val="tab"/>
      <w:lvlText w:val="·"/>
      <w:lvlJc w:val="left"/>
      <w:pPr>
        <w:ind w:hanging="360" w:left="6480"/>
      </w:pPr>
      <w:rPr>
        <w:rFonts w:ascii="Symbol" w:hAnsi="Symbol"/>
      </w:rPr>
    </w:lvl>
  </w:abstractNum>
  <w:abstractNum w:abstractNumId="91">
    <w:nsid w:val="35BEDB8C"/>
    <w:multiLevelType w:val="hybridMultilevel"/>
    <w:lvl w:ilvl="0" w:tplc="34E136BD">
      <w:start w:val="1"/>
      <w:numFmt w:val="bullet"/>
      <w:suff w:val="tab"/>
      <w:lvlText w:val="·"/>
      <w:lvlJc w:val="left"/>
      <w:pPr>
        <w:ind w:hanging="360" w:left="720"/>
      </w:pPr>
      <w:rPr>
        <w:rFonts w:ascii="Symbol" w:hAnsi="Symbol" w:cs="Symbol" w:eastAsia="Symbol"/>
      </w:rPr>
    </w:lvl>
    <w:lvl w:ilvl="1" w:tplc="2FE20471">
      <w:start w:val="1"/>
      <w:numFmt w:val="bullet"/>
      <w:suff w:val="tab"/>
      <w:lvlText w:val="o"/>
      <w:lvlJc w:val="left"/>
      <w:pPr>
        <w:ind w:hanging="360" w:left="1440"/>
      </w:pPr>
      <w:rPr>
        <w:rFonts w:ascii="Symbol" w:hAnsi="Symbol"/>
      </w:rPr>
    </w:lvl>
    <w:lvl w:ilvl="2" w:tplc="3C7026D0">
      <w:start w:val="1"/>
      <w:numFmt w:val="bullet"/>
      <w:suff w:val="tab"/>
      <w:lvlText w:val="·"/>
      <w:lvlJc w:val="left"/>
      <w:pPr>
        <w:ind w:hanging="360" w:left="2160"/>
      </w:pPr>
      <w:rPr>
        <w:rFonts w:ascii="Symbol" w:hAnsi="Symbol"/>
      </w:rPr>
    </w:lvl>
    <w:lvl w:ilvl="3" w:tplc="0B9825E2">
      <w:start w:val="1"/>
      <w:numFmt w:val="bullet"/>
      <w:suff w:val="tab"/>
      <w:lvlText w:val="o"/>
      <w:lvlJc w:val="left"/>
      <w:pPr>
        <w:ind w:hanging="360" w:left="2880"/>
      </w:pPr>
      <w:rPr>
        <w:rFonts w:ascii="Symbol" w:hAnsi="Symbol"/>
      </w:rPr>
    </w:lvl>
    <w:lvl w:ilvl="4" w:tplc="7A72EDE5">
      <w:start w:val="1"/>
      <w:numFmt w:val="bullet"/>
      <w:suff w:val="tab"/>
      <w:lvlText w:val="·"/>
      <w:lvlJc w:val="left"/>
      <w:pPr>
        <w:ind w:hanging="360" w:left="3600"/>
      </w:pPr>
      <w:rPr>
        <w:rFonts w:ascii="Symbol" w:hAnsi="Symbol"/>
      </w:rPr>
    </w:lvl>
    <w:lvl w:ilvl="5" w:tplc="32179598">
      <w:start w:val="1"/>
      <w:numFmt w:val="bullet"/>
      <w:suff w:val="tab"/>
      <w:lvlText w:val="o"/>
      <w:lvlJc w:val="left"/>
      <w:pPr>
        <w:ind w:hanging="360" w:left="4320"/>
      </w:pPr>
      <w:rPr>
        <w:rFonts w:ascii="Symbol" w:hAnsi="Symbol"/>
      </w:rPr>
    </w:lvl>
    <w:lvl w:ilvl="6" w:tplc="60B56D88">
      <w:start w:val="1"/>
      <w:numFmt w:val="bullet"/>
      <w:suff w:val="tab"/>
      <w:lvlText w:val="·"/>
      <w:lvlJc w:val="left"/>
      <w:pPr>
        <w:ind w:hanging="360" w:left="5040"/>
      </w:pPr>
      <w:rPr>
        <w:rFonts w:ascii="Symbol" w:hAnsi="Symbol"/>
      </w:rPr>
    </w:lvl>
    <w:lvl w:ilvl="7" w:tplc="3FDF758C">
      <w:start w:val="1"/>
      <w:numFmt w:val="bullet"/>
      <w:suff w:val="tab"/>
      <w:lvlText w:val="o"/>
      <w:lvlJc w:val="left"/>
      <w:pPr>
        <w:ind w:hanging="360" w:left="5760"/>
      </w:pPr>
      <w:rPr>
        <w:rFonts w:ascii="Symbol" w:hAnsi="Symbol"/>
      </w:rPr>
    </w:lvl>
    <w:lvl w:ilvl="8" w:tplc="26483E10">
      <w:start w:val="1"/>
      <w:numFmt w:val="bullet"/>
      <w:suff w:val="tab"/>
      <w:lvlText w:val="·"/>
      <w:lvlJc w:val="left"/>
      <w:pPr>
        <w:ind w:hanging="360" w:left="6480"/>
      </w:pPr>
      <w:rPr>
        <w:rFonts w:ascii="Symbol" w:hAnsi="Symbol"/>
      </w:rPr>
    </w:lvl>
  </w:abstractNum>
  <w:abstractNum w:abstractNumId="92">
    <w:nsid w:val="24E83B37"/>
    <w:multiLevelType w:val="hybridMultilevel"/>
    <w:lvl w:ilvl="0" w:tplc="7A8322CF">
      <w:start w:val="1"/>
      <w:numFmt w:val="bullet"/>
      <w:suff w:val="tab"/>
      <w:lvlText w:val="·"/>
      <w:lvlJc w:val="left"/>
      <w:pPr>
        <w:ind w:hanging="360" w:left="720"/>
      </w:pPr>
      <w:rPr>
        <w:rFonts w:ascii="Symbol" w:hAnsi="Symbol" w:cs="Symbol" w:eastAsia="Symbol"/>
      </w:rPr>
    </w:lvl>
    <w:lvl w:ilvl="1" w:tplc="437868C4">
      <w:start w:val="1"/>
      <w:numFmt w:val="bullet"/>
      <w:suff w:val="tab"/>
      <w:lvlText w:val="o"/>
      <w:lvlJc w:val="left"/>
      <w:pPr>
        <w:ind w:hanging="360" w:left="1440"/>
      </w:pPr>
      <w:rPr>
        <w:rFonts w:ascii="Symbol" w:hAnsi="Symbol"/>
      </w:rPr>
    </w:lvl>
    <w:lvl w:ilvl="2" w:tplc="4E9FC1C8">
      <w:start w:val="1"/>
      <w:numFmt w:val="bullet"/>
      <w:suff w:val="tab"/>
      <w:lvlText w:val="·"/>
      <w:lvlJc w:val="left"/>
      <w:pPr>
        <w:ind w:hanging="360" w:left="2160"/>
      </w:pPr>
      <w:rPr>
        <w:rFonts w:ascii="Symbol" w:hAnsi="Symbol"/>
      </w:rPr>
    </w:lvl>
    <w:lvl w:ilvl="3" w:tplc="02032154">
      <w:start w:val="1"/>
      <w:numFmt w:val="bullet"/>
      <w:suff w:val="tab"/>
      <w:lvlText w:val="o"/>
      <w:lvlJc w:val="left"/>
      <w:pPr>
        <w:ind w:hanging="360" w:left="2880"/>
      </w:pPr>
      <w:rPr>
        <w:rFonts w:ascii="Symbol" w:hAnsi="Symbol"/>
      </w:rPr>
    </w:lvl>
    <w:lvl w:ilvl="4" w:tplc="5ACD01F1">
      <w:start w:val="1"/>
      <w:numFmt w:val="bullet"/>
      <w:suff w:val="tab"/>
      <w:lvlText w:val="·"/>
      <w:lvlJc w:val="left"/>
      <w:pPr>
        <w:ind w:hanging="360" w:left="3600"/>
      </w:pPr>
      <w:rPr>
        <w:rFonts w:ascii="Symbol" w:hAnsi="Symbol"/>
      </w:rPr>
    </w:lvl>
    <w:lvl w:ilvl="5" w:tplc="642DDD73">
      <w:start w:val="1"/>
      <w:numFmt w:val="bullet"/>
      <w:suff w:val="tab"/>
      <w:lvlText w:val="o"/>
      <w:lvlJc w:val="left"/>
      <w:pPr>
        <w:ind w:hanging="360" w:left="4320"/>
      </w:pPr>
      <w:rPr>
        <w:rFonts w:ascii="Symbol" w:hAnsi="Symbol"/>
      </w:rPr>
    </w:lvl>
    <w:lvl w:ilvl="6" w:tplc="7206EB8E">
      <w:start w:val="1"/>
      <w:numFmt w:val="bullet"/>
      <w:suff w:val="tab"/>
      <w:lvlText w:val="·"/>
      <w:lvlJc w:val="left"/>
      <w:pPr>
        <w:ind w:hanging="360" w:left="5040"/>
      </w:pPr>
      <w:rPr>
        <w:rFonts w:ascii="Symbol" w:hAnsi="Symbol"/>
      </w:rPr>
    </w:lvl>
    <w:lvl w:ilvl="7" w:tplc="59A7BE7C">
      <w:start w:val="1"/>
      <w:numFmt w:val="bullet"/>
      <w:suff w:val="tab"/>
      <w:lvlText w:val="o"/>
      <w:lvlJc w:val="left"/>
      <w:pPr>
        <w:ind w:hanging="360" w:left="5760"/>
      </w:pPr>
      <w:rPr>
        <w:rFonts w:ascii="Symbol" w:hAnsi="Symbol"/>
      </w:rPr>
    </w:lvl>
    <w:lvl w:ilvl="8" w:tplc="29CA85BF">
      <w:start w:val="1"/>
      <w:numFmt w:val="bullet"/>
      <w:suff w:val="tab"/>
      <w:lvlText w:val="·"/>
      <w:lvlJc w:val="left"/>
      <w:pPr>
        <w:ind w:hanging="360" w:left="6480"/>
      </w:pPr>
      <w:rPr>
        <w:rFonts w:ascii="Symbol" w:hAnsi="Symbol"/>
      </w:rPr>
    </w:lvl>
  </w:abstractNum>
  <w:abstractNum w:abstractNumId="93">
    <w:nsid w:val="6F2BF1F1"/>
    <w:multiLevelType w:val="hybridMultilevel"/>
    <w:lvl w:ilvl="0" w:tplc="400DF1F0">
      <w:start w:val="1"/>
      <w:numFmt w:val="bullet"/>
      <w:suff w:val="tab"/>
      <w:lvlText w:val="·"/>
      <w:lvlJc w:val="left"/>
      <w:pPr>
        <w:ind w:hanging="360" w:left="720"/>
      </w:pPr>
      <w:rPr>
        <w:rFonts w:ascii="Symbol" w:hAnsi="Symbol" w:cs="Symbol" w:eastAsia="Symbol"/>
      </w:rPr>
    </w:lvl>
    <w:lvl w:ilvl="1" w:tplc="0F864664">
      <w:start w:val="1"/>
      <w:numFmt w:val="bullet"/>
      <w:suff w:val="tab"/>
      <w:lvlText w:val="o"/>
      <w:lvlJc w:val="left"/>
      <w:pPr>
        <w:ind w:hanging="360" w:left="1440"/>
      </w:pPr>
      <w:rPr>
        <w:rFonts w:ascii="Symbol" w:hAnsi="Symbol"/>
      </w:rPr>
    </w:lvl>
    <w:lvl w:ilvl="2" w:tplc="168E7995">
      <w:start w:val="1"/>
      <w:numFmt w:val="bullet"/>
      <w:suff w:val="tab"/>
      <w:lvlText w:val="·"/>
      <w:lvlJc w:val="left"/>
      <w:pPr>
        <w:ind w:hanging="360" w:left="2160"/>
      </w:pPr>
      <w:rPr>
        <w:rFonts w:ascii="Symbol" w:hAnsi="Symbol"/>
      </w:rPr>
    </w:lvl>
    <w:lvl w:ilvl="3" w:tplc="70A20D04">
      <w:start w:val="1"/>
      <w:numFmt w:val="bullet"/>
      <w:suff w:val="tab"/>
      <w:lvlText w:val="o"/>
      <w:lvlJc w:val="left"/>
      <w:pPr>
        <w:ind w:hanging="360" w:left="2880"/>
      </w:pPr>
      <w:rPr>
        <w:rFonts w:ascii="Symbol" w:hAnsi="Symbol"/>
      </w:rPr>
    </w:lvl>
    <w:lvl w:ilvl="4" w:tplc="608BFDAC">
      <w:start w:val="1"/>
      <w:numFmt w:val="bullet"/>
      <w:suff w:val="tab"/>
      <w:lvlText w:val="·"/>
      <w:lvlJc w:val="left"/>
      <w:pPr>
        <w:ind w:hanging="360" w:left="3600"/>
      </w:pPr>
      <w:rPr>
        <w:rFonts w:ascii="Symbol" w:hAnsi="Symbol"/>
      </w:rPr>
    </w:lvl>
    <w:lvl w:ilvl="5" w:tplc="623C220B">
      <w:start w:val="1"/>
      <w:numFmt w:val="bullet"/>
      <w:suff w:val="tab"/>
      <w:lvlText w:val="o"/>
      <w:lvlJc w:val="left"/>
      <w:pPr>
        <w:ind w:hanging="360" w:left="4320"/>
      </w:pPr>
      <w:rPr>
        <w:rFonts w:ascii="Symbol" w:hAnsi="Symbol"/>
      </w:rPr>
    </w:lvl>
    <w:lvl w:ilvl="6" w:tplc="4F94E5E4">
      <w:start w:val="1"/>
      <w:numFmt w:val="bullet"/>
      <w:suff w:val="tab"/>
      <w:lvlText w:val="·"/>
      <w:lvlJc w:val="left"/>
      <w:pPr>
        <w:ind w:hanging="360" w:left="5040"/>
      </w:pPr>
      <w:rPr>
        <w:rFonts w:ascii="Symbol" w:hAnsi="Symbol"/>
      </w:rPr>
    </w:lvl>
    <w:lvl w:ilvl="7" w:tplc="49419D5A">
      <w:start w:val="1"/>
      <w:numFmt w:val="bullet"/>
      <w:suff w:val="tab"/>
      <w:lvlText w:val="o"/>
      <w:lvlJc w:val="left"/>
      <w:pPr>
        <w:ind w:hanging="360" w:left="5760"/>
      </w:pPr>
      <w:rPr>
        <w:rFonts w:ascii="Symbol" w:hAnsi="Symbol"/>
      </w:rPr>
    </w:lvl>
    <w:lvl w:ilvl="8" w:tplc="04EB7042">
      <w:start w:val="1"/>
      <w:numFmt w:val="bullet"/>
      <w:suff w:val="tab"/>
      <w:lvlText w:val="·"/>
      <w:lvlJc w:val="left"/>
      <w:pPr>
        <w:ind w:hanging="360" w:left="6480"/>
      </w:pPr>
      <w:rPr>
        <w:rFonts w:ascii="Symbol" w:hAnsi="Symbol"/>
      </w:rPr>
    </w:lvl>
  </w:abstractNum>
  <w:abstractNum w:abstractNumId="94">
    <w:nsid w:val="606F220C"/>
    <w:multiLevelType w:val="hybridMultilevel"/>
    <w:lvl w:ilvl="0" w:tplc="21CFD82A">
      <w:start w:val="1"/>
      <w:numFmt w:val="bullet"/>
      <w:suff w:val="tab"/>
      <w:lvlText w:val="·"/>
      <w:lvlJc w:val="left"/>
      <w:pPr>
        <w:ind w:hanging="360" w:left="720"/>
      </w:pPr>
      <w:rPr>
        <w:rFonts w:ascii="Symbol" w:hAnsi="Symbol" w:cs="Symbol" w:eastAsia="Symbol"/>
      </w:rPr>
    </w:lvl>
    <w:lvl w:ilvl="1" w:tplc="0CC7EA9B">
      <w:start w:val="1"/>
      <w:numFmt w:val="bullet"/>
      <w:suff w:val="tab"/>
      <w:lvlText w:val="o"/>
      <w:lvlJc w:val="left"/>
      <w:pPr>
        <w:ind w:hanging="360" w:left="1440"/>
      </w:pPr>
      <w:rPr>
        <w:rFonts w:ascii="Symbol" w:hAnsi="Symbol"/>
      </w:rPr>
    </w:lvl>
    <w:lvl w:ilvl="2" w:tplc="51E8A81C">
      <w:start w:val="1"/>
      <w:numFmt w:val="bullet"/>
      <w:suff w:val="tab"/>
      <w:lvlText w:val="·"/>
      <w:lvlJc w:val="left"/>
      <w:pPr>
        <w:ind w:hanging="360" w:left="2160"/>
      </w:pPr>
      <w:rPr>
        <w:rFonts w:ascii="Symbol" w:hAnsi="Symbol"/>
      </w:rPr>
    </w:lvl>
    <w:lvl w:ilvl="3" w:tplc="1D126AB5">
      <w:start w:val="1"/>
      <w:numFmt w:val="bullet"/>
      <w:suff w:val="tab"/>
      <w:lvlText w:val="o"/>
      <w:lvlJc w:val="left"/>
      <w:pPr>
        <w:ind w:hanging="360" w:left="2880"/>
      </w:pPr>
      <w:rPr>
        <w:rFonts w:ascii="Symbol" w:hAnsi="Symbol"/>
      </w:rPr>
    </w:lvl>
    <w:lvl w:ilvl="4" w:tplc="286E5367">
      <w:start w:val="1"/>
      <w:numFmt w:val="bullet"/>
      <w:suff w:val="tab"/>
      <w:lvlText w:val="·"/>
      <w:lvlJc w:val="left"/>
      <w:pPr>
        <w:ind w:hanging="360" w:left="3600"/>
      </w:pPr>
      <w:rPr>
        <w:rFonts w:ascii="Symbol" w:hAnsi="Symbol"/>
      </w:rPr>
    </w:lvl>
    <w:lvl w:ilvl="5" w:tplc="29F54820">
      <w:start w:val="1"/>
      <w:numFmt w:val="bullet"/>
      <w:suff w:val="tab"/>
      <w:lvlText w:val="o"/>
      <w:lvlJc w:val="left"/>
      <w:pPr>
        <w:ind w:hanging="360" w:left="4320"/>
      </w:pPr>
      <w:rPr>
        <w:rFonts w:ascii="Symbol" w:hAnsi="Symbol"/>
      </w:rPr>
    </w:lvl>
    <w:lvl w:ilvl="6" w:tplc="6DE756C7">
      <w:start w:val="1"/>
      <w:numFmt w:val="bullet"/>
      <w:suff w:val="tab"/>
      <w:lvlText w:val="·"/>
      <w:lvlJc w:val="left"/>
      <w:pPr>
        <w:ind w:hanging="360" w:left="5040"/>
      </w:pPr>
      <w:rPr>
        <w:rFonts w:ascii="Symbol" w:hAnsi="Symbol"/>
      </w:rPr>
    </w:lvl>
    <w:lvl w:ilvl="7" w:tplc="72BA8710">
      <w:start w:val="1"/>
      <w:numFmt w:val="bullet"/>
      <w:suff w:val="tab"/>
      <w:lvlText w:val="o"/>
      <w:lvlJc w:val="left"/>
      <w:pPr>
        <w:ind w:hanging="360" w:left="5760"/>
      </w:pPr>
      <w:rPr>
        <w:rFonts w:ascii="Symbol" w:hAnsi="Symbol"/>
      </w:rPr>
    </w:lvl>
    <w:lvl w:ilvl="8" w:tplc="43D43FF3">
      <w:start w:val="1"/>
      <w:numFmt w:val="bullet"/>
      <w:suff w:val="tab"/>
      <w:lvlText w:val="·"/>
      <w:lvlJc w:val="left"/>
      <w:pPr>
        <w:ind w:hanging="360" w:left="6480"/>
      </w:pPr>
      <w:rPr>
        <w:rFonts w:ascii="Symbol" w:hAnsi="Symbol"/>
      </w:rPr>
    </w:lvl>
  </w:abstractNum>
  <w:abstractNum w:abstractNumId="95">
    <w:nsid w:val="4EE16402"/>
    <w:multiLevelType w:val="hybridMultilevel"/>
    <w:lvl w:ilvl="0" w:tplc="751D9F96">
      <w:start w:val="1"/>
      <w:numFmt w:val="bullet"/>
      <w:suff w:val="tab"/>
      <w:lvlText w:val="·"/>
      <w:lvlJc w:val="left"/>
      <w:pPr>
        <w:ind w:hanging="360" w:left="720"/>
      </w:pPr>
      <w:rPr>
        <w:rFonts w:ascii="Symbol" w:hAnsi="Symbol" w:cs="Symbol" w:eastAsia="Symbol"/>
      </w:rPr>
    </w:lvl>
    <w:lvl w:ilvl="1" w:tplc="2ADAA7C7">
      <w:start w:val="1"/>
      <w:numFmt w:val="bullet"/>
      <w:suff w:val="tab"/>
      <w:lvlText w:val="o"/>
      <w:lvlJc w:val="left"/>
      <w:pPr>
        <w:ind w:hanging="360" w:left="1440"/>
      </w:pPr>
      <w:rPr>
        <w:rFonts w:ascii="Symbol" w:hAnsi="Symbol"/>
      </w:rPr>
    </w:lvl>
    <w:lvl w:ilvl="2" w:tplc="5123B87B">
      <w:start w:val="1"/>
      <w:numFmt w:val="bullet"/>
      <w:suff w:val="tab"/>
      <w:lvlText w:val="·"/>
      <w:lvlJc w:val="left"/>
      <w:pPr>
        <w:ind w:hanging="360" w:left="2160"/>
      </w:pPr>
      <w:rPr>
        <w:rFonts w:ascii="Symbol" w:hAnsi="Symbol"/>
      </w:rPr>
    </w:lvl>
    <w:lvl w:ilvl="3" w:tplc="44024106">
      <w:start w:val="1"/>
      <w:numFmt w:val="bullet"/>
      <w:suff w:val="tab"/>
      <w:lvlText w:val="o"/>
      <w:lvlJc w:val="left"/>
      <w:pPr>
        <w:ind w:hanging="360" w:left="2880"/>
      </w:pPr>
      <w:rPr>
        <w:rFonts w:ascii="Symbol" w:hAnsi="Symbol"/>
      </w:rPr>
    </w:lvl>
    <w:lvl w:ilvl="4" w:tplc="0D7D83D9">
      <w:start w:val="1"/>
      <w:numFmt w:val="bullet"/>
      <w:suff w:val="tab"/>
      <w:lvlText w:val="·"/>
      <w:lvlJc w:val="left"/>
      <w:pPr>
        <w:ind w:hanging="360" w:left="3600"/>
      </w:pPr>
      <w:rPr>
        <w:rFonts w:ascii="Symbol" w:hAnsi="Symbol"/>
      </w:rPr>
    </w:lvl>
    <w:lvl w:ilvl="5" w:tplc="4DB1989B">
      <w:start w:val="1"/>
      <w:numFmt w:val="bullet"/>
      <w:suff w:val="tab"/>
      <w:lvlText w:val="o"/>
      <w:lvlJc w:val="left"/>
      <w:pPr>
        <w:ind w:hanging="360" w:left="4320"/>
      </w:pPr>
      <w:rPr>
        <w:rFonts w:ascii="Symbol" w:hAnsi="Symbol"/>
      </w:rPr>
    </w:lvl>
    <w:lvl w:ilvl="6" w:tplc="3E471397">
      <w:start w:val="1"/>
      <w:numFmt w:val="bullet"/>
      <w:suff w:val="tab"/>
      <w:lvlText w:val="·"/>
      <w:lvlJc w:val="left"/>
      <w:pPr>
        <w:ind w:hanging="360" w:left="5040"/>
      </w:pPr>
      <w:rPr>
        <w:rFonts w:ascii="Symbol" w:hAnsi="Symbol"/>
      </w:rPr>
    </w:lvl>
    <w:lvl w:ilvl="7" w:tplc="22E8E7F6">
      <w:start w:val="1"/>
      <w:numFmt w:val="bullet"/>
      <w:suff w:val="tab"/>
      <w:lvlText w:val="o"/>
      <w:lvlJc w:val="left"/>
      <w:pPr>
        <w:ind w:hanging="360" w:left="5760"/>
      </w:pPr>
      <w:rPr>
        <w:rFonts w:ascii="Symbol" w:hAnsi="Symbol"/>
      </w:rPr>
    </w:lvl>
    <w:lvl w:ilvl="8" w:tplc="6AFC9B6B">
      <w:start w:val="1"/>
      <w:numFmt w:val="bullet"/>
      <w:suff w:val="tab"/>
      <w:lvlText w:val="·"/>
      <w:lvlJc w:val="left"/>
      <w:pPr>
        <w:ind w:hanging="360" w:left="6480"/>
      </w:pPr>
      <w:rPr>
        <w:rFonts w:ascii="Symbol" w:hAnsi="Symbol"/>
      </w:rPr>
    </w:lvl>
  </w:abstractNum>
  <w:abstractNum w:abstractNumId="96">
    <w:nsid w:val="71912932"/>
    <w:multiLevelType w:val="hybridMultilevel"/>
    <w:lvl w:ilvl="0" w:tplc="3EC94530">
      <w:start w:val="1"/>
      <w:numFmt w:val="bullet"/>
      <w:suff w:val="tab"/>
      <w:lvlText w:val="·"/>
      <w:lvlJc w:val="left"/>
      <w:pPr>
        <w:ind w:hanging="360" w:left="720"/>
      </w:pPr>
      <w:rPr>
        <w:rFonts w:ascii="Symbol" w:hAnsi="Symbol" w:cs="Symbol" w:eastAsia="Symbol"/>
      </w:rPr>
    </w:lvl>
    <w:lvl w:ilvl="1" w:tplc="608B45B3">
      <w:start w:val="1"/>
      <w:numFmt w:val="bullet"/>
      <w:suff w:val="tab"/>
      <w:lvlText w:val="o"/>
      <w:lvlJc w:val="left"/>
      <w:pPr>
        <w:ind w:hanging="360" w:left="1440"/>
      </w:pPr>
      <w:rPr>
        <w:rFonts w:ascii="Symbol" w:hAnsi="Symbol"/>
      </w:rPr>
    </w:lvl>
    <w:lvl w:ilvl="2" w:tplc="0834BA9E">
      <w:start w:val="1"/>
      <w:numFmt w:val="bullet"/>
      <w:suff w:val="tab"/>
      <w:lvlText w:val="·"/>
      <w:lvlJc w:val="left"/>
      <w:pPr>
        <w:ind w:hanging="360" w:left="2160"/>
      </w:pPr>
      <w:rPr>
        <w:rFonts w:ascii="Symbol" w:hAnsi="Symbol"/>
      </w:rPr>
    </w:lvl>
    <w:lvl w:ilvl="3" w:tplc="4CC2C1FC">
      <w:start w:val="1"/>
      <w:numFmt w:val="bullet"/>
      <w:suff w:val="tab"/>
      <w:lvlText w:val="o"/>
      <w:lvlJc w:val="left"/>
      <w:pPr>
        <w:ind w:hanging="360" w:left="2880"/>
      </w:pPr>
      <w:rPr>
        <w:rFonts w:ascii="Symbol" w:hAnsi="Symbol"/>
      </w:rPr>
    </w:lvl>
    <w:lvl w:ilvl="4" w:tplc="62A31705">
      <w:start w:val="1"/>
      <w:numFmt w:val="bullet"/>
      <w:suff w:val="tab"/>
      <w:lvlText w:val="·"/>
      <w:lvlJc w:val="left"/>
      <w:pPr>
        <w:ind w:hanging="360" w:left="3600"/>
      </w:pPr>
      <w:rPr>
        <w:rFonts w:ascii="Symbol" w:hAnsi="Symbol"/>
      </w:rPr>
    </w:lvl>
    <w:lvl w:ilvl="5" w:tplc="1008E3E0">
      <w:start w:val="1"/>
      <w:numFmt w:val="bullet"/>
      <w:suff w:val="tab"/>
      <w:lvlText w:val="o"/>
      <w:lvlJc w:val="left"/>
      <w:pPr>
        <w:ind w:hanging="360" w:left="4320"/>
      </w:pPr>
      <w:rPr>
        <w:rFonts w:ascii="Symbol" w:hAnsi="Symbol"/>
      </w:rPr>
    </w:lvl>
    <w:lvl w:ilvl="6" w:tplc="56E2B0EE">
      <w:start w:val="1"/>
      <w:numFmt w:val="bullet"/>
      <w:suff w:val="tab"/>
      <w:lvlText w:val="·"/>
      <w:lvlJc w:val="left"/>
      <w:pPr>
        <w:ind w:hanging="360" w:left="5040"/>
      </w:pPr>
      <w:rPr>
        <w:rFonts w:ascii="Symbol" w:hAnsi="Symbol"/>
      </w:rPr>
    </w:lvl>
    <w:lvl w:ilvl="7" w:tplc="43549D8A">
      <w:start w:val="1"/>
      <w:numFmt w:val="bullet"/>
      <w:suff w:val="tab"/>
      <w:lvlText w:val="o"/>
      <w:lvlJc w:val="left"/>
      <w:pPr>
        <w:ind w:hanging="360" w:left="5760"/>
      </w:pPr>
      <w:rPr>
        <w:rFonts w:ascii="Symbol" w:hAnsi="Symbol"/>
      </w:rPr>
    </w:lvl>
    <w:lvl w:ilvl="8" w:tplc="7CF55A5E">
      <w:start w:val="1"/>
      <w:numFmt w:val="bullet"/>
      <w:suff w:val="tab"/>
      <w:lvlText w:val="·"/>
      <w:lvlJc w:val="left"/>
      <w:pPr>
        <w:ind w:hanging="360" w:left="6480"/>
      </w:pPr>
      <w:rPr>
        <w:rFonts w:ascii="Symbol" w:hAnsi="Symbol"/>
      </w:rPr>
    </w:lvl>
  </w:abstractNum>
  <w:abstractNum w:abstractNumId="97">
    <w:nsid w:val="0C8FF9C4"/>
    <w:multiLevelType w:val="hybridMultilevel"/>
    <w:lvl w:ilvl="0" w:tplc="3E5FDF1E">
      <w:start w:val="1"/>
      <w:numFmt w:val="bullet"/>
      <w:suff w:val="tab"/>
      <w:lvlText w:val="·"/>
      <w:lvlJc w:val="left"/>
      <w:pPr>
        <w:ind w:hanging="360" w:left="720"/>
      </w:pPr>
      <w:rPr>
        <w:rFonts w:ascii="Symbol" w:hAnsi="Symbol" w:cs="Symbol" w:eastAsia="Symbol"/>
      </w:rPr>
    </w:lvl>
    <w:lvl w:ilvl="1" w:tplc="17BAA124">
      <w:start w:val="1"/>
      <w:numFmt w:val="bullet"/>
      <w:suff w:val="tab"/>
      <w:lvlText w:val="o"/>
      <w:lvlJc w:val="left"/>
      <w:pPr>
        <w:ind w:hanging="360" w:left="1440"/>
      </w:pPr>
      <w:rPr>
        <w:rFonts w:ascii="Symbol" w:hAnsi="Symbol"/>
      </w:rPr>
    </w:lvl>
    <w:lvl w:ilvl="2" w:tplc="453F337F">
      <w:start w:val="1"/>
      <w:numFmt w:val="bullet"/>
      <w:suff w:val="tab"/>
      <w:lvlText w:val="·"/>
      <w:lvlJc w:val="left"/>
      <w:pPr>
        <w:ind w:hanging="360" w:left="2160"/>
      </w:pPr>
      <w:rPr>
        <w:rFonts w:ascii="Symbol" w:hAnsi="Symbol"/>
      </w:rPr>
    </w:lvl>
    <w:lvl w:ilvl="3" w:tplc="1CB89492">
      <w:start w:val="1"/>
      <w:numFmt w:val="bullet"/>
      <w:suff w:val="tab"/>
      <w:lvlText w:val="o"/>
      <w:lvlJc w:val="left"/>
      <w:pPr>
        <w:ind w:hanging="360" w:left="2880"/>
      </w:pPr>
      <w:rPr>
        <w:rFonts w:ascii="Symbol" w:hAnsi="Symbol"/>
      </w:rPr>
    </w:lvl>
    <w:lvl w:ilvl="4" w:tplc="52F1C777">
      <w:start w:val="1"/>
      <w:numFmt w:val="bullet"/>
      <w:suff w:val="tab"/>
      <w:lvlText w:val="·"/>
      <w:lvlJc w:val="left"/>
      <w:pPr>
        <w:ind w:hanging="360" w:left="3600"/>
      </w:pPr>
      <w:rPr>
        <w:rFonts w:ascii="Symbol" w:hAnsi="Symbol"/>
      </w:rPr>
    </w:lvl>
    <w:lvl w:ilvl="5" w:tplc="46C96504">
      <w:start w:val="1"/>
      <w:numFmt w:val="bullet"/>
      <w:suff w:val="tab"/>
      <w:lvlText w:val="o"/>
      <w:lvlJc w:val="left"/>
      <w:pPr>
        <w:ind w:hanging="360" w:left="4320"/>
      </w:pPr>
      <w:rPr>
        <w:rFonts w:ascii="Symbol" w:hAnsi="Symbol"/>
      </w:rPr>
    </w:lvl>
    <w:lvl w:ilvl="6" w:tplc="0FBD5CA9">
      <w:start w:val="1"/>
      <w:numFmt w:val="bullet"/>
      <w:suff w:val="tab"/>
      <w:lvlText w:val="·"/>
      <w:lvlJc w:val="left"/>
      <w:pPr>
        <w:ind w:hanging="360" w:left="5040"/>
      </w:pPr>
      <w:rPr>
        <w:rFonts w:ascii="Symbol" w:hAnsi="Symbol"/>
      </w:rPr>
    </w:lvl>
    <w:lvl w:ilvl="7" w:tplc="713CA06B">
      <w:start w:val="1"/>
      <w:numFmt w:val="bullet"/>
      <w:suff w:val="tab"/>
      <w:lvlText w:val="o"/>
      <w:lvlJc w:val="left"/>
      <w:pPr>
        <w:ind w:hanging="360" w:left="5760"/>
      </w:pPr>
      <w:rPr>
        <w:rFonts w:ascii="Symbol" w:hAnsi="Symbol"/>
      </w:rPr>
    </w:lvl>
    <w:lvl w:ilvl="8" w:tplc="38D1AC3A">
      <w:start w:val="1"/>
      <w:numFmt w:val="bullet"/>
      <w:suff w:val="tab"/>
      <w:lvlText w:val="·"/>
      <w:lvlJc w:val="left"/>
      <w:pPr>
        <w:ind w:hanging="360" w:left="6480"/>
      </w:pPr>
      <w:rPr>
        <w:rFonts w:ascii="Symbol" w:hAnsi="Symbol"/>
      </w:rPr>
    </w:lvl>
  </w:abstractNum>
  <w:abstractNum w:abstractNumId="98">
    <w:nsid w:val="468074B4"/>
    <w:multiLevelType w:val="hybridMultilevel"/>
    <w:lvl w:ilvl="0" w:tplc="31BFD749">
      <w:start w:val="1"/>
      <w:numFmt w:val="bullet"/>
      <w:suff w:val="tab"/>
      <w:lvlText w:val="·"/>
      <w:lvlJc w:val="left"/>
      <w:pPr>
        <w:ind w:hanging="360" w:left="720"/>
      </w:pPr>
      <w:rPr>
        <w:rFonts w:ascii="Symbol" w:hAnsi="Symbol" w:cs="Symbol" w:eastAsia="Symbol"/>
      </w:rPr>
    </w:lvl>
    <w:lvl w:ilvl="1" w:tplc="0D5E48CD">
      <w:start w:val="1"/>
      <w:numFmt w:val="bullet"/>
      <w:suff w:val="tab"/>
      <w:lvlText w:val="o"/>
      <w:lvlJc w:val="left"/>
      <w:pPr>
        <w:ind w:hanging="360" w:left="1440"/>
      </w:pPr>
      <w:rPr>
        <w:rFonts w:ascii="Symbol" w:hAnsi="Symbol"/>
      </w:rPr>
    </w:lvl>
    <w:lvl w:ilvl="2" w:tplc="107C213A">
      <w:start w:val="1"/>
      <w:numFmt w:val="bullet"/>
      <w:suff w:val="tab"/>
      <w:lvlText w:val="·"/>
      <w:lvlJc w:val="left"/>
      <w:pPr>
        <w:ind w:hanging="360" w:left="2160"/>
      </w:pPr>
      <w:rPr>
        <w:rFonts w:ascii="Symbol" w:hAnsi="Symbol"/>
      </w:rPr>
    </w:lvl>
    <w:lvl w:ilvl="3" w:tplc="196CEC8C">
      <w:start w:val="1"/>
      <w:numFmt w:val="bullet"/>
      <w:suff w:val="tab"/>
      <w:lvlText w:val="o"/>
      <w:lvlJc w:val="left"/>
      <w:pPr>
        <w:ind w:hanging="360" w:left="2880"/>
      </w:pPr>
      <w:rPr>
        <w:rFonts w:ascii="Symbol" w:hAnsi="Symbol"/>
      </w:rPr>
    </w:lvl>
    <w:lvl w:ilvl="4" w:tplc="4F5CFE95">
      <w:start w:val="1"/>
      <w:numFmt w:val="bullet"/>
      <w:suff w:val="tab"/>
      <w:lvlText w:val="·"/>
      <w:lvlJc w:val="left"/>
      <w:pPr>
        <w:ind w:hanging="360" w:left="3600"/>
      </w:pPr>
      <w:rPr>
        <w:rFonts w:ascii="Symbol" w:hAnsi="Symbol"/>
      </w:rPr>
    </w:lvl>
    <w:lvl w:ilvl="5" w:tplc="4FD1E87F">
      <w:start w:val="1"/>
      <w:numFmt w:val="bullet"/>
      <w:suff w:val="tab"/>
      <w:lvlText w:val="o"/>
      <w:lvlJc w:val="left"/>
      <w:pPr>
        <w:ind w:hanging="360" w:left="4320"/>
      </w:pPr>
      <w:rPr>
        <w:rFonts w:ascii="Symbol" w:hAnsi="Symbol"/>
      </w:rPr>
    </w:lvl>
    <w:lvl w:ilvl="6" w:tplc="0D9011A4">
      <w:start w:val="1"/>
      <w:numFmt w:val="bullet"/>
      <w:suff w:val="tab"/>
      <w:lvlText w:val="·"/>
      <w:lvlJc w:val="left"/>
      <w:pPr>
        <w:ind w:hanging="360" w:left="5040"/>
      </w:pPr>
      <w:rPr>
        <w:rFonts w:ascii="Symbol" w:hAnsi="Symbol"/>
      </w:rPr>
    </w:lvl>
    <w:lvl w:ilvl="7" w:tplc="1894F6D5">
      <w:start w:val="1"/>
      <w:numFmt w:val="bullet"/>
      <w:suff w:val="tab"/>
      <w:lvlText w:val="o"/>
      <w:lvlJc w:val="left"/>
      <w:pPr>
        <w:ind w:hanging="360" w:left="5760"/>
      </w:pPr>
      <w:rPr>
        <w:rFonts w:ascii="Symbol" w:hAnsi="Symbol"/>
      </w:rPr>
    </w:lvl>
    <w:lvl w:ilvl="8" w:tplc="521B41F1">
      <w:start w:val="1"/>
      <w:numFmt w:val="bullet"/>
      <w:suff w:val="tab"/>
      <w:lvlText w:val="·"/>
      <w:lvlJc w:val="left"/>
      <w:pPr>
        <w:ind w:hanging="360" w:left="6480"/>
      </w:pPr>
      <w:rPr>
        <w:rFonts w:ascii="Symbol" w:hAnsi="Symbol"/>
      </w:rPr>
    </w:lvl>
  </w:abstractNum>
  <w:abstractNum w:abstractNumId="99">
    <w:nsid w:val="760C72EE"/>
    <w:multiLevelType w:val="hybridMultilevel"/>
    <w:lvl w:ilvl="0" w:tplc="2E36F6B8">
      <w:start w:val="1"/>
      <w:numFmt w:val="bullet"/>
      <w:suff w:val="tab"/>
      <w:lvlText w:val="·"/>
      <w:lvlJc w:val="left"/>
      <w:pPr>
        <w:ind w:hanging="360" w:left="720"/>
      </w:pPr>
      <w:rPr>
        <w:rFonts w:ascii="Symbol" w:hAnsi="Symbol" w:cs="Symbol" w:eastAsia="Symbol"/>
      </w:rPr>
    </w:lvl>
    <w:lvl w:ilvl="1" w:tplc="42F2A404">
      <w:start w:val="1"/>
      <w:numFmt w:val="bullet"/>
      <w:suff w:val="tab"/>
      <w:lvlText w:val="o"/>
      <w:lvlJc w:val="left"/>
      <w:pPr>
        <w:ind w:hanging="360" w:left="1440"/>
      </w:pPr>
      <w:rPr>
        <w:rFonts w:ascii="Symbol" w:hAnsi="Symbol"/>
      </w:rPr>
    </w:lvl>
    <w:lvl w:ilvl="2" w:tplc="5E08E9F7">
      <w:start w:val="1"/>
      <w:numFmt w:val="bullet"/>
      <w:suff w:val="tab"/>
      <w:lvlText w:val="·"/>
      <w:lvlJc w:val="left"/>
      <w:pPr>
        <w:ind w:hanging="360" w:left="2160"/>
      </w:pPr>
      <w:rPr>
        <w:rFonts w:ascii="Symbol" w:hAnsi="Symbol"/>
      </w:rPr>
    </w:lvl>
    <w:lvl w:ilvl="3" w:tplc="3B0942B7">
      <w:start w:val="1"/>
      <w:numFmt w:val="bullet"/>
      <w:suff w:val="tab"/>
      <w:lvlText w:val="o"/>
      <w:lvlJc w:val="left"/>
      <w:pPr>
        <w:ind w:hanging="360" w:left="2880"/>
      </w:pPr>
      <w:rPr>
        <w:rFonts w:ascii="Symbol" w:hAnsi="Symbol"/>
      </w:rPr>
    </w:lvl>
    <w:lvl w:ilvl="4" w:tplc="6D9B2499">
      <w:start w:val="1"/>
      <w:numFmt w:val="bullet"/>
      <w:suff w:val="tab"/>
      <w:lvlText w:val="·"/>
      <w:lvlJc w:val="left"/>
      <w:pPr>
        <w:ind w:hanging="360" w:left="3600"/>
      </w:pPr>
      <w:rPr>
        <w:rFonts w:ascii="Symbol" w:hAnsi="Symbol"/>
      </w:rPr>
    </w:lvl>
    <w:lvl w:ilvl="5" w:tplc="45C1A9D3">
      <w:start w:val="1"/>
      <w:numFmt w:val="bullet"/>
      <w:suff w:val="tab"/>
      <w:lvlText w:val="o"/>
      <w:lvlJc w:val="left"/>
      <w:pPr>
        <w:ind w:hanging="360" w:left="4320"/>
      </w:pPr>
      <w:rPr>
        <w:rFonts w:ascii="Symbol" w:hAnsi="Symbol"/>
      </w:rPr>
    </w:lvl>
    <w:lvl w:ilvl="6" w:tplc="7DCA6DB6">
      <w:start w:val="1"/>
      <w:numFmt w:val="bullet"/>
      <w:suff w:val="tab"/>
      <w:lvlText w:val="·"/>
      <w:lvlJc w:val="left"/>
      <w:pPr>
        <w:ind w:hanging="360" w:left="5040"/>
      </w:pPr>
      <w:rPr>
        <w:rFonts w:ascii="Symbol" w:hAnsi="Symbol"/>
      </w:rPr>
    </w:lvl>
    <w:lvl w:ilvl="7" w:tplc="1099A980">
      <w:start w:val="1"/>
      <w:numFmt w:val="bullet"/>
      <w:suff w:val="tab"/>
      <w:lvlText w:val="o"/>
      <w:lvlJc w:val="left"/>
      <w:pPr>
        <w:ind w:hanging="360" w:left="5760"/>
      </w:pPr>
      <w:rPr>
        <w:rFonts w:ascii="Symbol" w:hAnsi="Symbol"/>
      </w:rPr>
    </w:lvl>
    <w:lvl w:ilvl="8" w:tplc="58A0450A">
      <w:start w:val="1"/>
      <w:numFmt w:val="bullet"/>
      <w:suff w:val="tab"/>
      <w:lvlText w:val="·"/>
      <w:lvlJc w:val="left"/>
      <w:pPr>
        <w:ind w:hanging="360" w:left="6480"/>
      </w:pPr>
      <w:rPr>
        <w:rFonts w:ascii="Symbol" w:hAnsi="Symbol"/>
      </w:rPr>
    </w:lvl>
  </w:abstractNum>
  <w:abstractNum w:abstractNumId="100">
    <w:nsid w:val="0E403D74"/>
    <w:multiLevelType w:val="hybridMultilevel"/>
    <w:lvl w:ilvl="0" w:tplc="27DD5C57">
      <w:start w:val="1"/>
      <w:numFmt w:val="bullet"/>
      <w:suff w:val="tab"/>
      <w:lvlText w:val="·"/>
      <w:lvlJc w:val="left"/>
      <w:pPr>
        <w:ind w:hanging="360" w:left="720"/>
      </w:pPr>
      <w:rPr>
        <w:rFonts w:ascii="Symbol" w:hAnsi="Symbol" w:cs="Symbol" w:eastAsia="Symbol"/>
      </w:rPr>
    </w:lvl>
    <w:lvl w:ilvl="1" w:tplc="2D8B524B">
      <w:start w:val="1"/>
      <w:numFmt w:val="bullet"/>
      <w:suff w:val="tab"/>
      <w:lvlText w:val="o"/>
      <w:lvlJc w:val="left"/>
      <w:pPr>
        <w:ind w:hanging="360" w:left="1440"/>
      </w:pPr>
      <w:rPr>
        <w:rFonts w:ascii="Symbol" w:hAnsi="Symbol"/>
      </w:rPr>
    </w:lvl>
    <w:lvl w:ilvl="2" w:tplc="3614E61C">
      <w:start w:val="1"/>
      <w:numFmt w:val="bullet"/>
      <w:suff w:val="tab"/>
      <w:lvlText w:val="·"/>
      <w:lvlJc w:val="left"/>
      <w:pPr>
        <w:ind w:hanging="360" w:left="2160"/>
      </w:pPr>
      <w:rPr>
        <w:rFonts w:ascii="Symbol" w:hAnsi="Symbol"/>
      </w:rPr>
    </w:lvl>
    <w:lvl w:ilvl="3" w:tplc="2909597F">
      <w:start w:val="1"/>
      <w:numFmt w:val="bullet"/>
      <w:suff w:val="tab"/>
      <w:lvlText w:val="o"/>
      <w:lvlJc w:val="left"/>
      <w:pPr>
        <w:ind w:hanging="360" w:left="2880"/>
      </w:pPr>
      <w:rPr>
        <w:rFonts w:ascii="Symbol" w:hAnsi="Symbol"/>
      </w:rPr>
    </w:lvl>
    <w:lvl w:ilvl="4" w:tplc="54645ED4">
      <w:start w:val="1"/>
      <w:numFmt w:val="bullet"/>
      <w:suff w:val="tab"/>
      <w:lvlText w:val="·"/>
      <w:lvlJc w:val="left"/>
      <w:pPr>
        <w:ind w:hanging="360" w:left="3600"/>
      </w:pPr>
      <w:rPr>
        <w:rFonts w:ascii="Symbol" w:hAnsi="Symbol"/>
      </w:rPr>
    </w:lvl>
    <w:lvl w:ilvl="5" w:tplc="4C3456C3">
      <w:start w:val="1"/>
      <w:numFmt w:val="bullet"/>
      <w:suff w:val="tab"/>
      <w:lvlText w:val="o"/>
      <w:lvlJc w:val="left"/>
      <w:pPr>
        <w:ind w:hanging="360" w:left="4320"/>
      </w:pPr>
      <w:rPr>
        <w:rFonts w:ascii="Symbol" w:hAnsi="Symbol"/>
      </w:rPr>
    </w:lvl>
    <w:lvl w:ilvl="6" w:tplc="3DAF9179">
      <w:start w:val="1"/>
      <w:numFmt w:val="bullet"/>
      <w:suff w:val="tab"/>
      <w:lvlText w:val="·"/>
      <w:lvlJc w:val="left"/>
      <w:pPr>
        <w:ind w:hanging="360" w:left="5040"/>
      </w:pPr>
      <w:rPr>
        <w:rFonts w:ascii="Symbol" w:hAnsi="Symbol"/>
      </w:rPr>
    </w:lvl>
    <w:lvl w:ilvl="7" w:tplc="4C03B3BA">
      <w:start w:val="1"/>
      <w:numFmt w:val="bullet"/>
      <w:suff w:val="tab"/>
      <w:lvlText w:val="o"/>
      <w:lvlJc w:val="left"/>
      <w:pPr>
        <w:ind w:hanging="360" w:left="5760"/>
      </w:pPr>
      <w:rPr>
        <w:rFonts w:ascii="Symbol" w:hAnsi="Symbol"/>
      </w:rPr>
    </w:lvl>
    <w:lvl w:ilvl="8" w:tplc="30233E85">
      <w:start w:val="1"/>
      <w:numFmt w:val="bullet"/>
      <w:suff w:val="tab"/>
      <w:lvlText w:val="·"/>
      <w:lvlJc w:val="left"/>
      <w:pPr>
        <w:ind w:hanging="360" w:left="6480"/>
      </w:pPr>
      <w:rPr>
        <w:rFonts w:ascii="Symbol" w:hAnsi="Symbol"/>
      </w:rPr>
    </w:lvl>
  </w:abstractNum>
  <w:abstractNum w:abstractNumId="101">
    <w:nsid w:val="6AEACBC6"/>
    <w:multiLevelType w:val="hybridMultilevel"/>
    <w:lvl w:ilvl="0" w:tplc="76CB204F">
      <w:start w:val="1"/>
      <w:numFmt w:val="bullet"/>
      <w:suff w:val="tab"/>
      <w:lvlText w:val="·"/>
      <w:lvlJc w:val="left"/>
      <w:pPr>
        <w:ind w:hanging="360" w:left="720"/>
      </w:pPr>
      <w:rPr>
        <w:rFonts w:ascii="Symbol" w:hAnsi="Symbol" w:cs="Symbol" w:eastAsia="Symbol"/>
      </w:rPr>
    </w:lvl>
    <w:lvl w:ilvl="1" w:tplc="693DE13F">
      <w:start w:val="1"/>
      <w:numFmt w:val="bullet"/>
      <w:suff w:val="tab"/>
      <w:lvlText w:val="o"/>
      <w:lvlJc w:val="left"/>
      <w:pPr>
        <w:ind w:hanging="360" w:left="1440"/>
      </w:pPr>
      <w:rPr>
        <w:rFonts w:ascii="Symbol" w:hAnsi="Symbol"/>
      </w:rPr>
    </w:lvl>
    <w:lvl w:ilvl="2" w:tplc="52ED4FF0">
      <w:start w:val="1"/>
      <w:numFmt w:val="bullet"/>
      <w:suff w:val="tab"/>
      <w:lvlText w:val="·"/>
      <w:lvlJc w:val="left"/>
      <w:pPr>
        <w:ind w:hanging="360" w:left="2160"/>
      </w:pPr>
      <w:rPr>
        <w:rFonts w:ascii="Symbol" w:hAnsi="Symbol"/>
      </w:rPr>
    </w:lvl>
    <w:lvl w:ilvl="3" w:tplc="100CED56">
      <w:start w:val="1"/>
      <w:numFmt w:val="bullet"/>
      <w:suff w:val="tab"/>
      <w:lvlText w:val="o"/>
      <w:lvlJc w:val="left"/>
      <w:pPr>
        <w:ind w:hanging="360" w:left="2880"/>
      </w:pPr>
      <w:rPr>
        <w:rFonts w:ascii="Symbol" w:hAnsi="Symbol"/>
      </w:rPr>
    </w:lvl>
    <w:lvl w:ilvl="4" w:tplc="2CD3EAAE">
      <w:start w:val="1"/>
      <w:numFmt w:val="bullet"/>
      <w:suff w:val="tab"/>
      <w:lvlText w:val="·"/>
      <w:lvlJc w:val="left"/>
      <w:pPr>
        <w:ind w:hanging="360" w:left="3600"/>
      </w:pPr>
      <w:rPr>
        <w:rFonts w:ascii="Symbol" w:hAnsi="Symbol"/>
      </w:rPr>
    </w:lvl>
    <w:lvl w:ilvl="5" w:tplc="3EF5FD50">
      <w:start w:val="1"/>
      <w:numFmt w:val="bullet"/>
      <w:suff w:val="tab"/>
      <w:lvlText w:val="o"/>
      <w:lvlJc w:val="left"/>
      <w:pPr>
        <w:ind w:hanging="360" w:left="4320"/>
      </w:pPr>
      <w:rPr>
        <w:rFonts w:ascii="Symbol" w:hAnsi="Symbol"/>
      </w:rPr>
    </w:lvl>
    <w:lvl w:ilvl="6" w:tplc="6D15844D">
      <w:start w:val="1"/>
      <w:numFmt w:val="bullet"/>
      <w:suff w:val="tab"/>
      <w:lvlText w:val="·"/>
      <w:lvlJc w:val="left"/>
      <w:pPr>
        <w:ind w:hanging="360" w:left="5040"/>
      </w:pPr>
      <w:rPr>
        <w:rFonts w:ascii="Symbol" w:hAnsi="Symbol"/>
      </w:rPr>
    </w:lvl>
    <w:lvl w:ilvl="7" w:tplc="69945906">
      <w:start w:val="1"/>
      <w:numFmt w:val="bullet"/>
      <w:suff w:val="tab"/>
      <w:lvlText w:val="o"/>
      <w:lvlJc w:val="left"/>
      <w:pPr>
        <w:ind w:hanging="360" w:left="5760"/>
      </w:pPr>
      <w:rPr>
        <w:rFonts w:ascii="Symbol" w:hAnsi="Symbol"/>
      </w:rPr>
    </w:lvl>
    <w:lvl w:ilvl="8" w:tplc="3F17459A">
      <w:start w:val="1"/>
      <w:numFmt w:val="bullet"/>
      <w:suff w:val="tab"/>
      <w:lvlText w:val="·"/>
      <w:lvlJc w:val="left"/>
      <w:pPr>
        <w:ind w:hanging="360" w:left="6480"/>
      </w:pPr>
      <w:rPr>
        <w:rFonts w:ascii="Symbol" w:hAnsi="Symbol"/>
      </w:rPr>
    </w:lvl>
  </w:abstractNum>
  <w:abstractNum w:abstractNumId="102">
    <w:nsid w:val="66C680D4"/>
    <w:multiLevelType w:val="hybridMultilevel"/>
    <w:lvl w:ilvl="0" w:tplc="6540BE12">
      <w:start w:val="1"/>
      <w:numFmt w:val="bullet"/>
      <w:suff w:val="tab"/>
      <w:lvlText w:val="·"/>
      <w:lvlJc w:val="left"/>
      <w:pPr>
        <w:ind w:hanging="360" w:left="720"/>
      </w:pPr>
      <w:rPr>
        <w:rFonts w:ascii="Symbol" w:hAnsi="Symbol" w:cs="Symbol" w:eastAsia="Symbol"/>
      </w:rPr>
    </w:lvl>
    <w:lvl w:ilvl="1" w:tplc="0FFC4AA4">
      <w:start w:val="1"/>
      <w:numFmt w:val="bullet"/>
      <w:suff w:val="tab"/>
      <w:lvlText w:val="o"/>
      <w:lvlJc w:val="left"/>
      <w:pPr>
        <w:ind w:hanging="360" w:left="1440"/>
      </w:pPr>
      <w:rPr>
        <w:rFonts w:ascii="Symbol" w:hAnsi="Symbol"/>
      </w:rPr>
    </w:lvl>
    <w:lvl w:ilvl="2" w:tplc="75D23E19">
      <w:start w:val="1"/>
      <w:numFmt w:val="bullet"/>
      <w:suff w:val="tab"/>
      <w:lvlText w:val="·"/>
      <w:lvlJc w:val="left"/>
      <w:pPr>
        <w:ind w:hanging="360" w:left="2160"/>
      </w:pPr>
      <w:rPr>
        <w:rFonts w:ascii="Symbol" w:hAnsi="Symbol"/>
      </w:rPr>
    </w:lvl>
    <w:lvl w:ilvl="3" w:tplc="14394B48">
      <w:start w:val="1"/>
      <w:numFmt w:val="bullet"/>
      <w:suff w:val="tab"/>
      <w:lvlText w:val="o"/>
      <w:lvlJc w:val="left"/>
      <w:pPr>
        <w:ind w:hanging="360" w:left="2880"/>
      </w:pPr>
      <w:rPr>
        <w:rFonts w:ascii="Symbol" w:hAnsi="Symbol"/>
      </w:rPr>
    </w:lvl>
    <w:lvl w:ilvl="4" w:tplc="5195DA25">
      <w:start w:val="1"/>
      <w:numFmt w:val="bullet"/>
      <w:suff w:val="tab"/>
      <w:lvlText w:val="·"/>
      <w:lvlJc w:val="left"/>
      <w:pPr>
        <w:ind w:hanging="360" w:left="3600"/>
      </w:pPr>
      <w:rPr>
        <w:rFonts w:ascii="Symbol" w:hAnsi="Symbol"/>
      </w:rPr>
    </w:lvl>
    <w:lvl w:ilvl="5" w:tplc="20E032B3">
      <w:start w:val="1"/>
      <w:numFmt w:val="bullet"/>
      <w:suff w:val="tab"/>
      <w:lvlText w:val="o"/>
      <w:lvlJc w:val="left"/>
      <w:pPr>
        <w:ind w:hanging="360" w:left="4320"/>
      </w:pPr>
      <w:rPr>
        <w:rFonts w:ascii="Symbol" w:hAnsi="Symbol"/>
      </w:rPr>
    </w:lvl>
    <w:lvl w:ilvl="6" w:tplc="63115DF1">
      <w:start w:val="1"/>
      <w:numFmt w:val="bullet"/>
      <w:suff w:val="tab"/>
      <w:lvlText w:val="·"/>
      <w:lvlJc w:val="left"/>
      <w:pPr>
        <w:ind w:hanging="360" w:left="5040"/>
      </w:pPr>
      <w:rPr>
        <w:rFonts w:ascii="Symbol" w:hAnsi="Symbol"/>
      </w:rPr>
    </w:lvl>
    <w:lvl w:ilvl="7" w:tplc="3872E639">
      <w:start w:val="1"/>
      <w:numFmt w:val="bullet"/>
      <w:suff w:val="tab"/>
      <w:lvlText w:val="o"/>
      <w:lvlJc w:val="left"/>
      <w:pPr>
        <w:ind w:hanging="360" w:left="5760"/>
      </w:pPr>
      <w:rPr>
        <w:rFonts w:ascii="Symbol" w:hAnsi="Symbol"/>
      </w:rPr>
    </w:lvl>
    <w:lvl w:ilvl="8" w:tplc="787C3DCB">
      <w:start w:val="1"/>
      <w:numFmt w:val="bullet"/>
      <w:suff w:val="tab"/>
      <w:lvlText w:val="·"/>
      <w:lvlJc w:val="left"/>
      <w:pPr>
        <w:ind w:hanging="360" w:left="6480"/>
      </w:pPr>
      <w:rPr>
        <w:rFonts w:ascii="Symbol" w:hAnsi="Symbol"/>
      </w:rPr>
    </w:lvl>
  </w:abstractNum>
  <w:abstractNum w:abstractNumId="103">
    <w:nsid w:val="483653B0"/>
    <w:multiLevelType w:val="hybridMultilevel"/>
    <w:lvl w:ilvl="0" w:tplc="21880152">
      <w:start w:val="1"/>
      <w:numFmt w:val="bullet"/>
      <w:suff w:val="tab"/>
      <w:lvlText w:val="·"/>
      <w:lvlJc w:val="left"/>
      <w:pPr>
        <w:ind w:hanging="360" w:left="720"/>
      </w:pPr>
      <w:rPr>
        <w:rFonts w:ascii="Symbol" w:hAnsi="Symbol" w:cs="Symbol" w:eastAsia="Symbol"/>
      </w:rPr>
    </w:lvl>
    <w:lvl w:ilvl="1" w:tplc="4151CC36">
      <w:start w:val="1"/>
      <w:numFmt w:val="bullet"/>
      <w:suff w:val="tab"/>
      <w:lvlText w:val="o"/>
      <w:lvlJc w:val="left"/>
      <w:pPr>
        <w:ind w:hanging="360" w:left="1440"/>
      </w:pPr>
      <w:rPr>
        <w:rFonts w:ascii="Symbol" w:hAnsi="Symbol"/>
      </w:rPr>
    </w:lvl>
    <w:lvl w:ilvl="2" w:tplc="2839422D">
      <w:start w:val="1"/>
      <w:numFmt w:val="bullet"/>
      <w:suff w:val="tab"/>
      <w:lvlText w:val="·"/>
      <w:lvlJc w:val="left"/>
      <w:pPr>
        <w:ind w:hanging="360" w:left="2160"/>
      </w:pPr>
      <w:rPr>
        <w:rFonts w:ascii="Symbol" w:hAnsi="Symbol"/>
      </w:rPr>
    </w:lvl>
    <w:lvl w:ilvl="3" w:tplc="10BF0419">
      <w:start w:val="1"/>
      <w:numFmt w:val="bullet"/>
      <w:suff w:val="tab"/>
      <w:lvlText w:val="o"/>
      <w:lvlJc w:val="left"/>
      <w:pPr>
        <w:ind w:hanging="360" w:left="2880"/>
      </w:pPr>
      <w:rPr>
        <w:rFonts w:ascii="Symbol" w:hAnsi="Symbol"/>
      </w:rPr>
    </w:lvl>
    <w:lvl w:ilvl="4" w:tplc="35EA07E1">
      <w:start w:val="1"/>
      <w:numFmt w:val="bullet"/>
      <w:suff w:val="tab"/>
      <w:lvlText w:val="·"/>
      <w:lvlJc w:val="left"/>
      <w:pPr>
        <w:ind w:hanging="360" w:left="3600"/>
      </w:pPr>
      <w:rPr>
        <w:rFonts w:ascii="Symbol" w:hAnsi="Symbol"/>
      </w:rPr>
    </w:lvl>
    <w:lvl w:ilvl="5" w:tplc="1B558084">
      <w:start w:val="1"/>
      <w:numFmt w:val="bullet"/>
      <w:suff w:val="tab"/>
      <w:lvlText w:val="o"/>
      <w:lvlJc w:val="left"/>
      <w:pPr>
        <w:ind w:hanging="360" w:left="4320"/>
      </w:pPr>
      <w:rPr>
        <w:rFonts w:ascii="Symbol" w:hAnsi="Symbol"/>
      </w:rPr>
    </w:lvl>
    <w:lvl w:ilvl="6" w:tplc="5635C8A1">
      <w:start w:val="1"/>
      <w:numFmt w:val="bullet"/>
      <w:suff w:val="tab"/>
      <w:lvlText w:val="·"/>
      <w:lvlJc w:val="left"/>
      <w:pPr>
        <w:ind w:hanging="360" w:left="5040"/>
      </w:pPr>
      <w:rPr>
        <w:rFonts w:ascii="Symbol" w:hAnsi="Symbol"/>
      </w:rPr>
    </w:lvl>
    <w:lvl w:ilvl="7" w:tplc="54A4B07B">
      <w:start w:val="1"/>
      <w:numFmt w:val="bullet"/>
      <w:suff w:val="tab"/>
      <w:lvlText w:val="o"/>
      <w:lvlJc w:val="left"/>
      <w:pPr>
        <w:ind w:hanging="360" w:left="5760"/>
      </w:pPr>
      <w:rPr>
        <w:rFonts w:ascii="Symbol" w:hAnsi="Symbol"/>
      </w:rPr>
    </w:lvl>
    <w:lvl w:ilvl="8" w:tplc="32DE4A97">
      <w:start w:val="1"/>
      <w:numFmt w:val="bullet"/>
      <w:suff w:val="tab"/>
      <w:lvlText w:val="·"/>
      <w:lvlJc w:val="left"/>
      <w:pPr>
        <w:ind w:hanging="360" w:left="6480"/>
      </w:pPr>
      <w:rPr>
        <w:rFonts w:ascii="Symbol" w:hAnsi="Symbol"/>
      </w:rPr>
    </w:lvl>
  </w:abstractNum>
  <w:abstractNum w:abstractNumId="104">
    <w:nsid w:val="0E8A834D"/>
    <w:multiLevelType w:val="hybridMultilevel"/>
    <w:lvl w:ilvl="0" w:tplc="03C6CA3F">
      <w:start w:val="1"/>
      <w:numFmt w:val="bullet"/>
      <w:suff w:val="tab"/>
      <w:lvlText w:val="·"/>
      <w:lvlJc w:val="left"/>
      <w:pPr>
        <w:ind w:hanging="360" w:left="720"/>
      </w:pPr>
      <w:rPr>
        <w:rFonts w:ascii="Symbol" w:hAnsi="Symbol" w:cs="Symbol" w:eastAsia="Symbol"/>
      </w:rPr>
    </w:lvl>
    <w:lvl w:ilvl="1" w:tplc="22045E92">
      <w:start w:val="1"/>
      <w:numFmt w:val="bullet"/>
      <w:suff w:val="tab"/>
      <w:lvlText w:val="o"/>
      <w:lvlJc w:val="left"/>
      <w:pPr>
        <w:ind w:hanging="360" w:left="1440"/>
      </w:pPr>
      <w:rPr>
        <w:rFonts w:ascii="Symbol" w:hAnsi="Symbol"/>
      </w:rPr>
    </w:lvl>
    <w:lvl w:ilvl="2" w:tplc="1F6DB5EC">
      <w:start w:val="1"/>
      <w:numFmt w:val="bullet"/>
      <w:suff w:val="tab"/>
      <w:lvlText w:val="·"/>
      <w:lvlJc w:val="left"/>
      <w:pPr>
        <w:ind w:hanging="360" w:left="2160"/>
      </w:pPr>
      <w:rPr>
        <w:rFonts w:ascii="Symbol" w:hAnsi="Symbol"/>
      </w:rPr>
    </w:lvl>
    <w:lvl w:ilvl="3" w:tplc="2C18E5C9">
      <w:start w:val="1"/>
      <w:numFmt w:val="bullet"/>
      <w:suff w:val="tab"/>
      <w:lvlText w:val="o"/>
      <w:lvlJc w:val="left"/>
      <w:pPr>
        <w:ind w:hanging="360" w:left="2880"/>
      </w:pPr>
      <w:rPr>
        <w:rFonts w:ascii="Symbol" w:hAnsi="Symbol"/>
      </w:rPr>
    </w:lvl>
    <w:lvl w:ilvl="4" w:tplc="40B8BD94">
      <w:start w:val="1"/>
      <w:numFmt w:val="bullet"/>
      <w:suff w:val="tab"/>
      <w:lvlText w:val="·"/>
      <w:lvlJc w:val="left"/>
      <w:pPr>
        <w:ind w:hanging="360" w:left="3600"/>
      </w:pPr>
      <w:rPr>
        <w:rFonts w:ascii="Symbol" w:hAnsi="Symbol"/>
      </w:rPr>
    </w:lvl>
    <w:lvl w:ilvl="5" w:tplc="3EFFFE7C">
      <w:start w:val="1"/>
      <w:numFmt w:val="bullet"/>
      <w:suff w:val="tab"/>
      <w:lvlText w:val="o"/>
      <w:lvlJc w:val="left"/>
      <w:pPr>
        <w:ind w:hanging="360" w:left="4320"/>
      </w:pPr>
      <w:rPr>
        <w:rFonts w:ascii="Symbol" w:hAnsi="Symbol"/>
      </w:rPr>
    </w:lvl>
    <w:lvl w:ilvl="6" w:tplc="1BF80A97">
      <w:start w:val="1"/>
      <w:numFmt w:val="bullet"/>
      <w:suff w:val="tab"/>
      <w:lvlText w:val="·"/>
      <w:lvlJc w:val="left"/>
      <w:pPr>
        <w:ind w:hanging="360" w:left="5040"/>
      </w:pPr>
      <w:rPr>
        <w:rFonts w:ascii="Symbol" w:hAnsi="Symbol"/>
      </w:rPr>
    </w:lvl>
    <w:lvl w:ilvl="7" w:tplc="5D230E62">
      <w:start w:val="1"/>
      <w:numFmt w:val="bullet"/>
      <w:suff w:val="tab"/>
      <w:lvlText w:val="o"/>
      <w:lvlJc w:val="left"/>
      <w:pPr>
        <w:ind w:hanging="360" w:left="5760"/>
      </w:pPr>
      <w:rPr>
        <w:rFonts w:ascii="Symbol" w:hAnsi="Symbol"/>
      </w:rPr>
    </w:lvl>
    <w:lvl w:ilvl="8" w:tplc="3C147554">
      <w:start w:val="1"/>
      <w:numFmt w:val="bullet"/>
      <w:suff w:val="tab"/>
      <w:lvlText w:val="·"/>
      <w:lvlJc w:val="left"/>
      <w:pPr>
        <w:ind w:hanging="360" w:left="6480"/>
      </w:pPr>
      <w:rPr>
        <w:rFonts w:ascii="Symbol" w:hAnsi="Symbol"/>
      </w:rPr>
    </w:lvl>
  </w:abstractNum>
  <w:abstractNum w:abstractNumId="105">
    <w:nsid w:val="73B16425"/>
    <w:multiLevelType w:val="hybridMultilevel"/>
    <w:lvl w:ilvl="0" w:tplc="77949E38">
      <w:start w:val="1"/>
      <w:numFmt w:val="bullet"/>
      <w:suff w:val="tab"/>
      <w:lvlText w:val="·"/>
      <w:lvlJc w:val="left"/>
      <w:pPr>
        <w:ind w:hanging="360" w:left="720"/>
      </w:pPr>
      <w:rPr>
        <w:rFonts w:ascii="Symbol" w:hAnsi="Symbol" w:cs="Symbol" w:eastAsia="Symbol"/>
      </w:rPr>
    </w:lvl>
    <w:lvl w:ilvl="1" w:tplc="1F7F472B">
      <w:start w:val="1"/>
      <w:numFmt w:val="bullet"/>
      <w:suff w:val="tab"/>
      <w:lvlText w:val="o"/>
      <w:lvlJc w:val="left"/>
      <w:pPr>
        <w:ind w:hanging="360" w:left="1440"/>
      </w:pPr>
      <w:rPr>
        <w:rFonts w:ascii="Symbol" w:hAnsi="Symbol"/>
      </w:rPr>
    </w:lvl>
    <w:lvl w:ilvl="2" w:tplc="5803E36E">
      <w:start w:val="1"/>
      <w:numFmt w:val="bullet"/>
      <w:suff w:val="tab"/>
      <w:lvlText w:val="·"/>
      <w:lvlJc w:val="left"/>
      <w:pPr>
        <w:ind w:hanging="360" w:left="2160"/>
      </w:pPr>
      <w:rPr>
        <w:rFonts w:ascii="Symbol" w:hAnsi="Symbol"/>
      </w:rPr>
    </w:lvl>
    <w:lvl w:ilvl="3" w:tplc="6492C750">
      <w:start w:val="1"/>
      <w:numFmt w:val="bullet"/>
      <w:suff w:val="tab"/>
      <w:lvlText w:val="o"/>
      <w:lvlJc w:val="left"/>
      <w:pPr>
        <w:ind w:hanging="360" w:left="2880"/>
      </w:pPr>
      <w:rPr>
        <w:rFonts w:ascii="Symbol" w:hAnsi="Symbol"/>
      </w:rPr>
    </w:lvl>
    <w:lvl w:ilvl="4" w:tplc="79355679">
      <w:start w:val="1"/>
      <w:numFmt w:val="bullet"/>
      <w:suff w:val="tab"/>
      <w:lvlText w:val="·"/>
      <w:lvlJc w:val="left"/>
      <w:pPr>
        <w:ind w:hanging="360" w:left="3600"/>
      </w:pPr>
      <w:rPr>
        <w:rFonts w:ascii="Symbol" w:hAnsi="Symbol"/>
      </w:rPr>
    </w:lvl>
    <w:lvl w:ilvl="5" w:tplc="024C6F5D">
      <w:start w:val="1"/>
      <w:numFmt w:val="bullet"/>
      <w:suff w:val="tab"/>
      <w:lvlText w:val="o"/>
      <w:lvlJc w:val="left"/>
      <w:pPr>
        <w:ind w:hanging="360" w:left="4320"/>
      </w:pPr>
      <w:rPr>
        <w:rFonts w:ascii="Symbol" w:hAnsi="Symbol"/>
      </w:rPr>
    </w:lvl>
    <w:lvl w:ilvl="6" w:tplc="7CA8E5D9">
      <w:start w:val="1"/>
      <w:numFmt w:val="bullet"/>
      <w:suff w:val="tab"/>
      <w:lvlText w:val="·"/>
      <w:lvlJc w:val="left"/>
      <w:pPr>
        <w:ind w:hanging="360" w:left="5040"/>
      </w:pPr>
      <w:rPr>
        <w:rFonts w:ascii="Symbol" w:hAnsi="Symbol"/>
      </w:rPr>
    </w:lvl>
    <w:lvl w:ilvl="7" w:tplc="05666672">
      <w:start w:val="1"/>
      <w:numFmt w:val="bullet"/>
      <w:suff w:val="tab"/>
      <w:lvlText w:val="o"/>
      <w:lvlJc w:val="left"/>
      <w:pPr>
        <w:ind w:hanging="360" w:left="5760"/>
      </w:pPr>
      <w:rPr>
        <w:rFonts w:ascii="Symbol" w:hAnsi="Symbol"/>
      </w:rPr>
    </w:lvl>
    <w:lvl w:ilvl="8" w:tplc="3FF2B686">
      <w:start w:val="1"/>
      <w:numFmt w:val="bullet"/>
      <w:suff w:val="tab"/>
      <w:lvlText w:val="·"/>
      <w:lvlJc w:val="left"/>
      <w:pPr>
        <w:ind w:hanging="360" w:left="6480"/>
      </w:pPr>
      <w:rPr>
        <w:rFonts w:ascii="Symbol" w:hAnsi="Symbol"/>
      </w:rPr>
    </w:lvl>
  </w:abstractNum>
  <w:abstractNum w:abstractNumId="106">
    <w:nsid w:val="481BFAD6"/>
    <w:multiLevelType w:val="hybridMultilevel"/>
    <w:lvl w:ilvl="0" w:tplc="708D49F5">
      <w:start w:val="1"/>
      <w:numFmt w:val="bullet"/>
      <w:suff w:val="tab"/>
      <w:lvlText w:val="·"/>
      <w:lvlJc w:val="left"/>
      <w:pPr>
        <w:ind w:hanging="360" w:left="720"/>
      </w:pPr>
      <w:rPr>
        <w:rFonts w:ascii="Symbol" w:hAnsi="Symbol" w:cs="Symbol" w:eastAsia="Symbol"/>
      </w:rPr>
    </w:lvl>
    <w:lvl w:ilvl="1" w:tplc="2D9EFC59">
      <w:start w:val="1"/>
      <w:numFmt w:val="bullet"/>
      <w:suff w:val="tab"/>
      <w:lvlText w:val="o"/>
      <w:lvlJc w:val="left"/>
      <w:pPr>
        <w:ind w:hanging="360" w:left="1440"/>
      </w:pPr>
      <w:rPr>
        <w:rFonts w:ascii="Symbol" w:hAnsi="Symbol"/>
      </w:rPr>
    </w:lvl>
    <w:lvl w:ilvl="2" w:tplc="1434F39D">
      <w:start w:val="1"/>
      <w:numFmt w:val="bullet"/>
      <w:suff w:val="tab"/>
      <w:lvlText w:val="·"/>
      <w:lvlJc w:val="left"/>
      <w:pPr>
        <w:ind w:hanging="360" w:left="2160"/>
      </w:pPr>
      <w:rPr>
        <w:rFonts w:ascii="Symbol" w:hAnsi="Symbol"/>
      </w:rPr>
    </w:lvl>
    <w:lvl w:ilvl="3" w:tplc="07B74AFE">
      <w:start w:val="1"/>
      <w:numFmt w:val="bullet"/>
      <w:suff w:val="tab"/>
      <w:lvlText w:val="o"/>
      <w:lvlJc w:val="left"/>
      <w:pPr>
        <w:ind w:hanging="360" w:left="2880"/>
      </w:pPr>
      <w:rPr>
        <w:rFonts w:ascii="Symbol" w:hAnsi="Symbol"/>
      </w:rPr>
    </w:lvl>
    <w:lvl w:ilvl="4" w:tplc="596CB3F3">
      <w:start w:val="1"/>
      <w:numFmt w:val="bullet"/>
      <w:suff w:val="tab"/>
      <w:lvlText w:val="·"/>
      <w:lvlJc w:val="left"/>
      <w:pPr>
        <w:ind w:hanging="360" w:left="3600"/>
      </w:pPr>
      <w:rPr>
        <w:rFonts w:ascii="Symbol" w:hAnsi="Symbol"/>
      </w:rPr>
    </w:lvl>
    <w:lvl w:ilvl="5" w:tplc="59AC320B">
      <w:start w:val="1"/>
      <w:numFmt w:val="bullet"/>
      <w:suff w:val="tab"/>
      <w:lvlText w:val="o"/>
      <w:lvlJc w:val="left"/>
      <w:pPr>
        <w:ind w:hanging="360" w:left="4320"/>
      </w:pPr>
      <w:rPr>
        <w:rFonts w:ascii="Symbol" w:hAnsi="Symbol"/>
      </w:rPr>
    </w:lvl>
    <w:lvl w:ilvl="6" w:tplc="735809D8">
      <w:start w:val="1"/>
      <w:numFmt w:val="bullet"/>
      <w:suff w:val="tab"/>
      <w:lvlText w:val="·"/>
      <w:lvlJc w:val="left"/>
      <w:pPr>
        <w:ind w:hanging="360" w:left="5040"/>
      </w:pPr>
      <w:rPr>
        <w:rFonts w:ascii="Symbol" w:hAnsi="Symbol"/>
      </w:rPr>
    </w:lvl>
    <w:lvl w:ilvl="7" w:tplc="099C9AB3">
      <w:start w:val="1"/>
      <w:numFmt w:val="bullet"/>
      <w:suff w:val="tab"/>
      <w:lvlText w:val="o"/>
      <w:lvlJc w:val="left"/>
      <w:pPr>
        <w:ind w:hanging="360" w:left="5760"/>
      </w:pPr>
      <w:rPr>
        <w:rFonts w:ascii="Symbol" w:hAnsi="Symbol"/>
      </w:rPr>
    </w:lvl>
    <w:lvl w:ilvl="8" w:tplc="6D86A8C2">
      <w:start w:val="1"/>
      <w:numFmt w:val="bullet"/>
      <w:suff w:val="tab"/>
      <w:lvlText w:val="·"/>
      <w:lvlJc w:val="left"/>
      <w:pPr>
        <w:ind w:hanging="360" w:left="6480"/>
      </w:pPr>
      <w:rPr>
        <w:rFonts w:ascii="Symbol" w:hAnsi="Symbol"/>
      </w:rPr>
    </w:lvl>
  </w:abstractNum>
  <w:abstractNum w:abstractNumId="107">
    <w:nsid w:val="6EAF797B"/>
    <w:multiLevelType w:val="hybridMultilevel"/>
    <w:lvl w:ilvl="0" w:tplc="7630B7A3">
      <w:start w:val="1"/>
      <w:numFmt w:val="bullet"/>
      <w:suff w:val="tab"/>
      <w:lvlText w:val="·"/>
      <w:lvlJc w:val="left"/>
      <w:pPr>
        <w:ind w:hanging="360" w:left="720"/>
      </w:pPr>
      <w:rPr>
        <w:rFonts w:ascii="Symbol" w:hAnsi="Symbol" w:cs="Symbol" w:eastAsia="Symbol"/>
      </w:rPr>
    </w:lvl>
    <w:lvl w:ilvl="1" w:tplc="4BB56BEB">
      <w:start w:val="1"/>
      <w:numFmt w:val="bullet"/>
      <w:suff w:val="tab"/>
      <w:lvlText w:val="o"/>
      <w:lvlJc w:val="left"/>
      <w:pPr>
        <w:ind w:hanging="360" w:left="1440"/>
      </w:pPr>
      <w:rPr>
        <w:rFonts w:ascii="Courier New" w:hAnsi="Courier New" w:cs="Courier New" w:eastAsia="Courier New"/>
      </w:rPr>
    </w:lvl>
    <w:lvl w:ilvl="2" w:tplc="51C73D33">
      <w:start w:val="1"/>
      <w:numFmt w:val="bullet"/>
      <w:suff w:val="tab"/>
      <w:lvlText w:val="·"/>
      <w:lvlJc w:val="left"/>
      <w:pPr>
        <w:ind w:hanging="360" w:left="2160"/>
      </w:pPr>
      <w:rPr>
        <w:rFonts w:ascii="Symbol" w:hAnsi="Symbol"/>
      </w:rPr>
    </w:lvl>
    <w:lvl w:ilvl="3" w:tplc="79FDFEE7">
      <w:start w:val="1"/>
      <w:numFmt w:val="bullet"/>
      <w:suff w:val="tab"/>
      <w:lvlText w:val="o"/>
      <w:lvlJc w:val="left"/>
      <w:pPr>
        <w:ind w:hanging="360" w:left="2880"/>
      </w:pPr>
      <w:rPr>
        <w:rFonts w:ascii="Symbol" w:hAnsi="Symbol"/>
      </w:rPr>
    </w:lvl>
    <w:lvl w:ilvl="4" w:tplc="10B868C8">
      <w:start w:val="1"/>
      <w:numFmt w:val="bullet"/>
      <w:suff w:val="tab"/>
      <w:lvlText w:val="·"/>
      <w:lvlJc w:val="left"/>
      <w:pPr>
        <w:ind w:hanging="360" w:left="3600"/>
      </w:pPr>
      <w:rPr>
        <w:rFonts w:ascii="Symbol" w:hAnsi="Symbol"/>
      </w:rPr>
    </w:lvl>
    <w:lvl w:ilvl="5" w:tplc="30CBDA80">
      <w:start w:val="1"/>
      <w:numFmt w:val="bullet"/>
      <w:suff w:val="tab"/>
      <w:lvlText w:val="o"/>
      <w:lvlJc w:val="left"/>
      <w:pPr>
        <w:ind w:hanging="360" w:left="4320"/>
      </w:pPr>
      <w:rPr>
        <w:rFonts w:ascii="Symbol" w:hAnsi="Symbol"/>
      </w:rPr>
    </w:lvl>
    <w:lvl w:ilvl="6" w:tplc="418C6790">
      <w:start w:val="1"/>
      <w:numFmt w:val="bullet"/>
      <w:suff w:val="tab"/>
      <w:lvlText w:val="·"/>
      <w:lvlJc w:val="left"/>
      <w:pPr>
        <w:ind w:hanging="360" w:left="5040"/>
      </w:pPr>
      <w:rPr>
        <w:rFonts w:ascii="Symbol" w:hAnsi="Symbol"/>
      </w:rPr>
    </w:lvl>
    <w:lvl w:ilvl="7" w:tplc="3103E74B">
      <w:start w:val="1"/>
      <w:numFmt w:val="bullet"/>
      <w:suff w:val="tab"/>
      <w:lvlText w:val="o"/>
      <w:lvlJc w:val="left"/>
      <w:pPr>
        <w:ind w:hanging="360" w:left="5760"/>
      </w:pPr>
      <w:rPr>
        <w:rFonts w:ascii="Symbol" w:hAnsi="Symbol"/>
      </w:rPr>
    </w:lvl>
    <w:lvl w:ilvl="8" w:tplc="41117B1B">
      <w:start w:val="1"/>
      <w:numFmt w:val="bullet"/>
      <w:suff w:val="tab"/>
      <w:lvlText w:val="·"/>
      <w:lvlJc w:val="left"/>
      <w:pPr>
        <w:ind w:hanging="360" w:left="6480"/>
      </w:pPr>
      <w:rPr>
        <w:rFonts w:ascii="Symbol" w:hAnsi="Symbol"/>
      </w:rPr>
    </w:lvl>
  </w:abstractNum>
  <w:abstractNum w:abstractNumId="108">
    <w:nsid w:val="697B825A"/>
    <w:multiLevelType w:val="hybridMultilevel"/>
    <w:lvl w:ilvl="0" w:tplc="0EEC29D6">
      <w:start w:val="1"/>
      <w:numFmt w:val="bullet"/>
      <w:suff w:val="tab"/>
      <w:lvlText w:val="·"/>
      <w:lvlJc w:val="left"/>
      <w:pPr>
        <w:ind w:hanging="360" w:left="720"/>
      </w:pPr>
      <w:rPr>
        <w:rFonts w:ascii="Symbol" w:hAnsi="Symbol" w:cs="Symbol" w:eastAsia="Symbol"/>
      </w:rPr>
    </w:lvl>
    <w:lvl w:ilvl="1" w:tplc="40A5E470">
      <w:start w:val="1"/>
      <w:numFmt w:val="bullet"/>
      <w:suff w:val="tab"/>
      <w:lvlText w:val="o"/>
      <w:lvlJc w:val="left"/>
      <w:pPr>
        <w:ind w:hanging="360" w:left="1440"/>
      </w:pPr>
      <w:rPr>
        <w:rFonts w:ascii="Symbol" w:hAnsi="Symbol"/>
      </w:rPr>
    </w:lvl>
    <w:lvl w:ilvl="2" w:tplc="2E051B58">
      <w:start w:val="1"/>
      <w:numFmt w:val="bullet"/>
      <w:suff w:val="tab"/>
      <w:lvlText w:val="·"/>
      <w:lvlJc w:val="left"/>
      <w:pPr>
        <w:ind w:hanging="360" w:left="2160"/>
      </w:pPr>
      <w:rPr>
        <w:rFonts w:ascii="Symbol" w:hAnsi="Symbol"/>
      </w:rPr>
    </w:lvl>
    <w:lvl w:ilvl="3" w:tplc="20FCD67E">
      <w:start w:val="1"/>
      <w:numFmt w:val="bullet"/>
      <w:suff w:val="tab"/>
      <w:lvlText w:val="o"/>
      <w:lvlJc w:val="left"/>
      <w:pPr>
        <w:ind w:hanging="360" w:left="2880"/>
      </w:pPr>
      <w:rPr>
        <w:rFonts w:ascii="Symbol" w:hAnsi="Symbol"/>
      </w:rPr>
    </w:lvl>
    <w:lvl w:ilvl="4" w:tplc="52281979">
      <w:start w:val="1"/>
      <w:numFmt w:val="bullet"/>
      <w:suff w:val="tab"/>
      <w:lvlText w:val="·"/>
      <w:lvlJc w:val="left"/>
      <w:pPr>
        <w:ind w:hanging="360" w:left="3600"/>
      </w:pPr>
      <w:rPr>
        <w:rFonts w:ascii="Symbol" w:hAnsi="Symbol"/>
      </w:rPr>
    </w:lvl>
    <w:lvl w:ilvl="5" w:tplc="3A76ADCB">
      <w:start w:val="1"/>
      <w:numFmt w:val="bullet"/>
      <w:suff w:val="tab"/>
      <w:lvlText w:val="o"/>
      <w:lvlJc w:val="left"/>
      <w:pPr>
        <w:ind w:hanging="360" w:left="4320"/>
      </w:pPr>
      <w:rPr>
        <w:rFonts w:ascii="Symbol" w:hAnsi="Symbol"/>
      </w:rPr>
    </w:lvl>
    <w:lvl w:ilvl="6" w:tplc="0FDEA1E5">
      <w:start w:val="1"/>
      <w:numFmt w:val="bullet"/>
      <w:suff w:val="tab"/>
      <w:lvlText w:val="·"/>
      <w:lvlJc w:val="left"/>
      <w:pPr>
        <w:ind w:hanging="360" w:left="5040"/>
      </w:pPr>
      <w:rPr>
        <w:rFonts w:ascii="Symbol" w:hAnsi="Symbol"/>
      </w:rPr>
    </w:lvl>
    <w:lvl w:ilvl="7" w:tplc="40A21691">
      <w:start w:val="1"/>
      <w:numFmt w:val="bullet"/>
      <w:suff w:val="tab"/>
      <w:lvlText w:val="o"/>
      <w:lvlJc w:val="left"/>
      <w:pPr>
        <w:ind w:hanging="360" w:left="5760"/>
      </w:pPr>
      <w:rPr>
        <w:rFonts w:ascii="Symbol" w:hAnsi="Symbol"/>
      </w:rPr>
    </w:lvl>
    <w:lvl w:ilvl="8" w:tplc="4D25E945">
      <w:start w:val="1"/>
      <w:numFmt w:val="bullet"/>
      <w:suff w:val="tab"/>
      <w:lvlText w:val="·"/>
      <w:lvlJc w:val="left"/>
      <w:pPr>
        <w:ind w:hanging="360" w:left="6480"/>
      </w:pPr>
      <w:rPr>
        <w:rFonts w:ascii="Symbol" w:hAnsi="Symbol"/>
      </w:rPr>
    </w:lvl>
  </w:abstractNum>
  <w:abstractNum w:abstractNumId="109">
    <w:nsid w:val="3C8ED727"/>
    <w:multiLevelType w:val="hybridMultilevel"/>
    <w:lvl w:ilvl="0" w:tplc="18827C92">
      <w:start w:val="1"/>
      <w:numFmt w:val="bullet"/>
      <w:suff w:val="tab"/>
      <w:lvlText w:val="·"/>
      <w:lvlJc w:val="left"/>
      <w:pPr>
        <w:ind w:hanging="360" w:left="720"/>
      </w:pPr>
      <w:rPr>
        <w:rFonts w:ascii="Symbol" w:hAnsi="Symbol" w:cs="Symbol" w:eastAsia="Symbol"/>
      </w:rPr>
    </w:lvl>
    <w:lvl w:ilvl="1" w:tplc="6A993E9D">
      <w:start w:val="1"/>
      <w:numFmt w:val="bullet"/>
      <w:suff w:val="tab"/>
      <w:lvlText w:val="o"/>
      <w:lvlJc w:val="left"/>
      <w:pPr>
        <w:ind w:hanging="360" w:left="1440"/>
      </w:pPr>
      <w:rPr>
        <w:rFonts w:ascii="Symbol" w:hAnsi="Symbol"/>
      </w:rPr>
    </w:lvl>
    <w:lvl w:ilvl="2" w:tplc="3B6D0BAA">
      <w:start w:val="1"/>
      <w:numFmt w:val="bullet"/>
      <w:suff w:val="tab"/>
      <w:lvlText w:val="·"/>
      <w:lvlJc w:val="left"/>
      <w:pPr>
        <w:ind w:hanging="360" w:left="2160"/>
      </w:pPr>
      <w:rPr>
        <w:rFonts w:ascii="Symbol" w:hAnsi="Symbol"/>
      </w:rPr>
    </w:lvl>
    <w:lvl w:ilvl="3" w:tplc="1A396453">
      <w:start w:val="1"/>
      <w:numFmt w:val="bullet"/>
      <w:suff w:val="tab"/>
      <w:lvlText w:val="o"/>
      <w:lvlJc w:val="left"/>
      <w:pPr>
        <w:ind w:hanging="360" w:left="2880"/>
      </w:pPr>
      <w:rPr>
        <w:rFonts w:ascii="Symbol" w:hAnsi="Symbol"/>
      </w:rPr>
    </w:lvl>
    <w:lvl w:ilvl="4" w:tplc="4DE332AC">
      <w:start w:val="1"/>
      <w:numFmt w:val="bullet"/>
      <w:suff w:val="tab"/>
      <w:lvlText w:val="·"/>
      <w:lvlJc w:val="left"/>
      <w:pPr>
        <w:ind w:hanging="360" w:left="3600"/>
      </w:pPr>
      <w:rPr>
        <w:rFonts w:ascii="Symbol" w:hAnsi="Symbol"/>
      </w:rPr>
    </w:lvl>
    <w:lvl w:ilvl="5" w:tplc="75265467">
      <w:start w:val="1"/>
      <w:numFmt w:val="bullet"/>
      <w:suff w:val="tab"/>
      <w:lvlText w:val="o"/>
      <w:lvlJc w:val="left"/>
      <w:pPr>
        <w:ind w:hanging="360" w:left="4320"/>
      </w:pPr>
      <w:rPr>
        <w:rFonts w:ascii="Symbol" w:hAnsi="Symbol"/>
      </w:rPr>
    </w:lvl>
    <w:lvl w:ilvl="6" w:tplc="12BF8D40">
      <w:start w:val="1"/>
      <w:numFmt w:val="bullet"/>
      <w:suff w:val="tab"/>
      <w:lvlText w:val="·"/>
      <w:lvlJc w:val="left"/>
      <w:pPr>
        <w:ind w:hanging="360" w:left="5040"/>
      </w:pPr>
      <w:rPr>
        <w:rFonts w:ascii="Symbol" w:hAnsi="Symbol"/>
      </w:rPr>
    </w:lvl>
    <w:lvl w:ilvl="7" w:tplc="369EF5DE">
      <w:start w:val="1"/>
      <w:numFmt w:val="bullet"/>
      <w:suff w:val="tab"/>
      <w:lvlText w:val="o"/>
      <w:lvlJc w:val="left"/>
      <w:pPr>
        <w:ind w:hanging="360" w:left="5760"/>
      </w:pPr>
      <w:rPr>
        <w:rFonts w:ascii="Symbol" w:hAnsi="Symbol"/>
      </w:rPr>
    </w:lvl>
    <w:lvl w:ilvl="8" w:tplc="1176D237">
      <w:start w:val="1"/>
      <w:numFmt w:val="bullet"/>
      <w:suff w:val="tab"/>
      <w:lvlText w:val="·"/>
      <w:lvlJc w:val="left"/>
      <w:pPr>
        <w:ind w:hanging="360" w:left="6480"/>
      </w:pPr>
      <w:rPr>
        <w:rFonts w:ascii="Symbol" w:hAnsi="Symbol"/>
      </w:rPr>
    </w:lvl>
  </w:abstractNum>
  <w:abstractNum w:abstractNumId="110">
    <w:nsid w:val="5CF75715"/>
    <w:multiLevelType w:val="hybridMultilevel"/>
    <w:lvl w:ilvl="0" w:tplc="223EC94C">
      <w:start w:val="1"/>
      <w:numFmt w:val="bullet"/>
      <w:suff w:val="tab"/>
      <w:lvlText w:val="·"/>
      <w:lvlJc w:val="left"/>
      <w:pPr>
        <w:ind w:hanging="360" w:left="720"/>
      </w:pPr>
      <w:rPr>
        <w:rFonts w:ascii="Symbol" w:hAnsi="Symbol" w:cs="Symbol" w:eastAsia="Symbol"/>
      </w:rPr>
    </w:lvl>
    <w:lvl w:ilvl="1" w:tplc="70138372">
      <w:start w:val="1"/>
      <w:numFmt w:val="bullet"/>
      <w:suff w:val="tab"/>
      <w:lvlText w:val="o"/>
      <w:lvlJc w:val="left"/>
      <w:pPr>
        <w:ind w:hanging="360" w:left="1440"/>
      </w:pPr>
      <w:rPr>
        <w:rFonts w:ascii="Symbol" w:hAnsi="Symbol"/>
      </w:rPr>
    </w:lvl>
    <w:lvl w:ilvl="2" w:tplc="63631DE8">
      <w:start w:val="1"/>
      <w:numFmt w:val="bullet"/>
      <w:suff w:val="tab"/>
      <w:lvlText w:val="·"/>
      <w:lvlJc w:val="left"/>
      <w:pPr>
        <w:ind w:hanging="360" w:left="2160"/>
      </w:pPr>
      <w:rPr>
        <w:rFonts w:ascii="Symbol" w:hAnsi="Symbol"/>
      </w:rPr>
    </w:lvl>
    <w:lvl w:ilvl="3" w:tplc="0FE65033">
      <w:start w:val="1"/>
      <w:numFmt w:val="bullet"/>
      <w:suff w:val="tab"/>
      <w:lvlText w:val="o"/>
      <w:lvlJc w:val="left"/>
      <w:pPr>
        <w:ind w:hanging="360" w:left="2880"/>
      </w:pPr>
      <w:rPr>
        <w:rFonts w:ascii="Symbol" w:hAnsi="Symbol"/>
      </w:rPr>
    </w:lvl>
    <w:lvl w:ilvl="4" w:tplc="68CDA0E5">
      <w:start w:val="1"/>
      <w:numFmt w:val="bullet"/>
      <w:suff w:val="tab"/>
      <w:lvlText w:val="·"/>
      <w:lvlJc w:val="left"/>
      <w:pPr>
        <w:ind w:hanging="360" w:left="3600"/>
      </w:pPr>
      <w:rPr>
        <w:rFonts w:ascii="Symbol" w:hAnsi="Symbol"/>
      </w:rPr>
    </w:lvl>
    <w:lvl w:ilvl="5" w:tplc="6B0D8DFE">
      <w:start w:val="1"/>
      <w:numFmt w:val="bullet"/>
      <w:suff w:val="tab"/>
      <w:lvlText w:val="o"/>
      <w:lvlJc w:val="left"/>
      <w:pPr>
        <w:ind w:hanging="360" w:left="4320"/>
      </w:pPr>
      <w:rPr>
        <w:rFonts w:ascii="Symbol" w:hAnsi="Symbol"/>
      </w:rPr>
    </w:lvl>
    <w:lvl w:ilvl="6" w:tplc="4BDDC3EA">
      <w:start w:val="1"/>
      <w:numFmt w:val="bullet"/>
      <w:suff w:val="tab"/>
      <w:lvlText w:val="·"/>
      <w:lvlJc w:val="left"/>
      <w:pPr>
        <w:ind w:hanging="360" w:left="5040"/>
      </w:pPr>
      <w:rPr>
        <w:rFonts w:ascii="Symbol" w:hAnsi="Symbol"/>
      </w:rPr>
    </w:lvl>
    <w:lvl w:ilvl="7" w:tplc="60DBD23E">
      <w:start w:val="1"/>
      <w:numFmt w:val="bullet"/>
      <w:suff w:val="tab"/>
      <w:lvlText w:val="o"/>
      <w:lvlJc w:val="left"/>
      <w:pPr>
        <w:ind w:hanging="360" w:left="5760"/>
      </w:pPr>
      <w:rPr>
        <w:rFonts w:ascii="Symbol" w:hAnsi="Symbol"/>
      </w:rPr>
    </w:lvl>
    <w:lvl w:ilvl="8" w:tplc="4CF888A0">
      <w:start w:val="1"/>
      <w:numFmt w:val="bullet"/>
      <w:suff w:val="tab"/>
      <w:lvlText w:val="·"/>
      <w:lvlJc w:val="left"/>
      <w:pPr>
        <w:ind w:hanging="360" w:left="6480"/>
      </w:pPr>
      <w:rPr>
        <w:rFonts w:ascii="Symbol" w:hAnsi="Symbol"/>
      </w:rPr>
    </w:lvl>
  </w:abstractNum>
  <w:abstractNum w:abstractNumId="111">
    <w:nsid w:val="603F4F5B"/>
    <w:multiLevelType w:val="hybridMultilevel"/>
    <w:lvl w:ilvl="0" w:tplc="5691A35C">
      <w:start w:val="1"/>
      <w:numFmt w:val="bullet"/>
      <w:suff w:val="tab"/>
      <w:lvlText w:val="·"/>
      <w:lvlJc w:val="left"/>
      <w:pPr>
        <w:ind w:hanging="360" w:left="720"/>
      </w:pPr>
      <w:rPr>
        <w:rFonts w:ascii="Symbol" w:hAnsi="Symbol" w:cs="Symbol" w:eastAsia="Symbol"/>
      </w:rPr>
    </w:lvl>
    <w:lvl w:ilvl="1" w:tplc="2E460588">
      <w:start w:val="1"/>
      <w:numFmt w:val="bullet"/>
      <w:suff w:val="tab"/>
      <w:lvlText w:val="o"/>
      <w:lvlJc w:val="left"/>
      <w:pPr>
        <w:ind w:hanging="360" w:left="1440"/>
      </w:pPr>
      <w:rPr>
        <w:rFonts w:ascii="Symbol" w:hAnsi="Symbol"/>
      </w:rPr>
    </w:lvl>
    <w:lvl w:ilvl="2" w:tplc="63552A28">
      <w:start w:val="1"/>
      <w:numFmt w:val="bullet"/>
      <w:suff w:val="tab"/>
      <w:lvlText w:val="·"/>
      <w:lvlJc w:val="left"/>
      <w:pPr>
        <w:ind w:hanging="360" w:left="2160"/>
      </w:pPr>
      <w:rPr>
        <w:rFonts w:ascii="Symbol" w:hAnsi="Symbol"/>
      </w:rPr>
    </w:lvl>
    <w:lvl w:ilvl="3" w:tplc="40176577">
      <w:start w:val="1"/>
      <w:numFmt w:val="bullet"/>
      <w:suff w:val="tab"/>
      <w:lvlText w:val="o"/>
      <w:lvlJc w:val="left"/>
      <w:pPr>
        <w:ind w:hanging="360" w:left="2880"/>
      </w:pPr>
      <w:rPr>
        <w:rFonts w:ascii="Symbol" w:hAnsi="Symbol"/>
      </w:rPr>
    </w:lvl>
    <w:lvl w:ilvl="4" w:tplc="7EEB9BD2">
      <w:start w:val="1"/>
      <w:numFmt w:val="bullet"/>
      <w:suff w:val="tab"/>
      <w:lvlText w:val="·"/>
      <w:lvlJc w:val="left"/>
      <w:pPr>
        <w:ind w:hanging="360" w:left="3600"/>
      </w:pPr>
      <w:rPr>
        <w:rFonts w:ascii="Symbol" w:hAnsi="Symbol"/>
      </w:rPr>
    </w:lvl>
    <w:lvl w:ilvl="5" w:tplc="562DB4BA">
      <w:start w:val="1"/>
      <w:numFmt w:val="bullet"/>
      <w:suff w:val="tab"/>
      <w:lvlText w:val="o"/>
      <w:lvlJc w:val="left"/>
      <w:pPr>
        <w:ind w:hanging="360" w:left="4320"/>
      </w:pPr>
      <w:rPr>
        <w:rFonts w:ascii="Symbol" w:hAnsi="Symbol"/>
      </w:rPr>
    </w:lvl>
    <w:lvl w:ilvl="6" w:tplc="26C5F3CF">
      <w:start w:val="1"/>
      <w:numFmt w:val="bullet"/>
      <w:suff w:val="tab"/>
      <w:lvlText w:val="·"/>
      <w:lvlJc w:val="left"/>
      <w:pPr>
        <w:ind w:hanging="360" w:left="5040"/>
      </w:pPr>
      <w:rPr>
        <w:rFonts w:ascii="Symbol" w:hAnsi="Symbol"/>
      </w:rPr>
    </w:lvl>
    <w:lvl w:ilvl="7" w:tplc="2E46679A">
      <w:start w:val="1"/>
      <w:numFmt w:val="bullet"/>
      <w:suff w:val="tab"/>
      <w:lvlText w:val="o"/>
      <w:lvlJc w:val="left"/>
      <w:pPr>
        <w:ind w:hanging="360" w:left="5760"/>
      </w:pPr>
      <w:rPr>
        <w:rFonts w:ascii="Symbol" w:hAnsi="Symbol"/>
      </w:rPr>
    </w:lvl>
    <w:lvl w:ilvl="8" w:tplc="4AA5C8BF">
      <w:start w:val="1"/>
      <w:numFmt w:val="bullet"/>
      <w:suff w:val="tab"/>
      <w:lvlText w:val="·"/>
      <w:lvlJc w:val="left"/>
      <w:pPr>
        <w:ind w:hanging="360" w:left="6480"/>
      </w:pPr>
      <w:rPr>
        <w:rFonts w:ascii="Symbol" w:hAnsi="Symbol"/>
      </w:rPr>
    </w:lvl>
  </w:abstractNum>
  <w:abstractNum w:abstractNumId="112">
    <w:nsid w:val="6DB527B6"/>
    <w:multiLevelType w:val="hybridMultilevel"/>
    <w:lvl w:ilvl="0" w:tplc="136596ED">
      <w:start w:val="1"/>
      <w:numFmt w:val="bullet"/>
      <w:suff w:val="tab"/>
      <w:lvlText w:val="·"/>
      <w:lvlJc w:val="left"/>
      <w:pPr>
        <w:ind w:hanging="360" w:left="720"/>
      </w:pPr>
      <w:rPr>
        <w:rFonts w:ascii="Symbol" w:hAnsi="Symbol" w:cs="Symbol" w:eastAsia="Symbol"/>
      </w:rPr>
    </w:lvl>
    <w:lvl w:ilvl="1" w:tplc="1882C510">
      <w:start w:val="1"/>
      <w:numFmt w:val="bullet"/>
      <w:suff w:val="tab"/>
      <w:lvlText w:val="o"/>
      <w:lvlJc w:val="left"/>
      <w:pPr>
        <w:ind w:hanging="360" w:left="1440"/>
      </w:pPr>
      <w:rPr>
        <w:rFonts w:ascii="Symbol" w:hAnsi="Symbol"/>
      </w:rPr>
    </w:lvl>
    <w:lvl w:ilvl="2" w:tplc="5C8F4302">
      <w:start w:val="1"/>
      <w:numFmt w:val="bullet"/>
      <w:suff w:val="tab"/>
      <w:lvlText w:val="·"/>
      <w:lvlJc w:val="left"/>
      <w:pPr>
        <w:ind w:hanging="360" w:left="2160"/>
      </w:pPr>
      <w:rPr>
        <w:rFonts w:ascii="Symbol" w:hAnsi="Symbol"/>
      </w:rPr>
    </w:lvl>
    <w:lvl w:ilvl="3" w:tplc="19CE1EDB">
      <w:start w:val="1"/>
      <w:numFmt w:val="bullet"/>
      <w:suff w:val="tab"/>
      <w:lvlText w:val="o"/>
      <w:lvlJc w:val="left"/>
      <w:pPr>
        <w:ind w:hanging="360" w:left="2880"/>
      </w:pPr>
      <w:rPr>
        <w:rFonts w:ascii="Symbol" w:hAnsi="Symbol"/>
      </w:rPr>
    </w:lvl>
    <w:lvl w:ilvl="4" w:tplc="55B4CC29">
      <w:start w:val="1"/>
      <w:numFmt w:val="bullet"/>
      <w:suff w:val="tab"/>
      <w:lvlText w:val="·"/>
      <w:lvlJc w:val="left"/>
      <w:pPr>
        <w:ind w:hanging="360" w:left="3600"/>
      </w:pPr>
      <w:rPr>
        <w:rFonts w:ascii="Symbol" w:hAnsi="Symbol"/>
      </w:rPr>
    </w:lvl>
    <w:lvl w:ilvl="5" w:tplc="50AA8D85">
      <w:start w:val="1"/>
      <w:numFmt w:val="bullet"/>
      <w:suff w:val="tab"/>
      <w:lvlText w:val="o"/>
      <w:lvlJc w:val="left"/>
      <w:pPr>
        <w:ind w:hanging="360" w:left="4320"/>
      </w:pPr>
      <w:rPr>
        <w:rFonts w:ascii="Symbol" w:hAnsi="Symbol"/>
      </w:rPr>
    </w:lvl>
    <w:lvl w:ilvl="6" w:tplc="33C1D528">
      <w:start w:val="1"/>
      <w:numFmt w:val="bullet"/>
      <w:suff w:val="tab"/>
      <w:lvlText w:val="·"/>
      <w:lvlJc w:val="left"/>
      <w:pPr>
        <w:ind w:hanging="360" w:left="5040"/>
      </w:pPr>
      <w:rPr>
        <w:rFonts w:ascii="Symbol" w:hAnsi="Symbol"/>
      </w:rPr>
    </w:lvl>
    <w:lvl w:ilvl="7" w:tplc="2B8517D7">
      <w:start w:val="1"/>
      <w:numFmt w:val="bullet"/>
      <w:suff w:val="tab"/>
      <w:lvlText w:val="o"/>
      <w:lvlJc w:val="left"/>
      <w:pPr>
        <w:ind w:hanging="360" w:left="5760"/>
      </w:pPr>
      <w:rPr>
        <w:rFonts w:ascii="Symbol" w:hAnsi="Symbol"/>
      </w:rPr>
    </w:lvl>
    <w:lvl w:ilvl="8" w:tplc="22C56399">
      <w:start w:val="1"/>
      <w:numFmt w:val="bullet"/>
      <w:suff w:val="tab"/>
      <w:lvlText w:val="·"/>
      <w:lvlJc w:val="left"/>
      <w:pPr>
        <w:ind w:hanging="360" w:left="6480"/>
      </w:pPr>
      <w:rPr>
        <w:rFonts w:ascii="Symbol" w:hAnsi="Symbol"/>
      </w:rPr>
    </w:lvl>
  </w:abstractNum>
  <w:abstractNum w:abstractNumId="113">
    <w:nsid w:val="2B83A956"/>
    <w:multiLevelType w:val="hybridMultilevel"/>
    <w:lvl w:ilvl="0" w:tplc="6D86AC50">
      <w:start w:val="1"/>
      <w:numFmt w:val="bullet"/>
      <w:suff w:val="tab"/>
      <w:lvlText w:val="·"/>
      <w:lvlJc w:val="left"/>
      <w:pPr>
        <w:ind w:hanging="360" w:left="720"/>
      </w:pPr>
      <w:rPr>
        <w:rFonts w:ascii="Symbol" w:hAnsi="Symbol" w:cs="Symbol" w:eastAsia="Symbol"/>
      </w:rPr>
    </w:lvl>
    <w:lvl w:ilvl="1" w:tplc="4B41B454">
      <w:start w:val="1"/>
      <w:numFmt w:val="bullet"/>
      <w:suff w:val="tab"/>
      <w:lvlText w:val="o"/>
      <w:lvlJc w:val="left"/>
      <w:pPr>
        <w:ind w:hanging="360" w:left="1440"/>
      </w:pPr>
      <w:rPr>
        <w:rFonts w:ascii="Symbol" w:hAnsi="Symbol"/>
      </w:rPr>
    </w:lvl>
    <w:lvl w:ilvl="2" w:tplc="3651DC79">
      <w:start w:val="1"/>
      <w:numFmt w:val="bullet"/>
      <w:suff w:val="tab"/>
      <w:lvlText w:val="·"/>
      <w:lvlJc w:val="left"/>
      <w:pPr>
        <w:ind w:hanging="360" w:left="2160"/>
      </w:pPr>
      <w:rPr>
        <w:rFonts w:ascii="Symbol" w:hAnsi="Symbol"/>
      </w:rPr>
    </w:lvl>
    <w:lvl w:ilvl="3" w:tplc="11705764">
      <w:start w:val="1"/>
      <w:numFmt w:val="bullet"/>
      <w:suff w:val="tab"/>
      <w:lvlText w:val="o"/>
      <w:lvlJc w:val="left"/>
      <w:pPr>
        <w:ind w:hanging="360" w:left="2880"/>
      </w:pPr>
      <w:rPr>
        <w:rFonts w:ascii="Symbol" w:hAnsi="Symbol"/>
      </w:rPr>
    </w:lvl>
    <w:lvl w:ilvl="4" w:tplc="3A265363">
      <w:start w:val="1"/>
      <w:numFmt w:val="bullet"/>
      <w:suff w:val="tab"/>
      <w:lvlText w:val="·"/>
      <w:lvlJc w:val="left"/>
      <w:pPr>
        <w:ind w:hanging="360" w:left="3600"/>
      </w:pPr>
      <w:rPr>
        <w:rFonts w:ascii="Symbol" w:hAnsi="Symbol"/>
      </w:rPr>
    </w:lvl>
    <w:lvl w:ilvl="5" w:tplc="5AF473A2">
      <w:start w:val="1"/>
      <w:numFmt w:val="bullet"/>
      <w:suff w:val="tab"/>
      <w:lvlText w:val="o"/>
      <w:lvlJc w:val="left"/>
      <w:pPr>
        <w:ind w:hanging="360" w:left="4320"/>
      </w:pPr>
      <w:rPr>
        <w:rFonts w:ascii="Symbol" w:hAnsi="Symbol"/>
      </w:rPr>
    </w:lvl>
    <w:lvl w:ilvl="6" w:tplc="27B24FE8">
      <w:start w:val="1"/>
      <w:numFmt w:val="bullet"/>
      <w:suff w:val="tab"/>
      <w:lvlText w:val="·"/>
      <w:lvlJc w:val="left"/>
      <w:pPr>
        <w:ind w:hanging="360" w:left="5040"/>
      </w:pPr>
      <w:rPr>
        <w:rFonts w:ascii="Symbol" w:hAnsi="Symbol"/>
      </w:rPr>
    </w:lvl>
    <w:lvl w:ilvl="7" w:tplc="055D9B3D">
      <w:start w:val="1"/>
      <w:numFmt w:val="bullet"/>
      <w:suff w:val="tab"/>
      <w:lvlText w:val="o"/>
      <w:lvlJc w:val="left"/>
      <w:pPr>
        <w:ind w:hanging="360" w:left="5760"/>
      </w:pPr>
      <w:rPr>
        <w:rFonts w:ascii="Symbol" w:hAnsi="Symbol"/>
      </w:rPr>
    </w:lvl>
    <w:lvl w:ilvl="8" w:tplc="35A4BDD4">
      <w:start w:val="1"/>
      <w:numFmt w:val="bullet"/>
      <w:suff w:val="tab"/>
      <w:lvlText w:val="·"/>
      <w:lvlJc w:val="left"/>
      <w:pPr>
        <w:ind w:hanging="360" w:left="6480"/>
      </w:pPr>
      <w:rPr>
        <w:rFonts w:ascii="Symbol" w:hAnsi="Symbol"/>
      </w:rPr>
    </w:lvl>
  </w:abstractNum>
  <w:abstractNum w:abstractNumId="114">
    <w:nsid w:val="5AA48DAC"/>
    <w:multiLevelType w:val="hybridMultilevel"/>
    <w:lvl w:ilvl="0" w:tplc="6DDDD986">
      <w:start w:val="1"/>
      <w:numFmt w:val="bullet"/>
      <w:suff w:val="tab"/>
      <w:lvlText w:val="·"/>
      <w:lvlJc w:val="left"/>
      <w:pPr>
        <w:ind w:hanging="360" w:left="720"/>
      </w:pPr>
      <w:rPr>
        <w:rFonts w:ascii="Symbol" w:hAnsi="Symbol" w:cs="Symbol" w:eastAsia="Symbol"/>
      </w:rPr>
    </w:lvl>
    <w:lvl w:ilvl="1" w:tplc="69C369CC">
      <w:start w:val="1"/>
      <w:numFmt w:val="bullet"/>
      <w:suff w:val="tab"/>
      <w:lvlText w:val="o"/>
      <w:lvlJc w:val="left"/>
      <w:pPr>
        <w:ind w:hanging="360" w:left="1440"/>
      </w:pPr>
      <w:rPr>
        <w:rFonts w:ascii="Symbol" w:hAnsi="Symbol"/>
      </w:rPr>
    </w:lvl>
    <w:lvl w:ilvl="2" w:tplc="6B3AB427">
      <w:start w:val="1"/>
      <w:numFmt w:val="bullet"/>
      <w:suff w:val="tab"/>
      <w:lvlText w:val="·"/>
      <w:lvlJc w:val="left"/>
      <w:pPr>
        <w:ind w:hanging="360" w:left="2160"/>
      </w:pPr>
      <w:rPr>
        <w:rFonts w:ascii="Symbol" w:hAnsi="Symbol"/>
      </w:rPr>
    </w:lvl>
    <w:lvl w:ilvl="3" w:tplc="61A23B25">
      <w:start w:val="1"/>
      <w:numFmt w:val="bullet"/>
      <w:suff w:val="tab"/>
      <w:lvlText w:val="o"/>
      <w:lvlJc w:val="left"/>
      <w:pPr>
        <w:ind w:hanging="360" w:left="2880"/>
      </w:pPr>
      <w:rPr>
        <w:rFonts w:ascii="Symbol" w:hAnsi="Symbol"/>
      </w:rPr>
    </w:lvl>
    <w:lvl w:ilvl="4" w:tplc="63D0DE14">
      <w:start w:val="1"/>
      <w:numFmt w:val="bullet"/>
      <w:suff w:val="tab"/>
      <w:lvlText w:val="·"/>
      <w:lvlJc w:val="left"/>
      <w:pPr>
        <w:ind w:hanging="360" w:left="3600"/>
      </w:pPr>
      <w:rPr>
        <w:rFonts w:ascii="Symbol" w:hAnsi="Symbol"/>
      </w:rPr>
    </w:lvl>
    <w:lvl w:ilvl="5" w:tplc="41CDCEEE">
      <w:start w:val="1"/>
      <w:numFmt w:val="bullet"/>
      <w:suff w:val="tab"/>
      <w:lvlText w:val="o"/>
      <w:lvlJc w:val="left"/>
      <w:pPr>
        <w:ind w:hanging="360" w:left="4320"/>
      </w:pPr>
      <w:rPr>
        <w:rFonts w:ascii="Symbol" w:hAnsi="Symbol"/>
      </w:rPr>
    </w:lvl>
    <w:lvl w:ilvl="6" w:tplc="149F61CA">
      <w:start w:val="1"/>
      <w:numFmt w:val="bullet"/>
      <w:suff w:val="tab"/>
      <w:lvlText w:val="·"/>
      <w:lvlJc w:val="left"/>
      <w:pPr>
        <w:ind w:hanging="360" w:left="5040"/>
      </w:pPr>
      <w:rPr>
        <w:rFonts w:ascii="Symbol" w:hAnsi="Symbol"/>
      </w:rPr>
    </w:lvl>
    <w:lvl w:ilvl="7" w:tplc="3FF5FF85">
      <w:start w:val="1"/>
      <w:numFmt w:val="bullet"/>
      <w:suff w:val="tab"/>
      <w:lvlText w:val="o"/>
      <w:lvlJc w:val="left"/>
      <w:pPr>
        <w:ind w:hanging="360" w:left="5760"/>
      </w:pPr>
      <w:rPr>
        <w:rFonts w:ascii="Symbol" w:hAnsi="Symbol"/>
      </w:rPr>
    </w:lvl>
    <w:lvl w:ilvl="8" w:tplc="7647A9F1">
      <w:start w:val="1"/>
      <w:numFmt w:val="bullet"/>
      <w:suff w:val="tab"/>
      <w:lvlText w:val="·"/>
      <w:lvlJc w:val="left"/>
      <w:pPr>
        <w:ind w:hanging="360" w:left="6480"/>
      </w:pPr>
      <w:rPr>
        <w:rFonts w:ascii="Symbol" w:hAnsi="Symbol"/>
      </w:rPr>
    </w:lvl>
  </w:abstractNum>
  <w:abstractNum w:abstractNumId="115">
    <w:nsid w:val="03BC8D32"/>
    <w:multiLevelType w:val="hybridMultilevel"/>
    <w:lvl w:ilvl="0" w:tplc="3AA58253">
      <w:start w:val="1"/>
      <w:numFmt w:val="bullet"/>
      <w:suff w:val="tab"/>
      <w:lvlText w:val="·"/>
      <w:lvlJc w:val="left"/>
      <w:pPr>
        <w:ind w:hanging="360" w:left="720"/>
      </w:pPr>
      <w:rPr>
        <w:rFonts w:ascii="Symbol" w:hAnsi="Symbol" w:cs="Symbol" w:eastAsia="Symbol"/>
      </w:rPr>
    </w:lvl>
    <w:lvl w:ilvl="1" w:tplc="75131761">
      <w:start w:val="1"/>
      <w:numFmt w:val="bullet"/>
      <w:suff w:val="tab"/>
      <w:lvlText w:val="o"/>
      <w:lvlJc w:val="left"/>
      <w:pPr>
        <w:ind w:hanging="360" w:left="1440"/>
      </w:pPr>
      <w:rPr>
        <w:rFonts w:ascii="Symbol" w:hAnsi="Symbol"/>
      </w:rPr>
    </w:lvl>
    <w:lvl w:ilvl="2" w:tplc="5C5F37F8">
      <w:start w:val="1"/>
      <w:numFmt w:val="bullet"/>
      <w:suff w:val="tab"/>
      <w:lvlText w:val="·"/>
      <w:lvlJc w:val="left"/>
      <w:pPr>
        <w:ind w:hanging="360" w:left="2160"/>
      </w:pPr>
      <w:rPr>
        <w:rFonts w:ascii="Symbol" w:hAnsi="Symbol"/>
      </w:rPr>
    </w:lvl>
    <w:lvl w:ilvl="3" w:tplc="0E5D947B">
      <w:start w:val="1"/>
      <w:numFmt w:val="bullet"/>
      <w:suff w:val="tab"/>
      <w:lvlText w:val="o"/>
      <w:lvlJc w:val="left"/>
      <w:pPr>
        <w:ind w:hanging="360" w:left="2880"/>
      </w:pPr>
      <w:rPr>
        <w:rFonts w:ascii="Symbol" w:hAnsi="Symbol"/>
      </w:rPr>
    </w:lvl>
    <w:lvl w:ilvl="4" w:tplc="19E0F833">
      <w:start w:val="1"/>
      <w:numFmt w:val="bullet"/>
      <w:suff w:val="tab"/>
      <w:lvlText w:val="·"/>
      <w:lvlJc w:val="left"/>
      <w:pPr>
        <w:ind w:hanging="360" w:left="3600"/>
      </w:pPr>
      <w:rPr>
        <w:rFonts w:ascii="Symbol" w:hAnsi="Symbol"/>
      </w:rPr>
    </w:lvl>
    <w:lvl w:ilvl="5" w:tplc="6EC469D6">
      <w:start w:val="1"/>
      <w:numFmt w:val="bullet"/>
      <w:suff w:val="tab"/>
      <w:lvlText w:val="o"/>
      <w:lvlJc w:val="left"/>
      <w:pPr>
        <w:ind w:hanging="360" w:left="4320"/>
      </w:pPr>
      <w:rPr>
        <w:rFonts w:ascii="Symbol" w:hAnsi="Symbol"/>
      </w:rPr>
    </w:lvl>
    <w:lvl w:ilvl="6" w:tplc="11C2CFCB">
      <w:start w:val="1"/>
      <w:numFmt w:val="bullet"/>
      <w:suff w:val="tab"/>
      <w:lvlText w:val="·"/>
      <w:lvlJc w:val="left"/>
      <w:pPr>
        <w:ind w:hanging="360" w:left="5040"/>
      </w:pPr>
      <w:rPr>
        <w:rFonts w:ascii="Symbol" w:hAnsi="Symbol"/>
      </w:rPr>
    </w:lvl>
    <w:lvl w:ilvl="7" w:tplc="24BE5EDB">
      <w:start w:val="1"/>
      <w:numFmt w:val="bullet"/>
      <w:suff w:val="tab"/>
      <w:lvlText w:val="o"/>
      <w:lvlJc w:val="left"/>
      <w:pPr>
        <w:ind w:hanging="360" w:left="5760"/>
      </w:pPr>
      <w:rPr>
        <w:rFonts w:ascii="Symbol" w:hAnsi="Symbol"/>
      </w:rPr>
    </w:lvl>
    <w:lvl w:ilvl="8" w:tplc="6A22B439">
      <w:start w:val="1"/>
      <w:numFmt w:val="bullet"/>
      <w:suff w:val="tab"/>
      <w:lvlText w:val="·"/>
      <w:lvlJc w:val="left"/>
      <w:pPr>
        <w:ind w:hanging="360" w:left="6480"/>
      </w:pPr>
      <w:rPr>
        <w:rFonts w:ascii="Symbol" w:hAnsi="Symbol"/>
      </w:rPr>
    </w:lvl>
  </w:abstractNum>
  <w:abstractNum w:abstractNumId="116">
    <w:nsid w:val="1C0E7825"/>
    <w:multiLevelType w:val="hybridMultilevel"/>
    <w:lvl w:ilvl="0" w:tplc="16A59DDA">
      <w:start w:val="1"/>
      <w:numFmt w:val="bullet"/>
      <w:suff w:val="tab"/>
      <w:lvlText w:val="·"/>
      <w:lvlJc w:val="left"/>
      <w:pPr>
        <w:ind w:hanging="360" w:left="720"/>
      </w:pPr>
      <w:rPr>
        <w:rFonts w:ascii="Symbol" w:hAnsi="Symbol" w:cs="Symbol" w:eastAsia="Symbol"/>
      </w:rPr>
    </w:lvl>
    <w:lvl w:ilvl="1" w:tplc="69F2A738">
      <w:start w:val="1"/>
      <w:numFmt w:val="bullet"/>
      <w:suff w:val="tab"/>
      <w:lvlText w:val="o"/>
      <w:lvlJc w:val="left"/>
      <w:pPr>
        <w:ind w:hanging="360" w:left="1440"/>
      </w:pPr>
      <w:rPr>
        <w:rFonts w:ascii="Symbol" w:hAnsi="Symbol"/>
      </w:rPr>
    </w:lvl>
    <w:lvl w:ilvl="2" w:tplc="44377739">
      <w:start w:val="1"/>
      <w:numFmt w:val="bullet"/>
      <w:suff w:val="tab"/>
      <w:lvlText w:val="·"/>
      <w:lvlJc w:val="left"/>
      <w:pPr>
        <w:ind w:hanging="360" w:left="2160"/>
      </w:pPr>
      <w:rPr>
        <w:rFonts w:ascii="Symbol" w:hAnsi="Symbol"/>
      </w:rPr>
    </w:lvl>
    <w:lvl w:ilvl="3" w:tplc="294825E6">
      <w:start w:val="1"/>
      <w:numFmt w:val="bullet"/>
      <w:suff w:val="tab"/>
      <w:lvlText w:val="o"/>
      <w:lvlJc w:val="left"/>
      <w:pPr>
        <w:ind w:hanging="360" w:left="2880"/>
      </w:pPr>
      <w:rPr>
        <w:rFonts w:ascii="Symbol" w:hAnsi="Symbol"/>
      </w:rPr>
    </w:lvl>
    <w:lvl w:ilvl="4" w:tplc="1B90ED5B">
      <w:start w:val="1"/>
      <w:numFmt w:val="bullet"/>
      <w:suff w:val="tab"/>
      <w:lvlText w:val="·"/>
      <w:lvlJc w:val="left"/>
      <w:pPr>
        <w:ind w:hanging="360" w:left="3600"/>
      </w:pPr>
      <w:rPr>
        <w:rFonts w:ascii="Symbol" w:hAnsi="Symbol"/>
      </w:rPr>
    </w:lvl>
    <w:lvl w:ilvl="5" w:tplc="2D78A1EB">
      <w:start w:val="1"/>
      <w:numFmt w:val="bullet"/>
      <w:suff w:val="tab"/>
      <w:lvlText w:val="o"/>
      <w:lvlJc w:val="left"/>
      <w:pPr>
        <w:ind w:hanging="360" w:left="4320"/>
      </w:pPr>
      <w:rPr>
        <w:rFonts w:ascii="Symbol" w:hAnsi="Symbol"/>
      </w:rPr>
    </w:lvl>
    <w:lvl w:ilvl="6" w:tplc="57C0417E">
      <w:start w:val="1"/>
      <w:numFmt w:val="bullet"/>
      <w:suff w:val="tab"/>
      <w:lvlText w:val="·"/>
      <w:lvlJc w:val="left"/>
      <w:pPr>
        <w:ind w:hanging="360" w:left="5040"/>
      </w:pPr>
      <w:rPr>
        <w:rFonts w:ascii="Symbol" w:hAnsi="Symbol"/>
      </w:rPr>
    </w:lvl>
    <w:lvl w:ilvl="7" w:tplc="688DB4A3">
      <w:start w:val="1"/>
      <w:numFmt w:val="bullet"/>
      <w:suff w:val="tab"/>
      <w:lvlText w:val="o"/>
      <w:lvlJc w:val="left"/>
      <w:pPr>
        <w:ind w:hanging="360" w:left="5760"/>
      </w:pPr>
      <w:rPr>
        <w:rFonts w:ascii="Symbol" w:hAnsi="Symbol"/>
      </w:rPr>
    </w:lvl>
    <w:lvl w:ilvl="8" w:tplc="24B22735">
      <w:start w:val="1"/>
      <w:numFmt w:val="bullet"/>
      <w:suff w:val="tab"/>
      <w:lvlText w:val="·"/>
      <w:lvlJc w:val="left"/>
      <w:pPr>
        <w:ind w:hanging="360" w:left="6480"/>
      </w:pPr>
      <w:rPr>
        <w:rFonts w:ascii="Symbol" w:hAnsi="Symbol"/>
      </w:rPr>
    </w:lvl>
  </w:abstractNum>
  <w:abstractNum w:abstractNumId="117">
    <w:nsid w:val="2F3ACFEB"/>
    <w:multiLevelType w:val="hybridMultilevel"/>
    <w:lvl w:ilvl="0" w:tplc="72C56BB3">
      <w:start w:val="1"/>
      <w:numFmt w:val="bullet"/>
      <w:suff w:val="tab"/>
      <w:lvlText w:val="·"/>
      <w:lvlJc w:val="left"/>
      <w:pPr>
        <w:ind w:hanging="360" w:left="720"/>
      </w:pPr>
      <w:rPr>
        <w:rFonts w:ascii="Symbol" w:hAnsi="Symbol" w:cs="Symbol" w:eastAsia="Symbol"/>
      </w:rPr>
    </w:lvl>
    <w:lvl w:ilvl="1" w:tplc="129F3679">
      <w:start w:val="1"/>
      <w:numFmt w:val="bullet"/>
      <w:suff w:val="tab"/>
      <w:lvlText w:val="o"/>
      <w:lvlJc w:val="left"/>
      <w:pPr>
        <w:ind w:hanging="360" w:left="1440"/>
      </w:pPr>
      <w:rPr>
        <w:rFonts w:ascii="Symbol" w:hAnsi="Symbol"/>
      </w:rPr>
    </w:lvl>
    <w:lvl w:ilvl="2" w:tplc="2DFAFA9C">
      <w:start w:val="1"/>
      <w:numFmt w:val="bullet"/>
      <w:suff w:val="tab"/>
      <w:lvlText w:val="·"/>
      <w:lvlJc w:val="left"/>
      <w:pPr>
        <w:ind w:hanging="360" w:left="2160"/>
      </w:pPr>
      <w:rPr>
        <w:rFonts w:ascii="Symbol" w:hAnsi="Symbol"/>
      </w:rPr>
    </w:lvl>
    <w:lvl w:ilvl="3" w:tplc="730E44D9">
      <w:start w:val="1"/>
      <w:numFmt w:val="bullet"/>
      <w:suff w:val="tab"/>
      <w:lvlText w:val="o"/>
      <w:lvlJc w:val="left"/>
      <w:pPr>
        <w:ind w:hanging="360" w:left="2880"/>
      </w:pPr>
      <w:rPr>
        <w:rFonts w:ascii="Symbol" w:hAnsi="Symbol"/>
      </w:rPr>
    </w:lvl>
    <w:lvl w:ilvl="4" w:tplc="532FF861">
      <w:start w:val="1"/>
      <w:numFmt w:val="bullet"/>
      <w:suff w:val="tab"/>
      <w:lvlText w:val="·"/>
      <w:lvlJc w:val="left"/>
      <w:pPr>
        <w:ind w:hanging="360" w:left="3600"/>
      </w:pPr>
      <w:rPr>
        <w:rFonts w:ascii="Symbol" w:hAnsi="Symbol"/>
      </w:rPr>
    </w:lvl>
    <w:lvl w:ilvl="5" w:tplc="7740D01C">
      <w:start w:val="1"/>
      <w:numFmt w:val="bullet"/>
      <w:suff w:val="tab"/>
      <w:lvlText w:val="o"/>
      <w:lvlJc w:val="left"/>
      <w:pPr>
        <w:ind w:hanging="360" w:left="4320"/>
      </w:pPr>
      <w:rPr>
        <w:rFonts w:ascii="Symbol" w:hAnsi="Symbol"/>
      </w:rPr>
    </w:lvl>
    <w:lvl w:ilvl="6" w:tplc="33E3404E">
      <w:start w:val="1"/>
      <w:numFmt w:val="bullet"/>
      <w:suff w:val="tab"/>
      <w:lvlText w:val="·"/>
      <w:lvlJc w:val="left"/>
      <w:pPr>
        <w:ind w:hanging="360" w:left="5040"/>
      </w:pPr>
      <w:rPr>
        <w:rFonts w:ascii="Symbol" w:hAnsi="Symbol"/>
      </w:rPr>
    </w:lvl>
    <w:lvl w:ilvl="7" w:tplc="1EF94302">
      <w:start w:val="1"/>
      <w:numFmt w:val="bullet"/>
      <w:suff w:val="tab"/>
      <w:lvlText w:val="o"/>
      <w:lvlJc w:val="left"/>
      <w:pPr>
        <w:ind w:hanging="360" w:left="5760"/>
      </w:pPr>
      <w:rPr>
        <w:rFonts w:ascii="Symbol" w:hAnsi="Symbol"/>
      </w:rPr>
    </w:lvl>
    <w:lvl w:ilvl="8" w:tplc="09F42C4C">
      <w:start w:val="1"/>
      <w:numFmt w:val="bullet"/>
      <w:suff w:val="tab"/>
      <w:lvlText w:val="·"/>
      <w:lvlJc w:val="left"/>
      <w:pPr>
        <w:ind w:hanging="360" w:left="6480"/>
      </w:pPr>
      <w:rPr>
        <w:rFonts w:ascii="Symbol" w:hAnsi="Symbol"/>
      </w:rPr>
    </w:lvl>
  </w:abstractNum>
  <w:abstractNum w:abstractNumId="118">
    <w:nsid w:val="4FDB9772"/>
    <w:multiLevelType w:val="hybridMultilevel"/>
    <w:lvl w:ilvl="0" w:tplc="4C79B572">
      <w:start w:val="1"/>
      <w:numFmt w:val="bullet"/>
      <w:suff w:val="tab"/>
      <w:lvlText w:val="·"/>
      <w:lvlJc w:val="left"/>
      <w:pPr>
        <w:ind w:hanging="360" w:left="720"/>
      </w:pPr>
      <w:rPr>
        <w:rFonts w:ascii="Symbol" w:hAnsi="Symbol" w:cs="Symbol" w:eastAsia="Symbol"/>
      </w:rPr>
    </w:lvl>
    <w:lvl w:ilvl="1" w:tplc="10A4E4EA">
      <w:start w:val="1"/>
      <w:numFmt w:val="bullet"/>
      <w:suff w:val="tab"/>
      <w:lvlText w:val="o"/>
      <w:lvlJc w:val="left"/>
      <w:pPr>
        <w:ind w:hanging="360" w:left="1440"/>
      </w:pPr>
      <w:rPr>
        <w:rFonts w:ascii="Symbol" w:hAnsi="Symbol"/>
      </w:rPr>
    </w:lvl>
    <w:lvl w:ilvl="2" w:tplc="281B9107">
      <w:start w:val="1"/>
      <w:numFmt w:val="bullet"/>
      <w:suff w:val="tab"/>
      <w:lvlText w:val="·"/>
      <w:lvlJc w:val="left"/>
      <w:pPr>
        <w:ind w:hanging="360" w:left="2160"/>
      </w:pPr>
      <w:rPr>
        <w:rFonts w:ascii="Symbol" w:hAnsi="Symbol"/>
      </w:rPr>
    </w:lvl>
    <w:lvl w:ilvl="3" w:tplc="3025B98C">
      <w:start w:val="1"/>
      <w:numFmt w:val="bullet"/>
      <w:suff w:val="tab"/>
      <w:lvlText w:val="o"/>
      <w:lvlJc w:val="left"/>
      <w:pPr>
        <w:ind w:hanging="360" w:left="2880"/>
      </w:pPr>
      <w:rPr>
        <w:rFonts w:ascii="Symbol" w:hAnsi="Symbol"/>
      </w:rPr>
    </w:lvl>
    <w:lvl w:ilvl="4" w:tplc="3358004D">
      <w:start w:val="1"/>
      <w:numFmt w:val="bullet"/>
      <w:suff w:val="tab"/>
      <w:lvlText w:val="·"/>
      <w:lvlJc w:val="left"/>
      <w:pPr>
        <w:ind w:hanging="360" w:left="3600"/>
      </w:pPr>
      <w:rPr>
        <w:rFonts w:ascii="Symbol" w:hAnsi="Symbol"/>
      </w:rPr>
    </w:lvl>
    <w:lvl w:ilvl="5" w:tplc="7525D711">
      <w:start w:val="1"/>
      <w:numFmt w:val="bullet"/>
      <w:suff w:val="tab"/>
      <w:lvlText w:val="o"/>
      <w:lvlJc w:val="left"/>
      <w:pPr>
        <w:ind w:hanging="360" w:left="4320"/>
      </w:pPr>
      <w:rPr>
        <w:rFonts w:ascii="Symbol" w:hAnsi="Symbol"/>
      </w:rPr>
    </w:lvl>
    <w:lvl w:ilvl="6" w:tplc="13694F44">
      <w:start w:val="1"/>
      <w:numFmt w:val="bullet"/>
      <w:suff w:val="tab"/>
      <w:lvlText w:val="·"/>
      <w:lvlJc w:val="left"/>
      <w:pPr>
        <w:ind w:hanging="360" w:left="5040"/>
      </w:pPr>
      <w:rPr>
        <w:rFonts w:ascii="Symbol" w:hAnsi="Symbol"/>
      </w:rPr>
    </w:lvl>
    <w:lvl w:ilvl="7" w:tplc="3D4200B0">
      <w:start w:val="1"/>
      <w:numFmt w:val="bullet"/>
      <w:suff w:val="tab"/>
      <w:lvlText w:val="o"/>
      <w:lvlJc w:val="left"/>
      <w:pPr>
        <w:ind w:hanging="360" w:left="5760"/>
      </w:pPr>
      <w:rPr>
        <w:rFonts w:ascii="Symbol" w:hAnsi="Symbol"/>
      </w:rPr>
    </w:lvl>
    <w:lvl w:ilvl="8" w:tplc="1DB2E140">
      <w:start w:val="1"/>
      <w:numFmt w:val="bullet"/>
      <w:suff w:val="tab"/>
      <w:lvlText w:val="·"/>
      <w:lvlJc w:val="left"/>
      <w:pPr>
        <w:ind w:hanging="360" w:left="6480"/>
      </w:pPr>
      <w:rPr>
        <w:rFonts w:ascii="Symbol" w:hAnsi="Symbol"/>
      </w:rPr>
    </w:lvl>
  </w:abstractNum>
  <w:abstractNum w:abstractNumId="119">
    <w:nsid w:val="586465AA"/>
    <w:multiLevelType w:val="hybridMultilevel"/>
    <w:lvl w:ilvl="0" w:tplc="03B9152D">
      <w:start w:val="1"/>
      <w:numFmt w:val="bullet"/>
      <w:suff w:val="tab"/>
      <w:lvlText w:val="·"/>
      <w:lvlJc w:val="left"/>
      <w:pPr>
        <w:ind w:hanging="360" w:left="720"/>
      </w:pPr>
      <w:rPr>
        <w:rFonts w:ascii="Symbol" w:hAnsi="Symbol" w:cs="Symbol" w:eastAsia="Symbol"/>
      </w:rPr>
    </w:lvl>
    <w:lvl w:ilvl="1" w:tplc="68FE2268">
      <w:start w:val="1"/>
      <w:numFmt w:val="bullet"/>
      <w:suff w:val="tab"/>
      <w:lvlText w:val="o"/>
      <w:lvlJc w:val="left"/>
      <w:pPr>
        <w:ind w:hanging="360" w:left="1440"/>
      </w:pPr>
      <w:rPr>
        <w:rFonts w:ascii="Symbol" w:hAnsi="Symbol"/>
      </w:rPr>
    </w:lvl>
    <w:lvl w:ilvl="2" w:tplc="6BBB9567">
      <w:start w:val="1"/>
      <w:numFmt w:val="bullet"/>
      <w:suff w:val="tab"/>
      <w:lvlText w:val="·"/>
      <w:lvlJc w:val="left"/>
      <w:pPr>
        <w:ind w:hanging="360" w:left="2160"/>
      </w:pPr>
      <w:rPr>
        <w:rFonts w:ascii="Symbol" w:hAnsi="Symbol"/>
      </w:rPr>
    </w:lvl>
    <w:lvl w:ilvl="3" w:tplc="65B0CDC6">
      <w:start w:val="1"/>
      <w:numFmt w:val="bullet"/>
      <w:suff w:val="tab"/>
      <w:lvlText w:val="o"/>
      <w:lvlJc w:val="left"/>
      <w:pPr>
        <w:ind w:hanging="360" w:left="2880"/>
      </w:pPr>
      <w:rPr>
        <w:rFonts w:ascii="Symbol" w:hAnsi="Symbol"/>
      </w:rPr>
    </w:lvl>
    <w:lvl w:ilvl="4" w:tplc="455CF444">
      <w:start w:val="1"/>
      <w:numFmt w:val="bullet"/>
      <w:suff w:val="tab"/>
      <w:lvlText w:val="·"/>
      <w:lvlJc w:val="left"/>
      <w:pPr>
        <w:ind w:hanging="360" w:left="3600"/>
      </w:pPr>
      <w:rPr>
        <w:rFonts w:ascii="Symbol" w:hAnsi="Symbol"/>
      </w:rPr>
    </w:lvl>
    <w:lvl w:ilvl="5" w:tplc="35329725">
      <w:start w:val="1"/>
      <w:numFmt w:val="bullet"/>
      <w:suff w:val="tab"/>
      <w:lvlText w:val="o"/>
      <w:lvlJc w:val="left"/>
      <w:pPr>
        <w:ind w:hanging="360" w:left="4320"/>
      </w:pPr>
      <w:rPr>
        <w:rFonts w:ascii="Symbol" w:hAnsi="Symbol"/>
      </w:rPr>
    </w:lvl>
    <w:lvl w:ilvl="6" w:tplc="6F5E2217">
      <w:start w:val="1"/>
      <w:numFmt w:val="bullet"/>
      <w:suff w:val="tab"/>
      <w:lvlText w:val="·"/>
      <w:lvlJc w:val="left"/>
      <w:pPr>
        <w:ind w:hanging="360" w:left="5040"/>
      </w:pPr>
      <w:rPr>
        <w:rFonts w:ascii="Symbol" w:hAnsi="Symbol"/>
      </w:rPr>
    </w:lvl>
    <w:lvl w:ilvl="7" w:tplc="5FB3C236">
      <w:start w:val="1"/>
      <w:numFmt w:val="bullet"/>
      <w:suff w:val="tab"/>
      <w:lvlText w:val="o"/>
      <w:lvlJc w:val="left"/>
      <w:pPr>
        <w:ind w:hanging="360" w:left="5760"/>
      </w:pPr>
      <w:rPr>
        <w:rFonts w:ascii="Symbol" w:hAnsi="Symbol"/>
      </w:rPr>
    </w:lvl>
    <w:lvl w:ilvl="8" w:tplc="2BF82E3B">
      <w:start w:val="1"/>
      <w:numFmt w:val="bullet"/>
      <w:suff w:val="tab"/>
      <w:lvlText w:val="·"/>
      <w:lvlJc w:val="left"/>
      <w:pPr>
        <w:ind w:hanging="360" w:left="6480"/>
      </w:pPr>
      <w:rPr>
        <w:rFonts w:ascii="Symbol" w:hAnsi="Symbol"/>
      </w:rPr>
    </w:lvl>
  </w:abstractNum>
  <w:abstractNum w:abstractNumId="120">
    <w:nsid w:val="10D9C4CF"/>
    <w:multiLevelType w:val="hybridMultilevel"/>
    <w:lvl w:ilvl="0" w:tplc="061B100F">
      <w:start w:val="1"/>
      <w:numFmt w:val="bullet"/>
      <w:suff w:val="tab"/>
      <w:lvlText w:val="·"/>
      <w:lvlJc w:val="left"/>
      <w:pPr>
        <w:ind w:hanging="360" w:left="720"/>
      </w:pPr>
      <w:rPr>
        <w:rFonts w:ascii="Symbol" w:hAnsi="Symbol" w:cs="Symbol" w:eastAsia="Symbol"/>
      </w:rPr>
    </w:lvl>
    <w:lvl w:ilvl="1" w:tplc="672013BC">
      <w:start w:val="1"/>
      <w:numFmt w:val="bullet"/>
      <w:suff w:val="tab"/>
      <w:lvlText w:val="o"/>
      <w:lvlJc w:val="left"/>
      <w:pPr>
        <w:ind w:hanging="360" w:left="1440"/>
      </w:pPr>
      <w:rPr>
        <w:rFonts w:ascii="Symbol" w:hAnsi="Symbol"/>
      </w:rPr>
    </w:lvl>
    <w:lvl w:ilvl="2" w:tplc="6D640CD6">
      <w:start w:val="1"/>
      <w:numFmt w:val="bullet"/>
      <w:suff w:val="tab"/>
      <w:lvlText w:val="·"/>
      <w:lvlJc w:val="left"/>
      <w:pPr>
        <w:ind w:hanging="360" w:left="2160"/>
      </w:pPr>
      <w:rPr>
        <w:rFonts w:ascii="Symbol" w:hAnsi="Symbol"/>
      </w:rPr>
    </w:lvl>
    <w:lvl w:ilvl="3" w:tplc="074D869F">
      <w:start w:val="1"/>
      <w:numFmt w:val="bullet"/>
      <w:suff w:val="tab"/>
      <w:lvlText w:val="o"/>
      <w:lvlJc w:val="left"/>
      <w:pPr>
        <w:ind w:hanging="360" w:left="2880"/>
      </w:pPr>
      <w:rPr>
        <w:rFonts w:ascii="Symbol" w:hAnsi="Symbol"/>
      </w:rPr>
    </w:lvl>
    <w:lvl w:ilvl="4" w:tplc="455368E2">
      <w:start w:val="1"/>
      <w:numFmt w:val="bullet"/>
      <w:suff w:val="tab"/>
      <w:lvlText w:val="·"/>
      <w:lvlJc w:val="left"/>
      <w:pPr>
        <w:ind w:hanging="360" w:left="3600"/>
      </w:pPr>
      <w:rPr>
        <w:rFonts w:ascii="Symbol" w:hAnsi="Symbol"/>
      </w:rPr>
    </w:lvl>
    <w:lvl w:ilvl="5" w:tplc="3FA99870">
      <w:start w:val="1"/>
      <w:numFmt w:val="bullet"/>
      <w:suff w:val="tab"/>
      <w:lvlText w:val="o"/>
      <w:lvlJc w:val="left"/>
      <w:pPr>
        <w:ind w:hanging="360" w:left="4320"/>
      </w:pPr>
      <w:rPr>
        <w:rFonts w:ascii="Symbol" w:hAnsi="Symbol"/>
      </w:rPr>
    </w:lvl>
    <w:lvl w:ilvl="6" w:tplc="0DD61027">
      <w:start w:val="1"/>
      <w:numFmt w:val="bullet"/>
      <w:suff w:val="tab"/>
      <w:lvlText w:val="·"/>
      <w:lvlJc w:val="left"/>
      <w:pPr>
        <w:ind w:hanging="360" w:left="5040"/>
      </w:pPr>
      <w:rPr>
        <w:rFonts w:ascii="Symbol" w:hAnsi="Symbol"/>
      </w:rPr>
    </w:lvl>
    <w:lvl w:ilvl="7" w:tplc="7E1B35D5">
      <w:start w:val="1"/>
      <w:numFmt w:val="bullet"/>
      <w:suff w:val="tab"/>
      <w:lvlText w:val="o"/>
      <w:lvlJc w:val="left"/>
      <w:pPr>
        <w:ind w:hanging="360" w:left="5760"/>
      </w:pPr>
      <w:rPr>
        <w:rFonts w:ascii="Symbol" w:hAnsi="Symbol"/>
      </w:rPr>
    </w:lvl>
    <w:lvl w:ilvl="8" w:tplc="0AE77EC8">
      <w:start w:val="1"/>
      <w:numFmt w:val="bullet"/>
      <w:suff w:val="tab"/>
      <w:lvlText w:val="·"/>
      <w:lvlJc w:val="left"/>
      <w:pPr>
        <w:ind w:hanging="360" w:left="6480"/>
      </w:pPr>
      <w:rPr>
        <w:rFonts w:ascii="Symbol" w:hAnsi="Symbol"/>
      </w:rPr>
    </w:lvl>
  </w:abstractNum>
  <w:abstractNum w:abstractNumId="121">
    <w:nsid w:val="1D614E52"/>
    <w:multiLevelType w:val="hybridMultilevel"/>
    <w:lvl w:ilvl="0" w:tplc="4F07CFF4">
      <w:start w:val="1"/>
      <w:numFmt w:val="bullet"/>
      <w:suff w:val="tab"/>
      <w:lvlText w:val="·"/>
      <w:lvlJc w:val="left"/>
      <w:pPr>
        <w:ind w:hanging="360" w:left="720"/>
      </w:pPr>
      <w:rPr>
        <w:rFonts w:ascii="Symbol" w:hAnsi="Symbol" w:cs="Symbol" w:eastAsia="Symbol"/>
      </w:rPr>
    </w:lvl>
    <w:lvl w:ilvl="1" w:tplc="1457E67C">
      <w:start w:val="1"/>
      <w:numFmt w:val="bullet"/>
      <w:suff w:val="tab"/>
      <w:lvlText w:val="o"/>
      <w:lvlJc w:val="left"/>
      <w:pPr>
        <w:ind w:hanging="360" w:left="1440"/>
      </w:pPr>
      <w:rPr>
        <w:rFonts w:ascii="Symbol" w:hAnsi="Symbol"/>
      </w:rPr>
    </w:lvl>
    <w:lvl w:ilvl="2" w:tplc="63A2E72F">
      <w:start w:val="1"/>
      <w:numFmt w:val="bullet"/>
      <w:suff w:val="tab"/>
      <w:lvlText w:val="·"/>
      <w:lvlJc w:val="left"/>
      <w:pPr>
        <w:ind w:hanging="360" w:left="2160"/>
      </w:pPr>
      <w:rPr>
        <w:rFonts w:ascii="Symbol" w:hAnsi="Symbol"/>
      </w:rPr>
    </w:lvl>
    <w:lvl w:ilvl="3" w:tplc="02C3A110">
      <w:start w:val="1"/>
      <w:numFmt w:val="bullet"/>
      <w:suff w:val="tab"/>
      <w:lvlText w:val="o"/>
      <w:lvlJc w:val="left"/>
      <w:pPr>
        <w:ind w:hanging="360" w:left="2880"/>
      </w:pPr>
      <w:rPr>
        <w:rFonts w:ascii="Symbol" w:hAnsi="Symbol"/>
      </w:rPr>
    </w:lvl>
    <w:lvl w:ilvl="4" w:tplc="207D8ADE">
      <w:start w:val="1"/>
      <w:numFmt w:val="bullet"/>
      <w:suff w:val="tab"/>
      <w:lvlText w:val="·"/>
      <w:lvlJc w:val="left"/>
      <w:pPr>
        <w:ind w:hanging="360" w:left="3600"/>
      </w:pPr>
      <w:rPr>
        <w:rFonts w:ascii="Symbol" w:hAnsi="Symbol"/>
      </w:rPr>
    </w:lvl>
    <w:lvl w:ilvl="5" w:tplc="1101DAFA">
      <w:start w:val="1"/>
      <w:numFmt w:val="bullet"/>
      <w:suff w:val="tab"/>
      <w:lvlText w:val="o"/>
      <w:lvlJc w:val="left"/>
      <w:pPr>
        <w:ind w:hanging="360" w:left="4320"/>
      </w:pPr>
      <w:rPr>
        <w:rFonts w:ascii="Symbol" w:hAnsi="Symbol"/>
      </w:rPr>
    </w:lvl>
    <w:lvl w:ilvl="6" w:tplc="648FAD55">
      <w:start w:val="1"/>
      <w:numFmt w:val="bullet"/>
      <w:suff w:val="tab"/>
      <w:lvlText w:val="·"/>
      <w:lvlJc w:val="left"/>
      <w:pPr>
        <w:ind w:hanging="360" w:left="5040"/>
      </w:pPr>
      <w:rPr>
        <w:rFonts w:ascii="Symbol" w:hAnsi="Symbol"/>
      </w:rPr>
    </w:lvl>
    <w:lvl w:ilvl="7" w:tplc="727D36AF">
      <w:start w:val="1"/>
      <w:numFmt w:val="bullet"/>
      <w:suff w:val="tab"/>
      <w:lvlText w:val="o"/>
      <w:lvlJc w:val="left"/>
      <w:pPr>
        <w:ind w:hanging="360" w:left="5760"/>
      </w:pPr>
      <w:rPr>
        <w:rFonts w:ascii="Symbol" w:hAnsi="Symbol"/>
      </w:rPr>
    </w:lvl>
    <w:lvl w:ilvl="8" w:tplc="26505084">
      <w:start w:val="1"/>
      <w:numFmt w:val="bullet"/>
      <w:suff w:val="tab"/>
      <w:lvlText w:val="·"/>
      <w:lvlJc w:val="left"/>
      <w:pPr>
        <w:ind w:hanging="360" w:left="6480"/>
      </w:pPr>
      <w:rPr>
        <w:rFonts w:ascii="Symbol" w:hAnsi="Symbol"/>
      </w:rPr>
    </w:lvl>
  </w:abstractNum>
  <w:abstractNum w:abstractNumId="122">
    <w:nsid w:val="7E8F149B"/>
    <w:multiLevelType w:val="hybridMultilevel"/>
    <w:lvl w:ilvl="0" w:tplc="4954CF0D">
      <w:start w:val="1"/>
      <w:numFmt w:val="bullet"/>
      <w:suff w:val="tab"/>
      <w:lvlText w:val="·"/>
      <w:lvlJc w:val="left"/>
      <w:pPr>
        <w:ind w:hanging="360" w:left="720"/>
      </w:pPr>
      <w:rPr>
        <w:rFonts w:ascii="Symbol" w:hAnsi="Symbol" w:cs="Symbol" w:eastAsia="Symbol"/>
      </w:rPr>
    </w:lvl>
    <w:lvl w:ilvl="1" w:tplc="17A63563">
      <w:start w:val="1"/>
      <w:numFmt w:val="bullet"/>
      <w:suff w:val="tab"/>
      <w:lvlText w:val="o"/>
      <w:lvlJc w:val="left"/>
      <w:pPr>
        <w:ind w:hanging="360" w:left="1440"/>
      </w:pPr>
      <w:rPr>
        <w:rFonts w:ascii="Symbol" w:hAnsi="Symbol"/>
      </w:rPr>
    </w:lvl>
    <w:lvl w:ilvl="2" w:tplc="6977BFE6">
      <w:start w:val="1"/>
      <w:numFmt w:val="bullet"/>
      <w:suff w:val="tab"/>
      <w:lvlText w:val="·"/>
      <w:lvlJc w:val="left"/>
      <w:pPr>
        <w:ind w:hanging="360" w:left="2160"/>
      </w:pPr>
      <w:rPr>
        <w:rFonts w:ascii="Symbol" w:hAnsi="Symbol"/>
      </w:rPr>
    </w:lvl>
    <w:lvl w:ilvl="3" w:tplc="02996DAC">
      <w:start w:val="1"/>
      <w:numFmt w:val="bullet"/>
      <w:suff w:val="tab"/>
      <w:lvlText w:val="o"/>
      <w:lvlJc w:val="left"/>
      <w:pPr>
        <w:ind w:hanging="360" w:left="2880"/>
      </w:pPr>
      <w:rPr>
        <w:rFonts w:ascii="Symbol" w:hAnsi="Symbol"/>
      </w:rPr>
    </w:lvl>
    <w:lvl w:ilvl="4" w:tplc="5B5A95BD">
      <w:start w:val="1"/>
      <w:numFmt w:val="bullet"/>
      <w:suff w:val="tab"/>
      <w:lvlText w:val="·"/>
      <w:lvlJc w:val="left"/>
      <w:pPr>
        <w:ind w:hanging="360" w:left="3600"/>
      </w:pPr>
      <w:rPr>
        <w:rFonts w:ascii="Symbol" w:hAnsi="Symbol"/>
      </w:rPr>
    </w:lvl>
    <w:lvl w:ilvl="5" w:tplc="55490A3E">
      <w:start w:val="1"/>
      <w:numFmt w:val="bullet"/>
      <w:suff w:val="tab"/>
      <w:lvlText w:val="o"/>
      <w:lvlJc w:val="left"/>
      <w:pPr>
        <w:ind w:hanging="360" w:left="4320"/>
      </w:pPr>
      <w:rPr>
        <w:rFonts w:ascii="Symbol" w:hAnsi="Symbol"/>
      </w:rPr>
    </w:lvl>
    <w:lvl w:ilvl="6" w:tplc="3A541617">
      <w:start w:val="1"/>
      <w:numFmt w:val="bullet"/>
      <w:suff w:val="tab"/>
      <w:lvlText w:val="·"/>
      <w:lvlJc w:val="left"/>
      <w:pPr>
        <w:ind w:hanging="360" w:left="5040"/>
      </w:pPr>
      <w:rPr>
        <w:rFonts w:ascii="Symbol" w:hAnsi="Symbol"/>
      </w:rPr>
    </w:lvl>
    <w:lvl w:ilvl="7" w:tplc="6AF4B3BB">
      <w:start w:val="1"/>
      <w:numFmt w:val="bullet"/>
      <w:suff w:val="tab"/>
      <w:lvlText w:val="o"/>
      <w:lvlJc w:val="left"/>
      <w:pPr>
        <w:ind w:hanging="360" w:left="5760"/>
      </w:pPr>
      <w:rPr>
        <w:rFonts w:ascii="Symbol" w:hAnsi="Symbol"/>
      </w:rPr>
    </w:lvl>
    <w:lvl w:ilvl="8" w:tplc="53EB6371">
      <w:start w:val="1"/>
      <w:numFmt w:val="bullet"/>
      <w:suff w:val="tab"/>
      <w:lvlText w:val="·"/>
      <w:lvlJc w:val="left"/>
      <w:pPr>
        <w:ind w:hanging="360" w:left="6480"/>
      </w:pPr>
      <w:rPr>
        <w:rFonts w:ascii="Symbol" w:hAnsi="Symbol"/>
      </w:rPr>
    </w:lvl>
  </w:abstractNum>
  <w:abstractNum w:abstractNumId="123">
    <w:nsid w:val="443EF759"/>
    <w:multiLevelType w:val="hybridMultilevel"/>
    <w:lvl w:ilvl="0" w:tplc="47566F53">
      <w:start w:val="1"/>
      <w:numFmt w:val="bullet"/>
      <w:suff w:val="tab"/>
      <w:lvlText w:val="·"/>
      <w:lvlJc w:val="left"/>
      <w:pPr>
        <w:ind w:hanging="360" w:left="720"/>
      </w:pPr>
      <w:rPr>
        <w:rFonts w:ascii="Symbol" w:hAnsi="Symbol" w:cs="Symbol" w:eastAsia="Symbol"/>
      </w:rPr>
    </w:lvl>
    <w:lvl w:ilvl="1" w:tplc="620CF3FC">
      <w:start w:val="1"/>
      <w:numFmt w:val="bullet"/>
      <w:suff w:val="tab"/>
      <w:lvlText w:val="o"/>
      <w:lvlJc w:val="left"/>
      <w:pPr>
        <w:ind w:hanging="360" w:left="1440"/>
      </w:pPr>
      <w:rPr>
        <w:rFonts w:ascii="Symbol" w:hAnsi="Symbol"/>
      </w:rPr>
    </w:lvl>
    <w:lvl w:ilvl="2" w:tplc="404D9CCC">
      <w:start w:val="1"/>
      <w:numFmt w:val="bullet"/>
      <w:suff w:val="tab"/>
      <w:lvlText w:val="·"/>
      <w:lvlJc w:val="left"/>
      <w:pPr>
        <w:ind w:hanging="360" w:left="2160"/>
      </w:pPr>
      <w:rPr>
        <w:rFonts w:ascii="Symbol" w:hAnsi="Symbol"/>
      </w:rPr>
    </w:lvl>
    <w:lvl w:ilvl="3" w:tplc="1649D286">
      <w:start w:val="1"/>
      <w:numFmt w:val="bullet"/>
      <w:suff w:val="tab"/>
      <w:lvlText w:val="o"/>
      <w:lvlJc w:val="left"/>
      <w:pPr>
        <w:ind w:hanging="360" w:left="2880"/>
      </w:pPr>
      <w:rPr>
        <w:rFonts w:ascii="Symbol" w:hAnsi="Symbol"/>
      </w:rPr>
    </w:lvl>
    <w:lvl w:ilvl="4" w:tplc="3656C27D">
      <w:start w:val="1"/>
      <w:numFmt w:val="bullet"/>
      <w:suff w:val="tab"/>
      <w:lvlText w:val="·"/>
      <w:lvlJc w:val="left"/>
      <w:pPr>
        <w:ind w:hanging="360" w:left="3600"/>
      </w:pPr>
      <w:rPr>
        <w:rFonts w:ascii="Symbol" w:hAnsi="Symbol"/>
      </w:rPr>
    </w:lvl>
    <w:lvl w:ilvl="5" w:tplc="591B959B">
      <w:start w:val="1"/>
      <w:numFmt w:val="bullet"/>
      <w:suff w:val="tab"/>
      <w:lvlText w:val="o"/>
      <w:lvlJc w:val="left"/>
      <w:pPr>
        <w:ind w:hanging="360" w:left="4320"/>
      </w:pPr>
      <w:rPr>
        <w:rFonts w:ascii="Symbol" w:hAnsi="Symbol"/>
      </w:rPr>
    </w:lvl>
    <w:lvl w:ilvl="6" w:tplc="0E413532">
      <w:start w:val="1"/>
      <w:numFmt w:val="bullet"/>
      <w:suff w:val="tab"/>
      <w:lvlText w:val="·"/>
      <w:lvlJc w:val="left"/>
      <w:pPr>
        <w:ind w:hanging="360" w:left="5040"/>
      </w:pPr>
      <w:rPr>
        <w:rFonts w:ascii="Symbol" w:hAnsi="Symbol"/>
      </w:rPr>
    </w:lvl>
    <w:lvl w:ilvl="7" w:tplc="5D401CEC">
      <w:start w:val="1"/>
      <w:numFmt w:val="bullet"/>
      <w:suff w:val="tab"/>
      <w:lvlText w:val="o"/>
      <w:lvlJc w:val="left"/>
      <w:pPr>
        <w:ind w:hanging="360" w:left="5760"/>
      </w:pPr>
      <w:rPr>
        <w:rFonts w:ascii="Symbol" w:hAnsi="Symbol"/>
      </w:rPr>
    </w:lvl>
    <w:lvl w:ilvl="8" w:tplc="50120456">
      <w:start w:val="1"/>
      <w:numFmt w:val="bullet"/>
      <w:suff w:val="tab"/>
      <w:lvlText w:val="·"/>
      <w:lvlJc w:val="left"/>
      <w:pPr>
        <w:ind w:hanging="360" w:left="6480"/>
      </w:pPr>
      <w:rPr>
        <w:rFonts w:ascii="Symbol" w:hAnsi="Symbol"/>
      </w:rPr>
    </w:lvl>
  </w:abstractNum>
  <w:abstractNum w:abstractNumId="124">
    <w:nsid w:val="4FA5BDB6"/>
    <w:multiLevelType w:val="hybridMultilevel"/>
    <w:lvl w:ilvl="0" w:tplc="23022FB6">
      <w:start w:val="1"/>
      <w:numFmt w:val="bullet"/>
      <w:suff w:val="tab"/>
      <w:lvlText w:val="·"/>
      <w:lvlJc w:val="left"/>
      <w:pPr>
        <w:ind w:hanging="360" w:left="720"/>
      </w:pPr>
      <w:rPr>
        <w:rFonts w:ascii="Symbol" w:hAnsi="Symbol" w:cs="Symbol" w:eastAsia="Symbol"/>
      </w:rPr>
    </w:lvl>
    <w:lvl w:ilvl="1" w:tplc="0B2A051C">
      <w:start w:val="1"/>
      <w:numFmt w:val="bullet"/>
      <w:suff w:val="tab"/>
      <w:lvlText w:val="o"/>
      <w:lvlJc w:val="left"/>
      <w:pPr>
        <w:ind w:hanging="360" w:left="1440"/>
      </w:pPr>
      <w:rPr>
        <w:rFonts w:ascii="Symbol" w:hAnsi="Symbol"/>
      </w:rPr>
    </w:lvl>
    <w:lvl w:ilvl="2" w:tplc="78F3295A">
      <w:start w:val="1"/>
      <w:numFmt w:val="bullet"/>
      <w:suff w:val="tab"/>
      <w:lvlText w:val="·"/>
      <w:lvlJc w:val="left"/>
      <w:pPr>
        <w:ind w:hanging="360" w:left="2160"/>
      </w:pPr>
      <w:rPr>
        <w:rFonts w:ascii="Symbol" w:hAnsi="Symbol"/>
      </w:rPr>
    </w:lvl>
    <w:lvl w:ilvl="3" w:tplc="5F37755F">
      <w:start w:val="1"/>
      <w:numFmt w:val="bullet"/>
      <w:suff w:val="tab"/>
      <w:lvlText w:val="o"/>
      <w:lvlJc w:val="left"/>
      <w:pPr>
        <w:ind w:hanging="360" w:left="2880"/>
      </w:pPr>
      <w:rPr>
        <w:rFonts w:ascii="Symbol" w:hAnsi="Symbol"/>
      </w:rPr>
    </w:lvl>
    <w:lvl w:ilvl="4" w:tplc="43B564A1">
      <w:start w:val="1"/>
      <w:numFmt w:val="bullet"/>
      <w:suff w:val="tab"/>
      <w:lvlText w:val="·"/>
      <w:lvlJc w:val="left"/>
      <w:pPr>
        <w:ind w:hanging="360" w:left="3600"/>
      </w:pPr>
      <w:rPr>
        <w:rFonts w:ascii="Symbol" w:hAnsi="Symbol"/>
      </w:rPr>
    </w:lvl>
    <w:lvl w:ilvl="5" w:tplc="5CD197A9">
      <w:start w:val="1"/>
      <w:numFmt w:val="bullet"/>
      <w:suff w:val="tab"/>
      <w:lvlText w:val="o"/>
      <w:lvlJc w:val="left"/>
      <w:pPr>
        <w:ind w:hanging="360" w:left="4320"/>
      </w:pPr>
      <w:rPr>
        <w:rFonts w:ascii="Symbol" w:hAnsi="Symbol"/>
      </w:rPr>
    </w:lvl>
    <w:lvl w:ilvl="6" w:tplc="3A48423B">
      <w:start w:val="1"/>
      <w:numFmt w:val="bullet"/>
      <w:suff w:val="tab"/>
      <w:lvlText w:val="·"/>
      <w:lvlJc w:val="left"/>
      <w:pPr>
        <w:ind w:hanging="360" w:left="5040"/>
      </w:pPr>
      <w:rPr>
        <w:rFonts w:ascii="Symbol" w:hAnsi="Symbol"/>
      </w:rPr>
    </w:lvl>
    <w:lvl w:ilvl="7" w:tplc="2E617927">
      <w:start w:val="1"/>
      <w:numFmt w:val="bullet"/>
      <w:suff w:val="tab"/>
      <w:lvlText w:val="o"/>
      <w:lvlJc w:val="left"/>
      <w:pPr>
        <w:ind w:hanging="360" w:left="5760"/>
      </w:pPr>
      <w:rPr>
        <w:rFonts w:ascii="Symbol" w:hAnsi="Symbol"/>
      </w:rPr>
    </w:lvl>
    <w:lvl w:ilvl="8" w:tplc="76CA883B">
      <w:start w:val="1"/>
      <w:numFmt w:val="bullet"/>
      <w:suff w:val="tab"/>
      <w:lvlText w:val="·"/>
      <w:lvlJc w:val="left"/>
      <w:pPr>
        <w:ind w:hanging="360" w:left="6480"/>
      </w:pPr>
      <w:rPr>
        <w:rFonts w:ascii="Symbol" w:hAnsi="Symbol"/>
      </w:rPr>
    </w:lvl>
  </w:abstractNum>
  <w:abstractNum w:abstractNumId="125">
    <w:nsid w:val="5A476AE9"/>
    <w:multiLevelType w:val="hybridMultilevel"/>
    <w:lvl w:ilvl="0" w:tplc="1DCAB10B">
      <w:start w:val="1"/>
      <w:numFmt w:val="bullet"/>
      <w:suff w:val="tab"/>
      <w:lvlText w:val="·"/>
      <w:lvlJc w:val="left"/>
      <w:pPr>
        <w:ind w:hanging="360" w:left="720"/>
      </w:pPr>
      <w:rPr>
        <w:rFonts w:ascii="Symbol" w:hAnsi="Symbol" w:cs="Symbol" w:eastAsia="Symbol"/>
      </w:rPr>
    </w:lvl>
    <w:lvl w:ilvl="1" w:tplc="6975BF3D">
      <w:start w:val="1"/>
      <w:numFmt w:val="bullet"/>
      <w:suff w:val="tab"/>
      <w:lvlText w:val="o"/>
      <w:lvlJc w:val="left"/>
      <w:pPr>
        <w:ind w:hanging="360" w:left="1440"/>
      </w:pPr>
      <w:rPr>
        <w:rFonts w:ascii="Symbol" w:hAnsi="Symbol"/>
      </w:rPr>
    </w:lvl>
    <w:lvl w:ilvl="2" w:tplc="097E037A">
      <w:start w:val="1"/>
      <w:numFmt w:val="bullet"/>
      <w:suff w:val="tab"/>
      <w:lvlText w:val="·"/>
      <w:lvlJc w:val="left"/>
      <w:pPr>
        <w:ind w:hanging="360" w:left="2160"/>
      </w:pPr>
      <w:rPr>
        <w:rFonts w:ascii="Symbol" w:hAnsi="Symbol"/>
      </w:rPr>
    </w:lvl>
    <w:lvl w:ilvl="3" w:tplc="2D5169DE">
      <w:start w:val="1"/>
      <w:numFmt w:val="bullet"/>
      <w:suff w:val="tab"/>
      <w:lvlText w:val="o"/>
      <w:lvlJc w:val="left"/>
      <w:pPr>
        <w:ind w:hanging="360" w:left="2880"/>
      </w:pPr>
      <w:rPr>
        <w:rFonts w:ascii="Symbol" w:hAnsi="Symbol"/>
      </w:rPr>
    </w:lvl>
    <w:lvl w:ilvl="4" w:tplc="3D197CC4">
      <w:start w:val="1"/>
      <w:numFmt w:val="bullet"/>
      <w:suff w:val="tab"/>
      <w:lvlText w:val="·"/>
      <w:lvlJc w:val="left"/>
      <w:pPr>
        <w:ind w:hanging="360" w:left="3600"/>
      </w:pPr>
      <w:rPr>
        <w:rFonts w:ascii="Symbol" w:hAnsi="Symbol"/>
      </w:rPr>
    </w:lvl>
    <w:lvl w:ilvl="5" w:tplc="409B1DDA">
      <w:start w:val="1"/>
      <w:numFmt w:val="bullet"/>
      <w:suff w:val="tab"/>
      <w:lvlText w:val="o"/>
      <w:lvlJc w:val="left"/>
      <w:pPr>
        <w:ind w:hanging="360" w:left="4320"/>
      </w:pPr>
      <w:rPr>
        <w:rFonts w:ascii="Symbol" w:hAnsi="Symbol"/>
      </w:rPr>
    </w:lvl>
    <w:lvl w:ilvl="6" w:tplc="0585BAFE">
      <w:start w:val="1"/>
      <w:numFmt w:val="bullet"/>
      <w:suff w:val="tab"/>
      <w:lvlText w:val="·"/>
      <w:lvlJc w:val="left"/>
      <w:pPr>
        <w:ind w:hanging="360" w:left="5040"/>
      </w:pPr>
      <w:rPr>
        <w:rFonts w:ascii="Symbol" w:hAnsi="Symbol"/>
      </w:rPr>
    </w:lvl>
    <w:lvl w:ilvl="7" w:tplc="229065DC">
      <w:start w:val="1"/>
      <w:numFmt w:val="bullet"/>
      <w:suff w:val="tab"/>
      <w:lvlText w:val="o"/>
      <w:lvlJc w:val="left"/>
      <w:pPr>
        <w:ind w:hanging="360" w:left="5760"/>
      </w:pPr>
      <w:rPr>
        <w:rFonts w:ascii="Symbol" w:hAnsi="Symbol"/>
      </w:rPr>
    </w:lvl>
    <w:lvl w:ilvl="8" w:tplc="56EB0347">
      <w:start w:val="1"/>
      <w:numFmt w:val="bullet"/>
      <w:suff w:val="tab"/>
      <w:lvlText w:val="·"/>
      <w:lvlJc w:val="left"/>
      <w:pPr>
        <w:ind w:hanging="360" w:left="6480"/>
      </w:pPr>
      <w:rPr>
        <w:rFonts w:ascii="Symbol" w:hAnsi="Symbol"/>
      </w:rPr>
    </w:lvl>
  </w:abstractNum>
  <w:abstractNum w:abstractNumId="126">
    <w:nsid w:val="7F38C4B1"/>
    <w:multiLevelType w:val="hybridMultilevel"/>
    <w:lvl w:ilvl="0" w:tplc="6A64B154">
      <w:start w:val="1"/>
      <w:numFmt w:val="bullet"/>
      <w:suff w:val="tab"/>
      <w:lvlText w:val="·"/>
      <w:lvlJc w:val="left"/>
      <w:pPr>
        <w:ind w:hanging="360" w:left="720"/>
      </w:pPr>
      <w:rPr>
        <w:rFonts w:ascii="Symbol" w:hAnsi="Symbol" w:cs="Symbol" w:eastAsia="Symbol"/>
      </w:rPr>
    </w:lvl>
    <w:lvl w:ilvl="1" w:tplc="1E49CC59">
      <w:start w:val="1"/>
      <w:numFmt w:val="bullet"/>
      <w:suff w:val="tab"/>
      <w:lvlText w:val="o"/>
      <w:lvlJc w:val="left"/>
      <w:pPr>
        <w:ind w:hanging="360" w:left="1440"/>
      </w:pPr>
      <w:rPr>
        <w:rFonts w:ascii="Symbol" w:hAnsi="Symbol"/>
      </w:rPr>
    </w:lvl>
    <w:lvl w:ilvl="2" w:tplc="749D0B31">
      <w:start w:val="1"/>
      <w:numFmt w:val="bullet"/>
      <w:suff w:val="tab"/>
      <w:lvlText w:val="·"/>
      <w:lvlJc w:val="left"/>
      <w:pPr>
        <w:ind w:hanging="360" w:left="2160"/>
      </w:pPr>
      <w:rPr>
        <w:rFonts w:ascii="Symbol" w:hAnsi="Symbol"/>
      </w:rPr>
    </w:lvl>
    <w:lvl w:ilvl="3" w:tplc="79C501F4">
      <w:start w:val="1"/>
      <w:numFmt w:val="bullet"/>
      <w:suff w:val="tab"/>
      <w:lvlText w:val="o"/>
      <w:lvlJc w:val="left"/>
      <w:pPr>
        <w:ind w:hanging="360" w:left="2880"/>
      </w:pPr>
      <w:rPr>
        <w:rFonts w:ascii="Symbol" w:hAnsi="Symbol"/>
      </w:rPr>
    </w:lvl>
    <w:lvl w:ilvl="4" w:tplc="6E0DDA92">
      <w:start w:val="1"/>
      <w:numFmt w:val="bullet"/>
      <w:suff w:val="tab"/>
      <w:lvlText w:val="·"/>
      <w:lvlJc w:val="left"/>
      <w:pPr>
        <w:ind w:hanging="360" w:left="3600"/>
      </w:pPr>
      <w:rPr>
        <w:rFonts w:ascii="Symbol" w:hAnsi="Symbol"/>
      </w:rPr>
    </w:lvl>
    <w:lvl w:ilvl="5" w:tplc="501F50C4">
      <w:start w:val="1"/>
      <w:numFmt w:val="bullet"/>
      <w:suff w:val="tab"/>
      <w:lvlText w:val="o"/>
      <w:lvlJc w:val="left"/>
      <w:pPr>
        <w:ind w:hanging="360" w:left="4320"/>
      </w:pPr>
      <w:rPr>
        <w:rFonts w:ascii="Symbol" w:hAnsi="Symbol"/>
      </w:rPr>
    </w:lvl>
    <w:lvl w:ilvl="6" w:tplc="2411C289">
      <w:start w:val="1"/>
      <w:numFmt w:val="bullet"/>
      <w:suff w:val="tab"/>
      <w:lvlText w:val="·"/>
      <w:lvlJc w:val="left"/>
      <w:pPr>
        <w:ind w:hanging="360" w:left="5040"/>
      </w:pPr>
      <w:rPr>
        <w:rFonts w:ascii="Symbol" w:hAnsi="Symbol"/>
      </w:rPr>
    </w:lvl>
    <w:lvl w:ilvl="7" w:tplc="727FBF2A">
      <w:start w:val="1"/>
      <w:numFmt w:val="bullet"/>
      <w:suff w:val="tab"/>
      <w:lvlText w:val="o"/>
      <w:lvlJc w:val="left"/>
      <w:pPr>
        <w:ind w:hanging="360" w:left="5760"/>
      </w:pPr>
      <w:rPr>
        <w:rFonts w:ascii="Symbol" w:hAnsi="Symbol"/>
      </w:rPr>
    </w:lvl>
    <w:lvl w:ilvl="8" w:tplc="178F9182">
      <w:start w:val="1"/>
      <w:numFmt w:val="bullet"/>
      <w:suff w:val="tab"/>
      <w:lvlText w:val="·"/>
      <w:lvlJc w:val="left"/>
      <w:pPr>
        <w:ind w:hanging="360" w:left="6480"/>
      </w:pPr>
      <w:rPr>
        <w:rFonts w:ascii="Symbol" w:hAnsi="Symbol"/>
      </w:rPr>
    </w:lvl>
  </w:abstractNum>
  <w:abstractNum w:abstractNumId="127">
    <w:nsid w:val="5245FB71"/>
    <w:multiLevelType w:val="hybridMultilevel"/>
    <w:lvl w:ilvl="0" w:tplc="04DF5027">
      <w:start w:val="1"/>
      <w:numFmt w:val="bullet"/>
      <w:suff w:val="tab"/>
      <w:lvlText w:val="·"/>
      <w:lvlJc w:val="left"/>
      <w:pPr>
        <w:ind w:hanging="360" w:left="720"/>
      </w:pPr>
      <w:rPr>
        <w:rFonts w:ascii="Symbol" w:hAnsi="Symbol" w:cs="Symbol" w:eastAsia="Symbol"/>
      </w:rPr>
    </w:lvl>
    <w:lvl w:ilvl="1" w:tplc="4F90C59E">
      <w:start w:val="1"/>
      <w:numFmt w:val="bullet"/>
      <w:suff w:val="tab"/>
      <w:lvlText w:val="o"/>
      <w:lvlJc w:val="left"/>
      <w:pPr>
        <w:ind w:hanging="360" w:left="1440"/>
      </w:pPr>
      <w:rPr>
        <w:rFonts w:ascii="Symbol" w:hAnsi="Symbol"/>
      </w:rPr>
    </w:lvl>
    <w:lvl w:ilvl="2" w:tplc="7D67CC31">
      <w:start w:val="1"/>
      <w:numFmt w:val="bullet"/>
      <w:suff w:val="tab"/>
      <w:lvlText w:val="·"/>
      <w:lvlJc w:val="left"/>
      <w:pPr>
        <w:ind w:hanging="360" w:left="2160"/>
      </w:pPr>
      <w:rPr>
        <w:rFonts w:ascii="Symbol" w:hAnsi="Symbol"/>
      </w:rPr>
    </w:lvl>
    <w:lvl w:ilvl="3" w:tplc="20C0ADE6">
      <w:start w:val="1"/>
      <w:numFmt w:val="bullet"/>
      <w:suff w:val="tab"/>
      <w:lvlText w:val="o"/>
      <w:lvlJc w:val="left"/>
      <w:pPr>
        <w:ind w:hanging="360" w:left="2880"/>
      </w:pPr>
      <w:rPr>
        <w:rFonts w:ascii="Symbol" w:hAnsi="Symbol"/>
      </w:rPr>
    </w:lvl>
    <w:lvl w:ilvl="4" w:tplc="559EFDB5">
      <w:start w:val="1"/>
      <w:numFmt w:val="bullet"/>
      <w:suff w:val="tab"/>
      <w:lvlText w:val="·"/>
      <w:lvlJc w:val="left"/>
      <w:pPr>
        <w:ind w:hanging="360" w:left="3600"/>
      </w:pPr>
      <w:rPr>
        <w:rFonts w:ascii="Symbol" w:hAnsi="Symbol"/>
      </w:rPr>
    </w:lvl>
    <w:lvl w:ilvl="5" w:tplc="28C91D00">
      <w:start w:val="1"/>
      <w:numFmt w:val="bullet"/>
      <w:suff w:val="tab"/>
      <w:lvlText w:val="o"/>
      <w:lvlJc w:val="left"/>
      <w:pPr>
        <w:ind w:hanging="360" w:left="4320"/>
      </w:pPr>
      <w:rPr>
        <w:rFonts w:ascii="Symbol" w:hAnsi="Symbol"/>
      </w:rPr>
    </w:lvl>
    <w:lvl w:ilvl="6" w:tplc="2037C309">
      <w:start w:val="1"/>
      <w:numFmt w:val="bullet"/>
      <w:suff w:val="tab"/>
      <w:lvlText w:val="·"/>
      <w:lvlJc w:val="left"/>
      <w:pPr>
        <w:ind w:hanging="360" w:left="5040"/>
      </w:pPr>
      <w:rPr>
        <w:rFonts w:ascii="Symbol" w:hAnsi="Symbol"/>
      </w:rPr>
    </w:lvl>
    <w:lvl w:ilvl="7" w:tplc="49F1C4A7">
      <w:start w:val="1"/>
      <w:numFmt w:val="bullet"/>
      <w:suff w:val="tab"/>
      <w:lvlText w:val="o"/>
      <w:lvlJc w:val="left"/>
      <w:pPr>
        <w:ind w:hanging="360" w:left="5760"/>
      </w:pPr>
      <w:rPr>
        <w:rFonts w:ascii="Symbol" w:hAnsi="Symbol"/>
      </w:rPr>
    </w:lvl>
    <w:lvl w:ilvl="8" w:tplc="4A66AC7B">
      <w:start w:val="1"/>
      <w:numFmt w:val="bullet"/>
      <w:suff w:val="tab"/>
      <w:lvlText w:val="·"/>
      <w:lvlJc w:val="left"/>
      <w:pPr>
        <w:ind w:hanging="360" w:left="6480"/>
      </w:pPr>
      <w:rPr>
        <w:rFonts w:ascii="Symbol" w:hAnsi="Symbol"/>
      </w:rPr>
    </w:lvl>
  </w:abstractNum>
  <w:abstractNum w:abstractNumId="128">
    <w:nsid w:val="6A4369A8"/>
    <w:multiLevelType w:val="hybridMultilevel"/>
    <w:lvl w:ilvl="0" w:tplc="32FD12B9">
      <w:start w:val="1"/>
      <w:numFmt w:val="bullet"/>
      <w:suff w:val="tab"/>
      <w:lvlText w:val="·"/>
      <w:lvlJc w:val="left"/>
      <w:pPr>
        <w:ind w:hanging="360" w:left="720"/>
      </w:pPr>
      <w:rPr>
        <w:rFonts w:ascii="Symbol" w:hAnsi="Symbol" w:cs="Symbol" w:eastAsia="Symbol"/>
      </w:rPr>
    </w:lvl>
    <w:lvl w:ilvl="1" w:tplc="13E8D545">
      <w:start w:val="1"/>
      <w:numFmt w:val="bullet"/>
      <w:suff w:val="tab"/>
      <w:lvlText w:val="o"/>
      <w:lvlJc w:val="left"/>
      <w:pPr>
        <w:ind w:hanging="360" w:left="1440"/>
      </w:pPr>
      <w:rPr>
        <w:rFonts w:ascii="Symbol" w:hAnsi="Symbol"/>
      </w:rPr>
    </w:lvl>
    <w:lvl w:ilvl="2" w:tplc="57B7549B">
      <w:start w:val="1"/>
      <w:numFmt w:val="bullet"/>
      <w:suff w:val="tab"/>
      <w:lvlText w:val="·"/>
      <w:lvlJc w:val="left"/>
      <w:pPr>
        <w:ind w:hanging="360" w:left="2160"/>
      </w:pPr>
      <w:rPr>
        <w:rFonts w:ascii="Symbol" w:hAnsi="Symbol"/>
      </w:rPr>
    </w:lvl>
    <w:lvl w:ilvl="3" w:tplc="6247C6F2">
      <w:start w:val="1"/>
      <w:numFmt w:val="bullet"/>
      <w:suff w:val="tab"/>
      <w:lvlText w:val="o"/>
      <w:lvlJc w:val="left"/>
      <w:pPr>
        <w:ind w:hanging="360" w:left="2880"/>
      </w:pPr>
      <w:rPr>
        <w:rFonts w:ascii="Symbol" w:hAnsi="Symbol"/>
      </w:rPr>
    </w:lvl>
    <w:lvl w:ilvl="4" w:tplc="28343E7B">
      <w:start w:val="1"/>
      <w:numFmt w:val="bullet"/>
      <w:suff w:val="tab"/>
      <w:lvlText w:val="·"/>
      <w:lvlJc w:val="left"/>
      <w:pPr>
        <w:ind w:hanging="360" w:left="3600"/>
      </w:pPr>
      <w:rPr>
        <w:rFonts w:ascii="Symbol" w:hAnsi="Symbol"/>
      </w:rPr>
    </w:lvl>
    <w:lvl w:ilvl="5" w:tplc="1D353AAB">
      <w:start w:val="1"/>
      <w:numFmt w:val="bullet"/>
      <w:suff w:val="tab"/>
      <w:lvlText w:val="o"/>
      <w:lvlJc w:val="left"/>
      <w:pPr>
        <w:ind w:hanging="360" w:left="4320"/>
      </w:pPr>
      <w:rPr>
        <w:rFonts w:ascii="Symbol" w:hAnsi="Symbol"/>
      </w:rPr>
    </w:lvl>
    <w:lvl w:ilvl="6" w:tplc="29B7358E">
      <w:start w:val="1"/>
      <w:numFmt w:val="bullet"/>
      <w:suff w:val="tab"/>
      <w:lvlText w:val="·"/>
      <w:lvlJc w:val="left"/>
      <w:pPr>
        <w:ind w:hanging="360" w:left="5040"/>
      </w:pPr>
      <w:rPr>
        <w:rFonts w:ascii="Symbol" w:hAnsi="Symbol"/>
      </w:rPr>
    </w:lvl>
    <w:lvl w:ilvl="7" w:tplc="2D51CFB4">
      <w:start w:val="1"/>
      <w:numFmt w:val="bullet"/>
      <w:suff w:val="tab"/>
      <w:lvlText w:val="o"/>
      <w:lvlJc w:val="left"/>
      <w:pPr>
        <w:ind w:hanging="360" w:left="5760"/>
      </w:pPr>
      <w:rPr>
        <w:rFonts w:ascii="Symbol" w:hAnsi="Symbol"/>
      </w:rPr>
    </w:lvl>
    <w:lvl w:ilvl="8" w:tplc="6D655E2F">
      <w:start w:val="1"/>
      <w:numFmt w:val="bullet"/>
      <w:suff w:val="tab"/>
      <w:lvlText w:val="·"/>
      <w:lvlJc w:val="left"/>
      <w:pPr>
        <w:ind w:hanging="360" w:left="6480"/>
      </w:pPr>
      <w:rPr>
        <w:rFonts w:ascii="Symbol" w:hAnsi="Symbol"/>
      </w:rPr>
    </w:lvl>
  </w:abstractNum>
  <w:abstractNum w:abstractNumId="129">
    <w:nsid w:val="38664FDB"/>
    <w:multiLevelType w:val="hybridMultilevel"/>
    <w:lvl w:ilvl="0" w:tplc="21F61C13">
      <w:start w:val="1"/>
      <w:numFmt w:val="bullet"/>
      <w:suff w:val="tab"/>
      <w:lvlText w:val="·"/>
      <w:lvlJc w:val="left"/>
      <w:pPr>
        <w:ind w:hanging="360" w:left="720"/>
      </w:pPr>
      <w:rPr>
        <w:rFonts w:ascii="Symbol" w:hAnsi="Symbol" w:cs="Symbol" w:eastAsia="Symbol"/>
      </w:rPr>
    </w:lvl>
    <w:lvl w:ilvl="1" w:tplc="5A98A975">
      <w:start w:val="1"/>
      <w:numFmt w:val="bullet"/>
      <w:suff w:val="tab"/>
      <w:lvlText w:val="o"/>
      <w:lvlJc w:val="left"/>
      <w:pPr>
        <w:ind w:hanging="360" w:left="1440"/>
      </w:pPr>
      <w:rPr>
        <w:rFonts w:ascii="Symbol" w:hAnsi="Symbol"/>
      </w:rPr>
    </w:lvl>
    <w:lvl w:ilvl="2" w:tplc="553989E6">
      <w:start w:val="1"/>
      <w:numFmt w:val="bullet"/>
      <w:suff w:val="tab"/>
      <w:lvlText w:val="·"/>
      <w:lvlJc w:val="left"/>
      <w:pPr>
        <w:ind w:hanging="360" w:left="2160"/>
      </w:pPr>
      <w:rPr>
        <w:rFonts w:ascii="Symbol" w:hAnsi="Symbol"/>
      </w:rPr>
    </w:lvl>
    <w:lvl w:ilvl="3" w:tplc="4F78965F">
      <w:start w:val="1"/>
      <w:numFmt w:val="bullet"/>
      <w:suff w:val="tab"/>
      <w:lvlText w:val="o"/>
      <w:lvlJc w:val="left"/>
      <w:pPr>
        <w:ind w:hanging="360" w:left="2880"/>
      </w:pPr>
      <w:rPr>
        <w:rFonts w:ascii="Symbol" w:hAnsi="Symbol"/>
      </w:rPr>
    </w:lvl>
    <w:lvl w:ilvl="4" w:tplc="6569339C">
      <w:start w:val="1"/>
      <w:numFmt w:val="bullet"/>
      <w:suff w:val="tab"/>
      <w:lvlText w:val="·"/>
      <w:lvlJc w:val="left"/>
      <w:pPr>
        <w:ind w:hanging="360" w:left="3600"/>
      </w:pPr>
      <w:rPr>
        <w:rFonts w:ascii="Symbol" w:hAnsi="Symbol"/>
      </w:rPr>
    </w:lvl>
    <w:lvl w:ilvl="5" w:tplc="728DD8B1">
      <w:start w:val="1"/>
      <w:numFmt w:val="bullet"/>
      <w:suff w:val="tab"/>
      <w:lvlText w:val="o"/>
      <w:lvlJc w:val="left"/>
      <w:pPr>
        <w:ind w:hanging="360" w:left="4320"/>
      </w:pPr>
      <w:rPr>
        <w:rFonts w:ascii="Symbol" w:hAnsi="Symbol"/>
      </w:rPr>
    </w:lvl>
    <w:lvl w:ilvl="6" w:tplc="5D6098EA">
      <w:start w:val="1"/>
      <w:numFmt w:val="bullet"/>
      <w:suff w:val="tab"/>
      <w:lvlText w:val="·"/>
      <w:lvlJc w:val="left"/>
      <w:pPr>
        <w:ind w:hanging="360" w:left="5040"/>
      </w:pPr>
      <w:rPr>
        <w:rFonts w:ascii="Symbol" w:hAnsi="Symbol"/>
      </w:rPr>
    </w:lvl>
    <w:lvl w:ilvl="7" w:tplc="6D17DB0A">
      <w:start w:val="1"/>
      <w:numFmt w:val="bullet"/>
      <w:suff w:val="tab"/>
      <w:lvlText w:val="o"/>
      <w:lvlJc w:val="left"/>
      <w:pPr>
        <w:ind w:hanging="360" w:left="5760"/>
      </w:pPr>
      <w:rPr>
        <w:rFonts w:ascii="Symbol" w:hAnsi="Symbol"/>
      </w:rPr>
    </w:lvl>
    <w:lvl w:ilvl="8" w:tplc="312C9901">
      <w:start w:val="1"/>
      <w:numFmt w:val="bullet"/>
      <w:suff w:val="tab"/>
      <w:lvlText w:val="·"/>
      <w:lvlJc w:val="left"/>
      <w:pPr>
        <w:ind w:hanging="360" w:left="6480"/>
      </w:pPr>
      <w:rPr>
        <w:rFonts w:ascii="Symbol" w:hAnsi="Symbol"/>
      </w:rPr>
    </w:lvl>
  </w:abstractNum>
  <w:abstractNum w:abstractNumId="130">
    <w:nsid w:val="05993408"/>
    <w:multiLevelType w:val="hybridMultilevel"/>
    <w:lvl w:ilvl="0" w:tplc="6065AEDB">
      <w:start w:val="1"/>
      <w:numFmt w:val="bullet"/>
      <w:suff w:val="tab"/>
      <w:lvlText w:val="·"/>
      <w:lvlJc w:val="left"/>
      <w:pPr>
        <w:ind w:hanging="360" w:left="720"/>
      </w:pPr>
      <w:rPr>
        <w:rFonts w:ascii="Symbol" w:hAnsi="Symbol" w:cs="Symbol" w:eastAsia="Symbol"/>
      </w:rPr>
    </w:lvl>
    <w:lvl w:ilvl="1" w:tplc="07C6A889">
      <w:start w:val="1"/>
      <w:numFmt w:val="bullet"/>
      <w:suff w:val="tab"/>
      <w:lvlText w:val="o"/>
      <w:lvlJc w:val="left"/>
      <w:pPr>
        <w:ind w:hanging="360" w:left="1440"/>
      </w:pPr>
      <w:rPr>
        <w:rFonts w:ascii="Symbol" w:hAnsi="Symbol"/>
      </w:rPr>
    </w:lvl>
    <w:lvl w:ilvl="2" w:tplc="17B189FA">
      <w:start w:val="1"/>
      <w:numFmt w:val="bullet"/>
      <w:suff w:val="tab"/>
      <w:lvlText w:val="·"/>
      <w:lvlJc w:val="left"/>
      <w:pPr>
        <w:ind w:hanging="360" w:left="2160"/>
      </w:pPr>
      <w:rPr>
        <w:rFonts w:ascii="Symbol" w:hAnsi="Symbol"/>
      </w:rPr>
    </w:lvl>
    <w:lvl w:ilvl="3" w:tplc="3E085FD0">
      <w:start w:val="1"/>
      <w:numFmt w:val="bullet"/>
      <w:suff w:val="tab"/>
      <w:lvlText w:val="o"/>
      <w:lvlJc w:val="left"/>
      <w:pPr>
        <w:ind w:hanging="360" w:left="2880"/>
      </w:pPr>
      <w:rPr>
        <w:rFonts w:ascii="Symbol" w:hAnsi="Symbol"/>
      </w:rPr>
    </w:lvl>
    <w:lvl w:ilvl="4" w:tplc="6FACA320">
      <w:start w:val="1"/>
      <w:numFmt w:val="bullet"/>
      <w:suff w:val="tab"/>
      <w:lvlText w:val="·"/>
      <w:lvlJc w:val="left"/>
      <w:pPr>
        <w:ind w:hanging="360" w:left="3600"/>
      </w:pPr>
      <w:rPr>
        <w:rFonts w:ascii="Symbol" w:hAnsi="Symbol"/>
      </w:rPr>
    </w:lvl>
    <w:lvl w:ilvl="5" w:tplc="4CC1ED32">
      <w:start w:val="1"/>
      <w:numFmt w:val="bullet"/>
      <w:suff w:val="tab"/>
      <w:lvlText w:val="o"/>
      <w:lvlJc w:val="left"/>
      <w:pPr>
        <w:ind w:hanging="360" w:left="4320"/>
      </w:pPr>
      <w:rPr>
        <w:rFonts w:ascii="Symbol" w:hAnsi="Symbol"/>
      </w:rPr>
    </w:lvl>
    <w:lvl w:ilvl="6" w:tplc="041C8014">
      <w:start w:val="1"/>
      <w:numFmt w:val="bullet"/>
      <w:suff w:val="tab"/>
      <w:lvlText w:val="·"/>
      <w:lvlJc w:val="left"/>
      <w:pPr>
        <w:ind w:hanging="360" w:left="5040"/>
      </w:pPr>
      <w:rPr>
        <w:rFonts w:ascii="Symbol" w:hAnsi="Symbol"/>
      </w:rPr>
    </w:lvl>
    <w:lvl w:ilvl="7" w:tplc="21427849">
      <w:start w:val="1"/>
      <w:numFmt w:val="bullet"/>
      <w:suff w:val="tab"/>
      <w:lvlText w:val="o"/>
      <w:lvlJc w:val="left"/>
      <w:pPr>
        <w:ind w:hanging="360" w:left="5760"/>
      </w:pPr>
      <w:rPr>
        <w:rFonts w:ascii="Symbol" w:hAnsi="Symbol"/>
      </w:rPr>
    </w:lvl>
    <w:lvl w:ilvl="8" w:tplc="2F0B8A39">
      <w:start w:val="1"/>
      <w:numFmt w:val="bullet"/>
      <w:suff w:val="tab"/>
      <w:lvlText w:val="·"/>
      <w:lvlJc w:val="left"/>
      <w:pPr>
        <w:ind w:hanging="360" w:left="6480"/>
      </w:pPr>
      <w:rPr>
        <w:rFonts w:ascii="Symbol" w:hAnsi="Symbol"/>
      </w:rPr>
    </w:lvl>
  </w:abstractNum>
  <w:abstractNum w:abstractNumId="131">
    <w:nsid w:val="60F77C64"/>
    <w:multiLevelType w:val="hybridMultilevel"/>
    <w:lvl w:ilvl="0" w:tplc="181560D9">
      <w:start w:val="1"/>
      <w:numFmt w:val="bullet"/>
      <w:suff w:val="tab"/>
      <w:lvlText w:val="·"/>
      <w:lvlJc w:val="left"/>
      <w:pPr>
        <w:ind w:hanging="360" w:left="720"/>
      </w:pPr>
      <w:rPr>
        <w:rFonts w:ascii="Symbol" w:hAnsi="Symbol" w:cs="Symbol" w:eastAsia="Symbol"/>
      </w:rPr>
    </w:lvl>
    <w:lvl w:ilvl="1" w:tplc="75C8AC56">
      <w:start w:val="1"/>
      <w:numFmt w:val="bullet"/>
      <w:suff w:val="tab"/>
      <w:lvlText w:val="o"/>
      <w:lvlJc w:val="left"/>
      <w:pPr>
        <w:ind w:hanging="360" w:left="1440"/>
      </w:pPr>
      <w:rPr>
        <w:rFonts w:ascii="Symbol" w:hAnsi="Symbol"/>
      </w:rPr>
    </w:lvl>
    <w:lvl w:ilvl="2" w:tplc="59DC8C46">
      <w:start w:val="1"/>
      <w:numFmt w:val="bullet"/>
      <w:suff w:val="tab"/>
      <w:lvlText w:val="·"/>
      <w:lvlJc w:val="left"/>
      <w:pPr>
        <w:ind w:hanging="360" w:left="2160"/>
      </w:pPr>
      <w:rPr>
        <w:rFonts w:ascii="Symbol" w:hAnsi="Symbol"/>
      </w:rPr>
    </w:lvl>
    <w:lvl w:ilvl="3" w:tplc="29B97B41">
      <w:start w:val="1"/>
      <w:numFmt w:val="bullet"/>
      <w:suff w:val="tab"/>
      <w:lvlText w:val="o"/>
      <w:lvlJc w:val="left"/>
      <w:pPr>
        <w:ind w:hanging="360" w:left="2880"/>
      </w:pPr>
      <w:rPr>
        <w:rFonts w:ascii="Symbol" w:hAnsi="Symbol"/>
      </w:rPr>
    </w:lvl>
    <w:lvl w:ilvl="4" w:tplc="2763A02F">
      <w:start w:val="1"/>
      <w:numFmt w:val="bullet"/>
      <w:suff w:val="tab"/>
      <w:lvlText w:val="·"/>
      <w:lvlJc w:val="left"/>
      <w:pPr>
        <w:ind w:hanging="360" w:left="3600"/>
      </w:pPr>
      <w:rPr>
        <w:rFonts w:ascii="Symbol" w:hAnsi="Symbol"/>
      </w:rPr>
    </w:lvl>
    <w:lvl w:ilvl="5" w:tplc="0033F87A">
      <w:start w:val="1"/>
      <w:numFmt w:val="bullet"/>
      <w:suff w:val="tab"/>
      <w:lvlText w:val="o"/>
      <w:lvlJc w:val="left"/>
      <w:pPr>
        <w:ind w:hanging="360" w:left="4320"/>
      </w:pPr>
      <w:rPr>
        <w:rFonts w:ascii="Symbol" w:hAnsi="Symbol"/>
      </w:rPr>
    </w:lvl>
    <w:lvl w:ilvl="6" w:tplc="3A315EAB">
      <w:start w:val="1"/>
      <w:numFmt w:val="bullet"/>
      <w:suff w:val="tab"/>
      <w:lvlText w:val="·"/>
      <w:lvlJc w:val="left"/>
      <w:pPr>
        <w:ind w:hanging="360" w:left="5040"/>
      </w:pPr>
      <w:rPr>
        <w:rFonts w:ascii="Symbol" w:hAnsi="Symbol"/>
      </w:rPr>
    </w:lvl>
    <w:lvl w:ilvl="7" w:tplc="4B491493">
      <w:start w:val="1"/>
      <w:numFmt w:val="bullet"/>
      <w:suff w:val="tab"/>
      <w:lvlText w:val="o"/>
      <w:lvlJc w:val="left"/>
      <w:pPr>
        <w:ind w:hanging="360" w:left="5760"/>
      </w:pPr>
      <w:rPr>
        <w:rFonts w:ascii="Symbol" w:hAnsi="Symbol"/>
      </w:rPr>
    </w:lvl>
    <w:lvl w:ilvl="8" w:tplc="49859676">
      <w:start w:val="1"/>
      <w:numFmt w:val="bullet"/>
      <w:suff w:val="tab"/>
      <w:lvlText w:val="·"/>
      <w:lvlJc w:val="left"/>
      <w:pPr>
        <w:ind w:hanging="360" w:left="6480"/>
      </w:pPr>
      <w:rPr>
        <w:rFonts w:ascii="Symbol" w:hAnsi="Symbol"/>
      </w:rPr>
    </w:lvl>
  </w:abstractNum>
  <w:abstractNum w:abstractNumId="132">
    <w:nsid w:val="61068A3C"/>
    <w:multiLevelType w:val="hybridMultilevel"/>
    <w:lvl w:ilvl="0" w:tplc="42F7AA0F">
      <w:start w:val="1"/>
      <w:numFmt w:val="bullet"/>
      <w:suff w:val="tab"/>
      <w:lvlText w:val="·"/>
      <w:lvlJc w:val="left"/>
      <w:pPr>
        <w:ind w:hanging="360" w:left="720"/>
      </w:pPr>
      <w:rPr>
        <w:rFonts w:ascii="Symbol" w:hAnsi="Symbol" w:cs="Symbol" w:eastAsia="Symbol"/>
      </w:rPr>
    </w:lvl>
    <w:lvl w:ilvl="1" w:tplc="6A5B553A">
      <w:start w:val="1"/>
      <w:numFmt w:val="bullet"/>
      <w:suff w:val="tab"/>
      <w:lvlText w:val="o"/>
      <w:lvlJc w:val="left"/>
      <w:pPr>
        <w:ind w:hanging="360" w:left="1440"/>
      </w:pPr>
      <w:rPr>
        <w:rFonts w:ascii="Symbol" w:hAnsi="Symbol"/>
      </w:rPr>
    </w:lvl>
    <w:lvl w:ilvl="2" w:tplc="68527031">
      <w:start w:val="1"/>
      <w:numFmt w:val="bullet"/>
      <w:suff w:val="tab"/>
      <w:lvlText w:val="·"/>
      <w:lvlJc w:val="left"/>
      <w:pPr>
        <w:ind w:hanging="360" w:left="2160"/>
      </w:pPr>
      <w:rPr>
        <w:rFonts w:ascii="Symbol" w:hAnsi="Symbol"/>
      </w:rPr>
    </w:lvl>
    <w:lvl w:ilvl="3" w:tplc="2DAB884B">
      <w:start w:val="1"/>
      <w:numFmt w:val="bullet"/>
      <w:suff w:val="tab"/>
      <w:lvlText w:val="o"/>
      <w:lvlJc w:val="left"/>
      <w:pPr>
        <w:ind w:hanging="360" w:left="2880"/>
      </w:pPr>
      <w:rPr>
        <w:rFonts w:ascii="Symbol" w:hAnsi="Symbol"/>
      </w:rPr>
    </w:lvl>
    <w:lvl w:ilvl="4" w:tplc="137EF2ED">
      <w:start w:val="1"/>
      <w:numFmt w:val="bullet"/>
      <w:suff w:val="tab"/>
      <w:lvlText w:val="·"/>
      <w:lvlJc w:val="left"/>
      <w:pPr>
        <w:ind w:hanging="360" w:left="3600"/>
      </w:pPr>
      <w:rPr>
        <w:rFonts w:ascii="Symbol" w:hAnsi="Symbol"/>
      </w:rPr>
    </w:lvl>
    <w:lvl w:ilvl="5" w:tplc="5DDF90F0">
      <w:start w:val="1"/>
      <w:numFmt w:val="bullet"/>
      <w:suff w:val="tab"/>
      <w:lvlText w:val="o"/>
      <w:lvlJc w:val="left"/>
      <w:pPr>
        <w:ind w:hanging="360" w:left="4320"/>
      </w:pPr>
      <w:rPr>
        <w:rFonts w:ascii="Symbol" w:hAnsi="Symbol"/>
      </w:rPr>
    </w:lvl>
    <w:lvl w:ilvl="6" w:tplc="4E53CE5F">
      <w:start w:val="1"/>
      <w:numFmt w:val="bullet"/>
      <w:suff w:val="tab"/>
      <w:lvlText w:val="·"/>
      <w:lvlJc w:val="left"/>
      <w:pPr>
        <w:ind w:hanging="360" w:left="5040"/>
      </w:pPr>
      <w:rPr>
        <w:rFonts w:ascii="Symbol" w:hAnsi="Symbol"/>
      </w:rPr>
    </w:lvl>
    <w:lvl w:ilvl="7" w:tplc="0DE33DEF">
      <w:start w:val="1"/>
      <w:numFmt w:val="bullet"/>
      <w:suff w:val="tab"/>
      <w:lvlText w:val="o"/>
      <w:lvlJc w:val="left"/>
      <w:pPr>
        <w:ind w:hanging="360" w:left="5760"/>
      </w:pPr>
      <w:rPr>
        <w:rFonts w:ascii="Symbol" w:hAnsi="Symbol"/>
      </w:rPr>
    </w:lvl>
    <w:lvl w:ilvl="8" w:tplc="27EB8A26">
      <w:start w:val="1"/>
      <w:numFmt w:val="bullet"/>
      <w:suff w:val="tab"/>
      <w:lvlText w:val="·"/>
      <w:lvlJc w:val="left"/>
      <w:pPr>
        <w:ind w:hanging="360" w:left="6480"/>
      </w:pPr>
      <w:rPr>
        <w:rFonts w:ascii="Symbol" w:hAnsi="Symbol"/>
      </w:rPr>
    </w:lvl>
  </w:abstractNum>
  <w:abstractNum w:abstractNumId="133">
    <w:nsid w:val="50C6F481"/>
    <w:multiLevelType w:val="hybridMultilevel"/>
    <w:lvl w:ilvl="0" w:tplc="1438D080">
      <w:start w:val="1"/>
      <w:numFmt w:val="bullet"/>
      <w:suff w:val="tab"/>
      <w:lvlText w:val="·"/>
      <w:lvlJc w:val="left"/>
      <w:pPr>
        <w:ind w:hanging="360" w:left="720"/>
      </w:pPr>
      <w:rPr>
        <w:rFonts w:ascii="Symbol" w:hAnsi="Symbol" w:cs="Symbol" w:eastAsia="Symbol"/>
      </w:rPr>
    </w:lvl>
    <w:lvl w:ilvl="1" w:tplc="187EBF72">
      <w:start w:val="1"/>
      <w:numFmt w:val="bullet"/>
      <w:suff w:val="tab"/>
      <w:lvlText w:val="o"/>
      <w:lvlJc w:val="left"/>
      <w:pPr>
        <w:ind w:hanging="360" w:left="1440"/>
      </w:pPr>
      <w:rPr>
        <w:rFonts w:ascii="Symbol" w:hAnsi="Symbol"/>
      </w:rPr>
    </w:lvl>
    <w:lvl w:ilvl="2" w:tplc="77174C71">
      <w:start w:val="1"/>
      <w:numFmt w:val="bullet"/>
      <w:suff w:val="tab"/>
      <w:lvlText w:val="·"/>
      <w:lvlJc w:val="left"/>
      <w:pPr>
        <w:ind w:hanging="360" w:left="2160"/>
      </w:pPr>
      <w:rPr>
        <w:rFonts w:ascii="Symbol" w:hAnsi="Symbol"/>
      </w:rPr>
    </w:lvl>
    <w:lvl w:ilvl="3" w:tplc="0E211C46">
      <w:start w:val="1"/>
      <w:numFmt w:val="bullet"/>
      <w:suff w:val="tab"/>
      <w:lvlText w:val="o"/>
      <w:lvlJc w:val="left"/>
      <w:pPr>
        <w:ind w:hanging="360" w:left="2880"/>
      </w:pPr>
      <w:rPr>
        <w:rFonts w:ascii="Symbol" w:hAnsi="Symbol"/>
      </w:rPr>
    </w:lvl>
    <w:lvl w:ilvl="4" w:tplc="1A8311F3">
      <w:start w:val="1"/>
      <w:numFmt w:val="bullet"/>
      <w:suff w:val="tab"/>
      <w:lvlText w:val="·"/>
      <w:lvlJc w:val="left"/>
      <w:pPr>
        <w:ind w:hanging="360" w:left="3600"/>
      </w:pPr>
      <w:rPr>
        <w:rFonts w:ascii="Symbol" w:hAnsi="Symbol"/>
      </w:rPr>
    </w:lvl>
    <w:lvl w:ilvl="5" w:tplc="567490CF">
      <w:start w:val="1"/>
      <w:numFmt w:val="bullet"/>
      <w:suff w:val="tab"/>
      <w:lvlText w:val="o"/>
      <w:lvlJc w:val="left"/>
      <w:pPr>
        <w:ind w:hanging="360" w:left="4320"/>
      </w:pPr>
      <w:rPr>
        <w:rFonts w:ascii="Symbol" w:hAnsi="Symbol"/>
      </w:rPr>
    </w:lvl>
    <w:lvl w:ilvl="6" w:tplc="1F229B9F">
      <w:start w:val="1"/>
      <w:numFmt w:val="bullet"/>
      <w:suff w:val="tab"/>
      <w:lvlText w:val="·"/>
      <w:lvlJc w:val="left"/>
      <w:pPr>
        <w:ind w:hanging="360" w:left="5040"/>
      </w:pPr>
      <w:rPr>
        <w:rFonts w:ascii="Symbol" w:hAnsi="Symbol"/>
      </w:rPr>
    </w:lvl>
    <w:lvl w:ilvl="7" w:tplc="173F973E">
      <w:start w:val="1"/>
      <w:numFmt w:val="bullet"/>
      <w:suff w:val="tab"/>
      <w:lvlText w:val="o"/>
      <w:lvlJc w:val="left"/>
      <w:pPr>
        <w:ind w:hanging="360" w:left="5760"/>
      </w:pPr>
      <w:rPr>
        <w:rFonts w:ascii="Symbol" w:hAnsi="Symbol"/>
      </w:rPr>
    </w:lvl>
    <w:lvl w:ilvl="8" w:tplc="3FD32D66">
      <w:start w:val="1"/>
      <w:numFmt w:val="bullet"/>
      <w:suff w:val="tab"/>
      <w:lvlText w:val="·"/>
      <w:lvlJc w:val="left"/>
      <w:pPr>
        <w:ind w:hanging="360" w:left="6480"/>
      </w:pPr>
      <w:rPr>
        <w:rFonts w:ascii="Symbol" w:hAnsi="Symbol"/>
      </w:rPr>
    </w:lvl>
  </w:abstractNum>
  <w:abstractNum w:abstractNumId="134">
    <w:nsid w:val="5BCF280F"/>
    <w:multiLevelType w:val="hybridMultilevel"/>
    <w:lvl w:ilvl="0" w:tplc="0B62ED1F">
      <w:start w:val="1"/>
      <w:numFmt w:val="bullet"/>
      <w:suff w:val="tab"/>
      <w:lvlText w:val="·"/>
      <w:lvlJc w:val="left"/>
      <w:pPr>
        <w:ind w:hanging="360" w:left="720"/>
      </w:pPr>
      <w:rPr>
        <w:rFonts w:ascii="Symbol" w:hAnsi="Symbol" w:cs="Symbol" w:eastAsia="Symbol"/>
      </w:rPr>
    </w:lvl>
    <w:lvl w:ilvl="1" w:tplc="739AC8AC">
      <w:start w:val="1"/>
      <w:numFmt w:val="bullet"/>
      <w:suff w:val="tab"/>
      <w:lvlText w:val="o"/>
      <w:lvlJc w:val="left"/>
      <w:pPr>
        <w:ind w:hanging="360" w:left="1440"/>
      </w:pPr>
      <w:rPr>
        <w:rFonts w:ascii="Symbol" w:hAnsi="Symbol"/>
      </w:rPr>
    </w:lvl>
    <w:lvl w:ilvl="2" w:tplc="637093A6">
      <w:start w:val="1"/>
      <w:numFmt w:val="bullet"/>
      <w:suff w:val="tab"/>
      <w:lvlText w:val="·"/>
      <w:lvlJc w:val="left"/>
      <w:pPr>
        <w:ind w:hanging="360" w:left="2160"/>
      </w:pPr>
      <w:rPr>
        <w:rFonts w:ascii="Symbol" w:hAnsi="Symbol"/>
      </w:rPr>
    </w:lvl>
    <w:lvl w:ilvl="3" w:tplc="5401C916">
      <w:start w:val="1"/>
      <w:numFmt w:val="bullet"/>
      <w:suff w:val="tab"/>
      <w:lvlText w:val="o"/>
      <w:lvlJc w:val="left"/>
      <w:pPr>
        <w:ind w:hanging="360" w:left="2880"/>
      </w:pPr>
      <w:rPr>
        <w:rFonts w:ascii="Symbol" w:hAnsi="Symbol"/>
      </w:rPr>
    </w:lvl>
    <w:lvl w:ilvl="4" w:tplc="13CE3326">
      <w:start w:val="1"/>
      <w:numFmt w:val="bullet"/>
      <w:suff w:val="tab"/>
      <w:lvlText w:val="·"/>
      <w:lvlJc w:val="left"/>
      <w:pPr>
        <w:ind w:hanging="360" w:left="3600"/>
      </w:pPr>
      <w:rPr>
        <w:rFonts w:ascii="Symbol" w:hAnsi="Symbol"/>
      </w:rPr>
    </w:lvl>
    <w:lvl w:ilvl="5" w:tplc="3E52BC3D">
      <w:start w:val="1"/>
      <w:numFmt w:val="bullet"/>
      <w:suff w:val="tab"/>
      <w:lvlText w:val="o"/>
      <w:lvlJc w:val="left"/>
      <w:pPr>
        <w:ind w:hanging="360" w:left="4320"/>
      </w:pPr>
      <w:rPr>
        <w:rFonts w:ascii="Symbol" w:hAnsi="Symbol"/>
      </w:rPr>
    </w:lvl>
    <w:lvl w:ilvl="6" w:tplc="125EDA19">
      <w:start w:val="1"/>
      <w:numFmt w:val="bullet"/>
      <w:suff w:val="tab"/>
      <w:lvlText w:val="·"/>
      <w:lvlJc w:val="left"/>
      <w:pPr>
        <w:ind w:hanging="360" w:left="5040"/>
      </w:pPr>
      <w:rPr>
        <w:rFonts w:ascii="Symbol" w:hAnsi="Symbol"/>
      </w:rPr>
    </w:lvl>
    <w:lvl w:ilvl="7" w:tplc="7796640E">
      <w:start w:val="1"/>
      <w:numFmt w:val="bullet"/>
      <w:suff w:val="tab"/>
      <w:lvlText w:val="o"/>
      <w:lvlJc w:val="left"/>
      <w:pPr>
        <w:ind w:hanging="360" w:left="5760"/>
      </w:pPr>
      <w:rPr>
        <w:rFonts w:ascii="Symbol" w:hAnsi="Symbol"/>
      </w:rPr>
    </w:lvl>
    <w:lvl w:ilvl="8" w:tplc="6CFA1E44">
      <w:start w:val="1"/>
      <w:numFmt w:val="bullet"/>
      <w:suff w:val="tab"/>
      <w:lvlText w:val="·"/>
      <w:lvlJc w:val="left"/>
      <w:pPr>
        <w:ind w:hanging="360" w:left="6480"/>
      </w:pPr>
      <w:rPr>
        <w:rFonts w:ascii="Symbol" w:hAnsi="Symbol"/>
      </w:rPr>
    </w:lvl>
  </w:abstractNum>
  <w:abstractNum w:abstractNumId="135">
    <w:nsid w:val="20B7EF1F"/>
    <w:multiLevelType w:val="hybridMultilevel"/>
    <w:lvl w:ilvl="0" w:tplc="53599DFC">
      <w:start w:val="1"/>
      <w:numFmt w:val="bullet"/>
      <w:suff w:val="tab"/>
      <w:lvlText w:val="·"/>
      <w:lvlJc w:val="left"/>
      <w:pPr>
        <w:ind w:hanging="360" w:left="720"/>
      </w:pPr>
      <w:rPr>
        <w:rFonts w:ascii="Symbol" w:hAnsi="Symbol" w:cs="Symbol" w:eastAsia="Symbol"/>
      </w:rPr>
    </w:lvl>
    <w:lvl w:ilvl="1" w:tplc="5AF15E82">
      <w:start w:val="1"/>
      <w:numFmt w:val="bullet"/>
      <w:suff w:val="tab"/>
      <w:lvlText w:val="o"/>
      <w:lvlJc w:val="left"/>
      <w:pPr>
        <w:ind w:hanging="360" w:left="1440"/>
      </w:pPr>
      <w:rPr>
        <w:rFonts w:ascii="Symbol" w:hAnsi="Symbol"/>
      </w:rPr>
    </w:lvl>
    <w:lvl w:ilvl="2" w:tplc="2550BEED">
      <w:start w:val="1"/>
      <w:numFmt w:val="bullet"/>
      <w:suff w:val="tab"/>
      <w:lvlText w:val="·"/>
      <w:lvlJc w:val="left"/>
      <w:pPr>
        <w:ind w:hanging="360" w:left="2160"/>
      </w:pPr>
      <w:rPr>
        <w:rFonts w:ascii="Symbol" w:hAnsi="Symbol"/>
      </w:rPr>
    </w:lvl>
    <w:lvl w:ilvl="3" w:tplc="5A032151">
      <w:start w:val="1"/>
      <w:numFmt w:val="bullet"/>
      <w:suff w:val="tab"/>
      <w:lvlText w:val="o"/>
      <w:lvlJc w:val="left"/>
      <w:pPr>
        <w:ind w:hanging="360" w:left="2880"/>
      </w:pPr>
      <w:rPr>
        <w:rFonts w:ascii="Symbol" w:hAnsi="Symbol"/>
      </w:rPr>
    </w:lvl>
    <w:lvl w:ilvl="4" w:tplc="7C9BA328">
      <w:start w:val="1"/>
      <w:numFmt w:val="bullet"/>
      <w:suff w:val="tab"/>
      <w:lvlText w:val="·"/>
      <w:lvlJc w:val="left"/>
      <w:pPr>
        <w:ind w:hanging="360" w:left="3600"/>
      </w:pPr>
      <w:rPr>
        <w:rFonts w:ascii="Symbol" w:hAnsi="Symbol"/>
      </w:rPr>
    </w:lvl>
    <w:lvl w:ilvl="5" w:tplc="446EA20E">
      <w:start w:val="1"/>
      <w:numFmt w:val="bullet"/>
      <w:suff w:val="tab"/>
      <w:lvlText w:val="o"/>
      <w:lvlJc w:val="left"/>
      <w:pPr>
        <w:ind w:hanging="360" w:left="4320"/>
      </w:pPr>
      <w:rPr>
        <w:rFonts w:ascii="Symbol" w:hAnsi="Symbol"/>
      </w:rPr>
    </w:lvl>
    <w:lvl w:ilvl="6" w:tplc="494EA020">
      <w:start w:val="1"/>
      <w:numFmt w:val="bullet"/>
      <w:suff w:val="tab"/>
      <w:lvlText w:val="·"/>
      <w:lvlJc w:val="left"/>
      <w:pPr>
        <w:ind w:hanging="360" w:left="5040"/>
      </w:pPr>
      <w:rPr>
        <w:rFonts w:ascii="Symbol" w:hAnsi="Symbol"/>
      </w:rPr>
    </w:lvl>
    <w:lvl w:ilvl="7" w:tplc="4D84AC33">
      <w:start w:val="1"/>
      <w:numFmt w:val="bullet"/>
      <w:suff w:val="tab"/>
      <w:lvlText w:val="o"/>
      <w:lvlJc w:val="left"/>
      <w:pPr>
        <w:ind w:hanging="360" w:left="5760"/>
      </w:pPr>
      <w:rPr>
        <w:rFonts w:ascii="Symbol" w:hAnsi="Symbol"/>
      </w:rPr>
    </w:lvl>
    <w:lvl w:ilvl="8" w:tplc="2732B03F">
      <w:start w:val="1"/>
      <w:numFmt w:val="bullet"/>
      <w:suff w:val="tab"/>
      <w:lvlText w:val="·"/>
      <w:lvlJc w:val="left"/>
      <w:pPr>
        <w:ind w:hanging="360" w:left="6480"/>
      </w:pPr>
      <w:rPr>
        <w:rFonts w:ascii="Symbol" w:hAnsi="Symbol"/>
      </w:rPr>
    </w:lvl>
  </w:abstractNum>
  <w:abstractNum w:abstractNumId="136">
    <w:nsid w:val="431FDCEC"/>
    <w:multiLevelType w:val="hybridMultilevel"/>
    <w:lvl w:ilvl="0" w:tplc="1DC6A3E4">
      <w:start w:val="1"/>
      <w:numFmt w:val="bullet"/>
      <w:suff w:val="tab"/>
      <w:lvlText w:val="·"/>
      <w:lvlJc w:val="left"/>
      <w:pPr>
        <w:ind w:hanging="360" w:left="720"/>
      </w:pPr>
      <w:rPr>
        <w:rFonts w:ascii="Symbol" w:hAnsi="Symbol" w:cs="Symbol" w:eastAsia="Symbol"/>
      </w:rPr>
    </w:lvl>
    <w:lvl w:ilvl="1" w:tplc="0AA1EBD5">
      <w:start w:val="1"/>
      <w:numFmt w:val="bullet"/>
      <w:suff w:val="tab"/>
      <w:lvlText w:val="o"/>
      <w:lvlJc w:val="left"/>
      <w:pPr>
        <w:ind w:hanging="360" w:left="1440"/>
      </w:pPr>
      <w:rPr>
        <w:rFonts w:ascii="Symbol" w:hAnsi="Symbol"/>
      </w:rPr>
    </w:lvl>
    <w:lvl w:ilvl="2" w:tplc="05D9C089">
      <w:start w:val="1"/>
      <w:numFmt w:val="bullet"/>
      <w:suff w:val="tab"/>
      <w:lvlText w:val="·"/>
      <w:lvlJc w:val="left"/>
      <w:pPr>
        <w:ind w:hanging="360" w:left="2160"/>
      </w:pPr>
      <w:rPr>
        <w:rFonts w:ascii="Symbol" w:hAnsi="Symbol"/>
      </w:rPr>
    </w:lvl>
    <w:lvl w:ilvl="3" w:tplc="6E77E6DD">
      <w:start w:val="1"/>
      <w:numFmt w:val="bullet"/>
      <w:suff w:val="tab"/>
      <w:lvlText w:val="o"/>
      <w:lvlJc w:val="left"/>
      <w:pPr>
        <w:ind w:hanging="360" w:left="2880"/>
      </w:pPr>
      <w:rPr>
        <w:rFonts w:ascii="Symbol" w:hAnsi="Symbol"/>
      </w:rPr>
    </w:lvl>
    <w:lvl w:ilvl="4" w:tplc="5E691659">
      <w:start w:val="1"/>
      <w:numFmt w:val="bullet"/>
      <w:suff w:val="tab"/>
      <w:lvlText w:val="·"/>
      <w:lvlJc w:val="left"/>
      <w:pPr>
        <w:ind w:hanging="360" w:left="3600"/>
      </w:pPr>
      <w:rPr>
        <w:rFonts w:ascii="Symbol" w:hAnsi="Symbol"/>
      </w:rPr>
    </w:lvl>
    <w:lvl w:ilvl="5" w:tplc="1E3EF589">
      <w:start w:val="1"/>
      <w:numFmt w:val="bullet"/>
      <w:suff w:val="tab"/>
      <w:lvlText w:val="o"/>
      <w:lvlJc w:val="left"/>
      <w:pPr>
        <w:ind w:hanging="360" w:left="4320"/>
      </w:pPr>
      <w:rPr>
        <w:rFonts w:ascii="Symbol" w:hAnsi="Symbol"/>
      </w:rPr>
    </w:lvl>
    <w:lvl w:ilvl="6" w:tplc="6091B5A9">
      <w:start w:val="1"/>
      <w:numFmt w:val="bullet"/>
      <w:suff w:val="tab"/>
      <w:lvlText w:val="·"/>
      <w:lvlJc w:val="left"/>
      <w:pPr>
        <w:ind w:hanging="360" w:left="5040"/>
      </w:pPr>
      <w:rPr>
        <w:rFonts w:ascii="Symbol" w:hAnsi="Symbol"/>
      </w:rPr>
    </w:lvl>
    <w:lvl w:ilvl="7" w:tplc="12591277">
      <w:start w:val="1"/>
      <w:numFmt w:val="bullet"/>
      <w:suff w:val="tab"/>
      <w:lvlText w:val="o"/>
      <w:lvlJc w:val="left"/>
      <w:pPr>
        <w:ind w:hanging="360" w:left="5760"/>
      </w:pPr>
      <w:rPr>
        <w:rFonts w:ascii="Symbol" w:hAnsi="Symbol"/>
      </w:rPr>
    </w:lvl>
    <w:lvl w:ilvl="8" w:tplc="357BB060">
      <w:start w:val="1"/>
      <w:numFmt w:val="bullet"/>
      <w:suff w:val="tab"/>
      <w:lvlText w:val="·"/>
      <w:lvlJc w:val="left"/>
      <w:pPr>
        <w:ind w:hanging="360" w:left="6480"/>
      </w:pPr>
      <w:rPr>
        <w:rFonts w:ascii="Symbol" w:hAnsi="Symbol"/>
      </w:rPr>
    </w:lvl>
  </w:abstractNum>
  <w:abstractNum w:abstractNumId="137">
    <w:nsid w:val="6CCEDB2D"/>
    <w:multiLevelType w:val="hybridMultilevel"/>
    <w:lvl w:ilvl="0" w:tplc="65372DEC">
      <w:start w:val="1"/>
      <w:numFmt w:val="bullet"/>
      <w:suff w:val="tab"/>
      <w:lvlText w:val="·"/>
      <w:lvlJc w:val="left"/>
      <w:pPr>
        <w:ind w:hanging="360" w:left="720"/>
      </w:pPr>
      <w:rPr>
        <w:rFonts w:ascii="Symbol" w:hAnsi="Symbol" w:cs="Symbol" w:eastAsia="Symbol"/>
      </w:rPr>
    </w:lvl>
    <w:lvl w:ilvl="1" w:tplc="667D33A9">
      <w:start w:val="1"/>
      <w:numFmt w:val="bullet"/>
      <w:suff w:val="tab"/>
      <w:lvlText w:val="o"/>
      <w:lvlJc w:val="left"/>
      <w:pPr>
        <w:ind w:hanging="360" w:left="1440"/>
      </w:pPr>
      <w:rPr>
        <w:rFonts w:ascii="Symbol" w:hAnsi="Symbol"/>
      </w:rPr>
    </w:lvl>
    <w:lvl w:ilvl="2" w:tplc="06BC4FDE">
      <w:start w:val="1"/>
      <w:numFmt w:val="bullet"/>
      <w:suff w:val="tab"/>
      <w:lvlText w:val="·"/>
      <w:lvlJc w:val="left"/>
      <w:pPr>
        <w:ind w:hanging="360" w:left="2160"/>
      </w:pPr>
      <w:rPr>
        <w:rFonts w:ascii="Symbol" w:hAnsi="Symbol"/>
      </w:rPr>
    </w:lvl>
    <w:lvl w:ilvl="3" w:tplc="197F1A67">
      <w:start w:val="1"/>
      <w:numFmt w:val="bullet"/>
      <w:suff w:val="tab"/>
      <w:lvlText w:val="o"/>
      <w:lvlJc w:val="left"/>
      <w:pPr>
        <w:ind w:hanging="360" w:left="2880"/>
      </w:pPr>
      <w:rPr>
        <w:rFonts w:ascii="Symbol" w:hAnsi="Symbol"/>
      </w:rPr>
    </w:lvl>
    <w:lvl w:ilvl="4" w:tplc="4A887DA0">
      <w:start w:val="1"/>
      <w:numFmt w:val="bullet"/>
      <w:suff w:val="tab"/>
      <w:lvlText w:val="·"/>
      <w:lvlJc w:val="left"/>
      <w:pPr>
        <w:ind w:hanging="360" w:left="3600"/>
      </w:pPr>
      <w:rPr>
        <w:rFonts w:ascii="Symbol" w:hAnsi="Symbol"/>
      </w:rPr>
    </w:lvl>
    <w:lvl w:ilvl="5" w:tplc="41B51334">
      <w:start w:val="1"/>
      <w:numFmt w:val="bullet"/>
      <w:suff w:val="tab"/>
      <w:lvlText w:val="o"/>
      <w:lvlJc w:val="left"/>
      <w:pPr>
        <w:ind w:hanging="360" w:left="4320"/>
      </w:pPr>
      <w:rPr>
        <w:rFonts w:ascii="Symbol" w:hAnsi="Symbol"/>
      </w:rPr>
    </w:lvl>
    <w:lvl w:ilvl="6" w:tplc="6375A8FA">
      <w:start w:val="1"/>
      <w:numFmt w:val="bullet"/>
      <w:suff w:val="tab"/>
      <w:lvlText w:val="·"/>
      <w:lvlJc w:val="left"/>
      <w:pPr>
        <w:ind w:hanging="360" w:left="5040"/>
      </w:pPr>
      <w:rPr>
        <w:rFonts w:ascii="Symbol" w:hAnsi="Symbol"/>
      </w:rPr>
    </w:lvl>
    <w:lvl w:ilvl="7" w:tplc="05C8FFDC">
      <w:start w:val="1"/>
      <w:numFmt w:val="bullet"/>
      <w:suff w:val="tab"/>
      <w:lvlText w:val="o"/>
      <w:lvlJc w:val="left"/>
      <w:pPr>
        <w:ind w:hanging="360" w:left="5760"/>
      </w:pPr>
      <w:rPr>
        <w:rFonts w:ascii="Symbol" w:hAnsi="Symbol"/>
      </w:rPr>
    </w:lvl>
    <w:lvl w:ilvl="8" w:tplc="4B066698">
      <w:start w:val="1"/>
      <w:numFmt w:val="bullet"/>
      <w:suff w:val="tab"/>
      <w:lvlText w:val="·"/>
      <w:lvlJc w:val="left"/>
      <w:pPr>
        <w:ind w:hanging="360" w:left="6480"/>
      </w:pPr>
      <w:rPr>
        <w:rFonts w:ascii="Symbol" w:hAnsi="Symbol"/>
      </w:rPr>
    </w:lvl>
  </w:abstractNum>
  <w:abstractNum w:abstractNumId="138">
    <w:nsid w:val="5D66C50B"/>
    <w:multiLevelType w:val="hybridMultilevel"/>
    <w:lvl w:ilvl="0" w:tplc="4656D40B">
      <w:start w:val="1"/>
      <w:numFmt w:val="bullet"/>
      <w:suff w:val="tab"/>
      <w:lvlText w:val="·"/>
      <w:lvlJc w:val="left"/>
      <w:pPr>
        <w:ind w:hanging="360" w:left="720"/>
      </w:pPr>
      <w:rPr>
        <w:rFonts w:ascii="Symbol" w:hAnsi="Symbol" w:cs="Symbol" w:eastAsia="Symbol"/>
      </w:rPr>
    </w:lvl>
    <w:lvl w:ilvl="1" w:tplc="434AD977">
      <w:start w:val="1"/>
      <w:numFmt w:val="bullet"/>
      <w:suff w:val="tab"/>
      <w:lvlText w:val="o"/>
      <w:lvlJc w:val="left"/>
      <w:pPr>
        <w:ind w:hanging="360" w:left="1440"/>
      </w:pPr>
      <w:rPr>
        <w:rFonts w:ascii="Symbol" w:hAnsi="Symbol"/>
      </w:rPr>
    </w:lvl>
    <w:lvl w:ilvl="2" w:tplc="0F778486">
      <w:start w:val="1"/>
      <w:numFmt w:val="bullet"/>
      <w:suff w:val="tab"/>
      <w:lvlText w:val="·"/>
      <w:lvlJc w:val="left"/>
      <w:pPr>
        <w:ind w:hanging="360" w:left="2160"/>
      </w:pPr>
      <w:rPr>
        <w:rFonts w:ascii="Symbol" w:hAnsi="Symbol"/>
      </w:rPr>
    </w:lvl>
    <w:lvl w:ilvl="3" w:tplc="0694DBA0">
      <w:start w:val="1"/>
      <w:numFmt w:val="bullet"/>
      <w:suff w:val="tab"/>
      <w:lvlText w:val="o"/>
      <w:lvlJc w:val="left"/>
      <w:pPr>
        <w:ind w:hanging="360" w:left="2880"/>
      </w:pPr>
      <w:rPr>
        <w:rFonts w:ascii="Symbol" w:hAnsi="Symbol"/>
      </w:rPr>
    </w:lvl>
    <w:lvl w:ilvl="4" w:tplc="1F8B5020">
      <w:start w:val="1"/>
      <w:numFmt w:val="bullet"/>
      <w:suff w:val="tab"/>
      <w:lvlText w:val="·"/>
      <w:lvlJc w:val="left"/>
      <w:pPr>
        <w:ind w:hanging="360" w:left="3600"/>
      </w:pPr>
      <w:rPr>
        <w:rFonts w:ascii="Symbol" w:hAnsi="Symbol"/>
      </w:rPr>
    </w:lvl>
    <w:lvl w:ilvl="5" w:tplc="6AEE2C02">
      <w:start w:val="1"/>
      <w:numFmt w:val="bullet"/>
      <w:suff w:val="tab"/>
      <w:lvlText w:val="o"/>
      <w:lvlJc w:val="left"/>
      <w:pPr>
        <w:ind w:hanging="360" w:left="4320"/>
      </w:pPr>
      <w:rPr>
        <w:rFonts w:ascii="Symbol" w:hAnsi="Symbol"/>
      </w:rPr>
    </w:lvl>
    <w:lvl w:ilvl="6" w:tplc="4AA9B9D3">
      <w:start w:val="1"/>
      <w:numFmt w:val="bullet"/>
      <w:suff w:val="tab"/>
      <w:lvlText w:val="·"/>
      <w:lvlJc w:val="left"/>
      <w:pPr>
        <w:ind w:hanging="360" w:left="5040"/>
      </w:pPr>
      <w:rPr>
        <w:rFonts w:ascii="Symbol" w:hAnsi="Symbol"/>
      </w:rPr>
    </w:lvl>
    <w:lvl w:ilvl="7" w:tplc="1493B132">
      <w:start w:val="1"/>
      <w:numFmt w:val="bullet"/>
      <w:suff w:val="tab"/>
      <w:lvlText w:val="o"/>
      <w:lvlJc w:val="left"/>
      <w:pPr>
        <w:ind w:hanging="360" w:left="5760"/>
      </w:pPr>
      <w:rPr>
        <w:rFonts w:ascii="Symbol" w:hAnsi="Symbol"/>
      </w:rPr>
    </w:lvl>
    <w:lvl w:ilvl="8" w:tplc="56711212">
      <w:start w:val="1"/>
      <w:numFmt w:val="bullet"/>
      <w:suff w:val="tab"/>
      <w:lvlText w:val="·"/>
      <w:lvlJc w:val="left"/>
      <w:pPr>
        <w:ind w:hanging="360" w:left="6480"/>
      </w:pPr>
      <w:rPr>
        <w:rFonts w:ascii="Symbol" w:hAnsi="Symbol"/>
      </w:rPr>
    </w:lvl>
  </w:abstractNum>
  <w:abstractNum w:abstractNumId="139">
    <w:nsid w:val="6B45FACA"/>
    <w:multiLevelType w:val="hybridMultilevel"/>
    <w:lvl w:ilvl="0" w:tplc="34147B6B">
      <w:start w:val="1"/>
      <w:numFmt w:val="bullet"/>
      <w:suff w:val="tab"/>
      <w:lvlText w:val="·"/>
      <w:lvlJc w:val="left"/>
      <w:pPr>
        <w:ind w:hanging="360" w:left="720"/>
      </w:pPr>
      <w:rPr>
        <w:rFonts w:ascii="Symbol" w:hAnsi="Symbol" w:cs="Symbol" w:eastAsia="Symbol"/>
      </w:rPr>
    </w:lvl>
    <w:lvl w:ilvl="1" w:tplc="0C9DCBB1">
      <w:start w:val="1"/>
      <w:numFmt w:val="bullet"/>
      <w:suff w:val="tab"/>
      <w:lvlText w:val="o"/>
      <w:lvlJc w:val="left"/>
      <w:pPr>
        <w:ind w:hanging="360" w:left="1440"/>
      </w:pPr>
      <w:rPr>
        <w:rFonts w:ascii="Symbol" w:hAnsi="Symbol"/>
      </w:rPr>
    </w:lvl>
    <w:lvl w:ilvl="2" w:tplc="0A8AB89C">
      <w:start w:val="1"/>
      <w:numFmt w:val="bullet"/>
      <w:suff w:val="tab"/>
      <w:lvlText w:val="·"/>
      <w:lvlJc w:val="left"/>
      <w:pPr>
        <w:ind w:hanging="360" w:left="2160"/>
      </w:pPr>
      <w:rPr>
        <w:rFonts w:ascii="Symbol" w:hAnsi="Symbol"/>
      </w:rPr>
    </w:lvl>
    <w:lvl w:ilvl="3" w:tplc="11C1F2A8">
      <w:start w:val="1"/>
      <w:numFmt w:val="bullet"/>
      <w:suff w:val="tab"/>
      <w:lvlText w:val="o"/>
      <w:lvlJc w:val="left"/>
      <w:pPr>
        <w:ind w:hanging="360" w:left="2880"/>
      </w:pPr>
      <w:rPr>
        <w:rFonts w:ascii="Symbol" w:hAnsi="Symbol"/>
      </w:rPr>
    </w:lvl>
    <w:lvl w:ilvl="4" w:tplc="28358F00">
      <w:start w:val="1"/>
      <w:numFmt w:val="bullet"/>
      <w:suff w:val="tab"/>
      <w:lvlText w:val="·"/>
      <w:lvlJc w:val="left"/>
      <w:pPr>
        <w:ind w:hanging="360" w:left="3600"/>
      </w:pPr>
      <w:rPr>
        <w:rFonts w:ascii="Symbol" w:hAnsi="Symbol"/>
      </w:rPr>
    </w:lvl>
    <w:lvl w:ilvl="5" w:tplc="6E708D2F">
      <w:start w:val="1"/>
      <w:numFmt w:val="bullet"/>
      <w:suff w:val="tab"/>
      <w:lvlText w:val="o"/>
      <w:lvlJc w:val="left"/>
      <w:pPr>
        <w:ind w:hanging="360" w:left="4320"/>
      </w:pPr>
      <w:rPr>
        <w:rFonts w:ascii="Symbol" w:hAnsi="Symbol"/>
      </w:rPr>
    </w:lvl>
    <w:lvl w:ilvl="6" w:tplc="2E150BB4">
      <w:start w:val="1"/>
      <w:numFmt w:val="bullet"/>
      <w:suff w:val="tab"/>
      <w:lvlText w:val="·"/>
      <w:lvlJc w:val="left"/>
      <w:pPr>
        <w:ind w:hanging="360" w:left="5040"/>
      </w:pPr>
      <w:rPr>
        <w:rFonts w:ascii="Symbol" w:hAnsi="Symbol"/>
      </w:rPr>
    </w:lvl>
    <w:lvl w:ilvl="7" w:tplc="43199EA3">
      <w:start w:val="1"/>
      <w:numFmt w:val="bullet"/>
      <w:suff w:val="tab"/>
      <w:lvlText w:val="o"/>
      <w:lvlJc w:val="left"/>
      <w:pPr>
        <w:ind w:hanging="360" w:left="5760"/>
      </w:pPr>
      <w:rPr>
        <w:rFonts w:ascii="Symbol" w:hAnsi="Symbol"/>
      </w:rPr>
    </w:lvl>
    <w:lvl w:ilvl="8" w:tplc="75813775">
      <w:start w:val="1"/>
      <w:numFmt w:val="bullet"/>
      <w:suff w:val="tab"/>
      <w:lvlText w:val="·"/>
      <w:lvlJc w:val="left"/>
      <w:pPr>
        <w:ind w:hanging="360" w:left="6480"/>
      </w:pPr>
      <w:rPr>
        <w:rFonts w:ascii="Symbol" w:hAnsi="Symbol"/>
      </w:rPr>
    </w:lvl>
  </w:abstractNum>
  <w:abstractNum w:abstractNumId="140">
    <w:nsid w:val="46B94DF5"/>
    <w:multiLevelType w:val="hybridMultilevel"/>
    <w:lvl w:ilvl="0" w:tplc="686CE844">
      <w:start w:val="1"/>
      <w:numFmt w:val="bullet"/>
      <w:suff w:val="tab"/>
      <w:lvlText w:val="·"/>
      <w:lvlJc w:val="left"/>
      <w:pPr>
        <w:ind w:hanging="360" w:left="720"/>
      </w:pPr>
      <w:rPr>
        <w:rFonts w:ascii="Symbol" w:hAnsi="Symbol" w:cs="Symbol" w:eastAsia="Symbol"/>
      </w:rPr>
    </w:lvl>
    <w:lvl w:ilvl="1" w:tplc="26B1ABEB">
      <w:start w:val="1"/>
      <w:numFmt w:val="bullet"/>
      <w:suff w:val="tab"/>
      <w:lvlText w:val="o"/>
      <w:lvlJc w:val="left"/>
      <w:pPr>
        <w:ind w:hanging="360" w:left="1440"/>
      </w:pPr>
      <w:rPr>
        <w:rFonts w:ascii="Symbol" w:hAnsi="Symbol"/>
      </w:rPr>
    </w:lvl>
    <w:lvl w:ilvl="2" w:tplc="6A57EE02">
      <w:start w:val="1"/>
      <w:numFmt w:val="bullet"/>
      <w:suff w:val="tab"/>
      <w:lvlText w:val="·"/>
      <w:lvlJc w:val="left"/>
      <w:pPr>
        <w:ind w:hanging="360" w:left="2160"/>
      </w:pPr>
      <w:rPr>
        <w:rFonts w:ascii="Symbol" w:hAnsi="Symbol"/>
      </w:rPr>
    </w:lvl>
    <w:lvl w:ilvl="3" w:tplc="6C39B6BF">
      <w:start w:val="1"/>
      <w:numFmt w:val="bullet"/>
      <w:suff w:val="tab"/>
      <w:lvlText w:val="o"/>
      <w:lvlJc w:val="left"/>
      <w:pPr>
        <w:ind w:hanging="360" w:left="2880"/>
      </w:pPr>
      <w:rPr>
        <w:rFonts w:ascii="Symbol" w:hAnsi="Symbol"/>
      </w:rPr>
    </w:lvl>
    <w:lvl w:ilvl="4" w:tplc="5DDD0FC0">
      <w:start w:val="1"/>
      <w:numFmt w:val="bullet"/>
      <w:suff w:val="tab"/>
      <w:lvlText w:val="·"/>
      <w:lvlJc w:val="left"/>
      <w:pPr>
        <w:ind w:hanging="360" w:left="3600"/>
      </w:pPr>
      <w:rPr>
        <w:rFonts w:ascii="Symbol" w:hAnsi="Symbol"/>
      </w:rPr>
    </w:lvl>
    <w:lvl w:ilvl="5" w:tplc="11FE5BE6">
      <w:start w:val="1"/>
      <w:numFmt w:val="bullet"/>
      <w:suff w:val="tab"/>
      <w:lvlText w:val="o"/>
      <w:lvlJc w:val="left"/>
      <w:pPr>
        <w:ind w:hanging="360" w:left="4320"/>
      </w:pPr>
      <w:rPr>
        <w:rFonts w:ascii="Symbol" w:hAnsi="Symbol"/>
      </w:rPr>
    </w:lvl>
    <w:lvl w:ilvl="6" w:tplc="19B6224E">
      <w:start w:val="1"/>
      <w:numFmt w:val="bullet"/>
      <w:suff w:val="tab"/>
      <w:lvlText w:val="·"/>
      <w:lvlJc w:val="left"/>
      <w:pPr>
        <w:ind w:hanging="360" w:left="5040"/>
      </w:pPr>
      <w:rPr>
        <w:rFonts w:ascii="Symbol" w:hAnsi="Symbol"/>
      </w:rPr>
    </w:lvl>
    <w:lvl w:ilvl="7" w:tplc="5DBED09D">
      <w:start w:val="1"/>
      <w:numFmt w:val="bullet"/>
      <w:suff w:val="tab"/>
      <w:lvlText w:val="o"/>
      <w:lvlJc w:val="left"/>
      <w:pPr>
        <w:ind w:hanging="360" w:left="5760"/>
      </w:pPr>
      <w:rPr>
        <w:rFonts w:ascii="Symbol" w:hAnsi="Symbol"/>
      </w:rPr>
    </w:lvl>
    <w:lvl w:ilvl="8" w:tplc="7EB38B9E">
      <w:start w:val="1"/>
      <w:numFmt w:val="bullet"/>
      <w:suff w:val="tab"/>
      <w:lvlText w:val="·"/>
      <w:lvlJc w:val="left"/>
      <w:pPr>
        <w:ind w:hanging="360" w:left="6480"/>
      </w:pPr>
      <w:rPr>
        <w:rFonts w:ascii="Symbol" w:hAnsi="Symbol"/>
      </w:rPr>
    </w:lvl>
  </w:abstractNum>
  <w:abstractNum w:abstractNumId="141">
    <w:nsid w:val="1AA6E564"/>
    <w:multiLevelType w:val="hybridMultilevel"/>
    <w:lvl w:ilvl="0" w:tplc="54A6899F">
      <w:start w:val="1"/>
      <w:numFmt w:val="bullet"/>
      <w:suff w:val="tab"/>
      <w:lvlText w:val="·"/>
      <w:lvlJc w:val="left"/>
      <w:pPr>
        <w:ind w:hanging="360" w:left="720"/>
      </w:pPr>
      <w:rPr>
        <w:rFonts w:ascii="Symbol" w:hAnsi="Symbol" w:cs="Symbol" w:eastAsia="Symbol"/>
      </w:rPr>
    </w:lvl>
    <w:lvl w:ilvl="1" w:tplc="33D6648F">
      <w:start w:val="1"/>
      <w:numFmt w:val="bullet"/>
      <w:suff w:val="tab"/>
      <w:lvlText w:val="o"/>
      <w:lvlJc w:val="left"/>
      <w:pPr>
        <w:ind w:hanging="360" w:left="1440"/>
      </w:pPr>
      <w:rPr>
        <w:rFonts w:ascii="Symbol" w:hAnsi="Symbol"/>
      </w:rPr>
    </w:lvl>
    <w:lvl w:ilvl="2" w:tplc="5E3B9A28">
      <w:start w:val="1"/>
      <w:numFmt w:val="bullet"/>
      <w:suff w:val="tab"/>
      <w:lvlText w:val="·"/>
      <w:lvlJc w:val="left"/>
      <w:pPr>
        <w:ind w:hanging="360" w:left="2160"/>
      </w:pPr>
      <w:rPr>
        <w:rFonts w:ascii="Symbol" w:hAnsi="Symbol"/>
      </w:rPr>
    </w:lvl>
    <w:lvl w:ilvl="3" w:tplc="673A70E2">
      <w:start w:val="1"/>
      <w:numFmt w:val="bullet"/>
      <w:suff w:val="tab"/>
      <w:lvlText w:val="o"/>
      <w:lvlJc w:val="left"/>
      <w:pPr>
        <w:ind w:hanging="360" w:left="2880"/>
      </w:pPr>
      <w:rPr>
        <w:rFonts w:ascii="Symbol" w:hAnsi="Symbol"/>
      </w:rPr>
    </w:lvl>
    <w:lvl w:ilvl="4" w:tplc="764B25BB">
      <w:start w:val="1"/>
      <w:numFmt w:val="bullet"/>
      <w:suff w:val="tab"/>
      <w:lvlText w:val="·"/>
      <w:lvlJc w:val="left"/>
      <w:pPr>
        <w:ind w:hanging="360" w:left="3600"/>
      </w:pPr>
      <w:rPr>
        <w:rFonts w:ascii="Symbol" w:hAnsi="Symbol"/>
      </w:rPr>
    </w:lvl>
    <w:lvl w:ilvl="5" w:tplc="6DC812D0">
      <w:start w:val="1"/>
      <w:numFmt w:val="bullet"/>
      <w:suff w:val="tab"/>
      <w:lvlText w:val="o"/>
      <w:lvlJc w:val="left"/>
      <w:pPr>
        <w:ind w:hanging="360" w:left="4320"/>
      </w:pPr>
      <w:rPr>
        <w:rFonts w:ascii="Symbol" w:hAnsi="Symbol"/>
      </w:rPr>
    </w:lvl>
    <w:lvl w:ilvl="6" w:tplc="006659B9">
      <w:start w:val="1"/>
      <w:numFmt w:val="bullet"/>
      <w:suff w:val="tab"/>
      <w:lvlText w:val="·"/>
      <w:lvlJc w:val="left"/>
      <w:pPr>
        <w:ind w:hanging="360" w:left="5040"/>
      </w:pPr>
      <w:rPr>
        <w:rFonts w:ascii="Symbol" w:hAnsi="Symbol"/>
      </w:rPr>
    </w:lvl>
    <w:lvl w:ilvl="7" w:tplc="401EE688">
      <w:start w:val="1"/>
      <w:numFmt w:val="bullet"/>
      <w:suff w:val="tab"/>
      <w:lvlText w:val="o"/>
      <w:lvlJc w:val="left"/>
      <w:pPr>
        <w:ind w:hanging="360" w:left="5760"/>
      </w:pPr>
      <w:rPr>
        <w:rFonts w:ascii="Symbol" w:hAnsi="Symbol"/>
      </w:rPr>
    </w:lvl>
    <w:lvl w:ilvl="8" w:tplc="5E811DF9">
      <w:start w:val="1"/>
      <w:numFmt w:val="bullet"/>
      <w:suff w:val="tab"/>
      <w:lvlText w:val="·"/>
      <w:lvlJc w:val="left"/>
      <w:pPr>
        <w:ind w:hanging="360" w:left="6480"/>
      </w:pPr>
      <w:rPr>
        <w:rFonts w:ascii="Symbol" w:hAnsi="Symbol"/>
      </w:rPr>
    </w:lvl>
  </w:abstractNum>
  <w:abstractNum w:abstractNumId="142">
    <w:nsid w:val="0D634496"/>
    <w:multiLevelType w:val="hybridMultilevel"/>
    <w:lvl w:ilvl="0" w:tplc="4FF5F854">
      <w:start w:val="1"/>
      <w:numFmt w:val="bullet"/>
      <w:suff w:val="tab"/>
      <w:lvlText w:val="·"/>
      <w:lvlJc w:val="left"/>
      <w:pPr>
        <w:ind w:hanging="360" w:left="720"/>
      </w:pPr>
      <w:rPr>
        <w:rFonts w:ascii="Symbol" w:hAnsi="Symbol" w:cs="Symbol" w:eastAsia="Symbol"/>
      </w:rPr>
    </w:lvl>
    <w:lvl w:ilvl="1" w:tplc="7A85D286">
      <w:start w:val="1"/>
      <w:numFmt w:val="bullet"/>
      <w:suff w:val="tab"/>
      <w:lvlText w:val="o"/>
      <w:lvlJc w:val="left"/>
      <w:pPr>
        <w:ind w:hanging="360" w:left="1440"/>
      </w:pPr>
      <w:rPr>
        <w:rFonts w:ascii="Symbol" w:hAnsi="Symbol"/>
      </w:rPr>
    </w:lvl>
    <w:lvl w:ilvl="2" w:tplc="18003E77">
      <w:start w:val="1"/>
      <w:numFmt w:val="bullet"/>
      <w:suff w:val="tab"/>
      <w:lvlText w:val="·"/>
      <w:lvlJc w:val="left"/>
      <w:pPr>
        <w:ind w:hanging="360" w:left="2160"/>
      </w:pPr>
      <w:rPr>
        <w:rFonts w:ascii="Symbol" w:hAnsi="Symbol"/>
      </w:rPr>
    </w:lvl>
    <w:lvl w:ilvl="3" w:tplc="4C28CA7F">
      <w:start w:val="1"/>
      <w:numFmt w:val="bullet"/>
      <w:suff w:val="tab"/>
      <w:lvlText w:val="o"/>
      <w:lvlJc w:val="left"/>
      <w:pPr>
        <w:ind w:hanging="360" w:left="2880"/>
      </w:pPr>
      <w:rPr>
        <w:rFonts w:ascii="Symbol" w:hAnsi="Symbol"/>
      </w:rPr>
    </w:lvl>
    <w:lvl w:ilvl="4" w:tplc="736BAA44">
      <w:start w:val="1"/>
      <w:numFmt w:val="bullet"/>
      <w:suff w:val="tab"/>
      <w:lvlText w:val="·"/>
      <w:lvlJc w:val="left"/>
      <w:pPr>
        <w:ind w:hanging="360" w:left="3600"/>
      </w:pPr>
      <w:rPr>
        <w:rFonts w:ascii="Symbol" w:hAnsi="Symbol"/>
      </w:rPr>
    </w:lvl>
    <w:lvl w:ilvl="5" w:tplc="4EB68238">
      <w:start w:val="1"/>
      <w:numFmt w:val="bullet"/>
      <w:suff w:val="tab"/>
      <w:lvlText w:val="o"/>
      <w:lvlJc w:val="left"/>
      <w:pPr>
        <w:ind w:hanging="360" w:left="4320"/>
      </w:pPr>
      <w:rPr>
        <w:rFonts w:ascii="Symbol" w:hAnsi="Symbol"/>
      </w:rPr>
    </w:lvl>
    <w:lvl w:ilvl="6" w:tplc="0A1AC1DB">
      <w:start w:val="1"/>
      <w:numFmt w:val="bullet"/>
      <w:suff w:val="tab"/>
      <w:lvlText w:val="·"/>
      <w:lvlJc w:val="left"/>
      <w:pPr>
        <w:ind w:hanging="360" w:left="5040"/>
      </w:pPr>
      <w:rPr>
        <w:rFonts w:ascii="Symbol" w:hAnsi="Symbol"/>
      </w:rPr>
    </w:lvl>
    <w:lvl w:ilvl="7" w:tplc="0C6A0E0F">
      <w:start w:val="1"/>
      <w:numFmt w:val="bullet"/>
      <w:suff w:val="tab"/>
      <w:lvlText w:val="o"/>
      <w:lvlJc w:val="left"/>
      <w:pPr>
        <w:ind w:hanging="360" w:left="5760"/>
      </w:pPr>
      <w:rPr>
        <w:rFonts w:ascii="Symbol" w:hAnsi="Symbol"/>
      </w:rPr>
    </w:lvl>
    <w:lvl w:ilvl="8" w:tplc="70E15DD0">
      <w:start w:val="1"/>
      <w:numFmt w:val="bullet"/>
      <w:suff w:val="tab"/>
      <w:lvlText w:val="·"/>
      <w:lvlJc w:val="left"/>
      <w:pPr>
        <w:ind w:hanging="360" w:left="6480"/>
      </w:pPr>
      <w:rPr>
        <w:rFonts w:ascii="Symbol" w:hAnsi="Symbol"/>
      </w:rPr>
    </w:lvl>
  </w:abstractNum>
  <w:abstractNum w:abstractNumId="143">
    <w:nsid w:val="097C59FE"/>
    <w:multiLevelType w:val="hybridMultilevel"/>
    <w:lvl w:ilvl="0" w:tplc="2E9925CD">
      <w:start w:val="1"/>
      <w:numFmt w:val="bullet"/>
      <w:suff w:val="tab"/>
      <w:lvlText w:val="·"/>
      <w:lvlJc w:val="left"/>
      <w:pPr>
        <w:ind w:hanging="360" w:left="720"/>
      </w:pPr>
      <w:rPr>
        <w:rFonts w:ascii="Symbol" w:hAnsi="Symbol" w:cs="Symbol" w:eastAsia="Symbol"/>
      </w:rPr>
    </w:lvl>
    <w:lvl w:ilvl="1" w:tplc="3F7F8976">
      <w:start w:val="1"/>
      <w:numFmt w:val="bullet"/>
      <w:suff w:val="tab"/>
      <w:lvlText w:val="o"/>
      <w:lvlJc w:val="left"/>
      <w:pPr>
        <w:ind w:hanging="360" w:left="1440"/>
      </w:pPr>
      <w:rPr>
        <w:rFonts w:ascii="Symbol" w:hAnsi="Symbol"/>
      </w:rPr>
    </w:lvl>
    <w:lvl w:ilvl="2" w:tplc="318BA7D1">
      <w:start w:val="1"/>
      <w:numFmt w:val="bullet"/>
      <w:suff w:val="tab"/>
      <w:lvlText w:val="·"/>
      <w:lvlJc w:val="left"/>
      <w:pPr>
        <w:ind w:hanging="360" w:left="2160"/>
      </w:pPr>
      <w:rPr>
        <w:rFonts w:ascii="Symbol" w:hAnsi="Symbol"/>
      </w:rPr>
    </w:lvl>
    <w:lvl w:ilvl="3" w:tplc="444CECAE">
      <w:start w:val="1"/>
      <w:numFmt w:val="bullet"/>
      <w:suff w:val="tab"/>
      <w:lvlText w:val="o"/>
      <w:lvlJc w:val="left"/>
      <w:pPr>
        <w:ind w:hanging="360" w:left="2880"/>
      </w:pPr>
      <w:rPr>
        <w:rFonts w:ascii="Symbol" w:hAnsi="Symbol"/>
      </w:rPr>
    </w:lvl>
    <w:lvl w:ilvl="4" w:tplc="2635D787">
      <w:start w:val="1"/>
      <w:numFmt w:val="bullet"/>
      <w:suff w:val="tab"/>
      <w:lvlText w:val="·"/>
      <w:lvlJc w:val="left"/>
      <w:pPr>
        <w:ind w:hanging="360" w:left="3600"/>
      </w:pPr>
      <w:rPr>
        <w:rFonts w:ascii="Symbol" w:hAnsi="Symbol"/>
      </w:rPr>
    </w:lvl>
    <w:lvl w:ilvl="5" w:tplc="4AECB839">
      <w:start w:val="1"/>
      <w:numFmt w:val="bullet"/>
      <w:suff w:val="tab"/>
      <w:lvlText w:val="o"/>
      <w:lvlJc w:val="left"/>
      <w:pPr>
        <w:ind w:hanging="360" w:left="4320"/>
      </w:pPr>
      <w:rPr>
        <w:rFonts w:ascii="Symbol" w:hAnsi="Symbol"/>
      </w:rPr>
    </w:lvl>
    <w:lvl w:ilvl="6" w:tplc="252C1367">
      <w:start w:val="1"/>
      <w:numFmt w:val="bullet"/>
      <w:suff w:val="tab"/>
      <w:lvlText w:val="·"/>
      <w:lvlJc w:val="left"/>
      <w:pPr>
        <w:ind w:hanging="360" w:left="5040"/>
      </w:pPr>
      <w:rPr>
        <w:rFonts w:ascii="Symbol" w:hAnsi="Symbol"/>
      </w:rPr>
    </w:lvl>
    <w:lvl w:ilvl="7" w:tplc="0BAEDD5E">
      <w:start w:val="1"/>
      <w:numFmt w:val="bullet"/>
      <w:suff w:val="tab"/>
      <w:lvlText w:val="o"/>
      <w:lvlJc w:val="left"/>
      <w:pPr>
        <w:ind w:hanging="360" w:left="5760"/>
      </w:pPr>
      <w:rPr>
        <w:rFonts w:ascii="Symbol" w:hAnsi="Symbol"/>
      </w:rPr>
    </w:lvl>
    <w:lvl w:ilvl="8" w:tplc="5632A316">
      <w:start w:val="1"/>
      <w:numFmt w:val="bullet"/>
      <w:suff w:val="tab"/>
      <w:lvlText w:val="·"/>
      <w:lvlJc w:val="left"/>
      <w:pPr>
        <w:ind w:hanging="360" w:left="6480"/>
      </w:pPr>
      <w:rPr>
        <w:rFonts w:ascii="Symbol" w:hAnsi="Symbol"/>
      </w:rPr>
    </w:lvl>
  </w:abstractNum>
  <w:abstractNum w:abstractNumId="144">
    <w:nsid w:val="4F18189F"/>
    <w:multiLevelType w:val="hybridMultilevel"/>
    <w:lvl w:ilvl="0" w:tplc="6F08D56D">
      <w:start w:val="1"/>
      <w:numFmt w:val="bullet"/>
      <w:suff w:val="tab"/>
      <w:lvlText w:val="·"/>
      <w:lvlJc w:val="left"/>
      <w:pPr>
        <w:ind w:hanging="360" w:left="720"/>
      </w:pPr>
      <w:rPr>
        <w:rFonts w:ascii="Symbol" w:hAnsi="Symbol" w:cs="Symbol" w:eastAsia="Symbol"/>
      </w:rPr>
    </w:lvl>
    <w:lvl w:ilvl="1" w:tplc="4B750B0B">
      <w:start w:val="1"/>
      <w:numFmt w:val="bullet"/>
      <w:suff w:val="tab"/>
      <w:lvlText w:val="o"/>
      <w:lvlJc w:val="left"/>
      <w:pPr>
        <w:ind w:hanging="360" w:left="1440"/>
      </w:pPr>
      <w:rPr>
        <w:rFonts w:ascii="Symbol" w:hAnsi="Symbol"/>
      </w:rPr>
    </w:lvl>
    <w:lvl w:ilvl="2" w:tplc="77F1DADE">
      <w:start w:val="1"/>
      <w:numFmt w:val="bullet"/>
      <w:suff w:val="tab"/>
      <w:lvlText w:val="·"/>
      <w:lvlJc w:val="left"/>
      <w:pPr>
        <w:ind w:hanging="360" w:left="2160"/>
      </w:pPr>
      <w:rPr>
        <w:rFonts w:ascii="Symbol" w:hAnsi="Symbol"/>
      </w:rPr>
    </w:lvl>
    <w:lvl w:ilvl="3" w:tplc="7F6898F8">
      <w:start w:val="1"/>
      <w:numFmt w:val="bullet"/>
      <w:suff w:val="tab"/>
      <w:lvlText w:val="o"/>
      <w:lvlJc w:val="left"/>
      <w:pPr>
        <w:ind w:hanging="360" w:left="2880"/>
      </w:pPr>
      <w:rPr>
        <w:rFonts w:ascii="Symbol" w:hAnsi="Symbol"/>
      </w:rPr>
    </w:lvl>
    <w:lvl w:ilvl="4" w:tplc="6B4E43F6">
      <w:start w:val="1"/>
      <w:numFmt w:val="bullet"/>
      <w:suff w:val="tab"/>
      <w:lvlText w:val="·"/>
      <w:lvlJc w:val="left"/>
      <w:pPr>
        <w:ind w:hanging="360" w:left="3600"/>
      </w:pPr>
      <w:rPr>
        <w:rFonts w:ascii="Symbol" w:hAnsi="Symbol"/>
      </w:rPr>
    </w:lvl>
    <w:lvl w:ilvl="5" w:tplc="64F8559B">
      <w:start w:val="1"/>
      <w:numFmt w:val="bullet"/>
      <w:suff w:val="tab"/>
      <w:lvlText w:val="o"/>
      <w:lvlJc w:val="left"/>
      <w:pPr>
        <w:ind w:hanging="360" w:left="4320"/>
      </w:pPr>
      <w:rPr>
        <w:rFonts w:ascii="Symbol" w:hAnsi="Symbol"/>
      </w:rPr>
    </w:lvl>
    <w:lvl w:ilvl="6" w:tplc="36E419FA">
      <w:start w:val="1"/>
      <w:numFmt w:val="bullet"/>
      <w:suff w:val="tab"/>
      <w:lvlText w:val="·"/>
      <w:lvlJc w:val="left"/>
      <w:pPr>
        <w:ind w:hanging="360" w:left="5040"/>
      </w:pPr>
      <w:rPr>
        <w:rFonts w:ascii="Symbol" w:hAnsi="Symbol"/>
      </w:rPr>
    </w:lvl>
    <w:lvl w:ilvl="7" w:tplc="241D4F49">
      <w:start w:val="1"/>
      <w:numFmt w:val="bullet"/>
      <w:suff w:val="tab"/>
      <w:lvlText w:val="o"/>
      <w:lvlJc w:val="left"/>
      <w:pPr>
        <w:ind w:hanging="360" w:left="5760"/>
      </w:pPr>
      <w:rPr>
        <w:rFonts w:ascii="Symbol" w:hAnsi="Symbol"/>
      </w:rPr>
    </w:lvl>
    <w:lvl w:ilvl="8" w:tplc="5DD27FE8">
      <w:start w:val="1"/>
      <w:numFmt w:val="bullet"/>
      <w:suff w:val="tab"/>
      <w:lvlText w:val="·"/>
      <w:lvlJc w:val="left"/>
      <w:pPr>
        <w:ind w:hanging="360" w:left="6480"/>
      </w:pPr>
      <w:rPr>
        <w:rFonts w:ascii="Symbol" w:hAnsi="Symbol"/>
      </w:rPr>
    </w:lvl>
  </w:abstractNum>
  <w:abstractNum w:abstractNumId="145">
    <w:nsid w:val="2969A313"/>
    <w:multiLevelType w:val="hybridMultilevel"/>
    <w:lvl w:ilvl="0" w:tplc="26C62891">
      <w:start w:val="1"/>
      <w:numFmt w:val="bullet"/>
      <w:suff w:val="tab"/>
      <w:lvlText w:val="·"/>
      <w:lvlJc w:val="left"/>
      <w:pPr>
        <w:ind w:hanging="360" w:left="720"/>
      </w:pPr>
      <w:rPr>
        <w:rFonts w:ascii="Symbol" w:hAnsi="Symbol" w:cs="Symbol" w:eastAsia="Symbol"/>
      </w:rPr>
    </w:lvl>
    <w:lvl w:ilvl="1" w:tplc="07BA6663">
      <w:start w:val="1"/>
      <w:numFmt w:val="bullet"/>
      <w:suff w:val="tab"/>
      <w:lvlText w:val="o"/>
      <w:lvlJc w:val="left"/>
      <w:pPr>
        <w:ind w:hanging="360" w:left="1440"/>
      </w:pPr>
      <w:rPr>
        <w:rFonts w:ascii="Symbol" w:hAnsi="Symbol"/>
      </w:rPr>
    </w:lvl>
    <w:lvl w:ilvl="2" w:tplc="17325F81">
      <w:start w:val="1"/>
      <w:numFmt w:val="bullet"/>
      <w:suff w:val="tab"/>
      <w:lvlText w:val="·"/>
      <w:lvlJc w:val="left"/>
      <w:pPr>
        <w:ind w:hanging="360" w:left="2160"/>
      </w:pPr>
      <w:rPr>
        <w:rFonts w:ascii="Symbol" w:hAnsi="Symbol"/>
      </w:rPr>
    </w:lvl>
    <w:lvl w:ilvl="3" w:tplc="47759559">
      <w:start w:val="1"/>
      <w:numFmt w:val="bullet"/>
      <w:suff w:val="tab"/>
      <w:lvlText w:val="o"/>
      <w:lvlJc w:val="left"/>
      <w:pPr>
        <w:ind w:hanging="360" w:left="2880"/>
      </w:pPr>
      <w:rPr>
        <w:rFonts w:ascii="Symbol" w:hAnsi="Symbol"/>
      </w:rPr>
    </w:lvl>
    <w:lvl w:ilvl="4" w:tplc="457F014A">
      <w:start w:val="1"/>
      <w:numFmt w:val="bullet"/>
      <w:suff w:val="tab"/>
      <w:lvlText w:val="·"/>
      <w:lvlJc w:val="left"/>
      <w:pPr>
        <w:ind w:hanging="360" w:left="3600"/>
      </w:pPr>
      <w:rPr>
        <w:rFonts w:ascii="Symbol" w:hAnsi="Symbol"/>
      </w:rPr>
    </w:lvl>
    <w:lvl w:ilvl="5" w:tplc="737A0492">
      <w:start w:val="1"/>
      <w:numFmt w:val="bullet"/>
      <w:suff w:val="tab"/>
      <w:lvlText w:val="o"/>
      <w:lvlJc w:val="left"/>
      <w:pPr>
        <w:ind w:hanging="360" w:left="4320"/>
      </w:pPr>
      <w:rPr>
        <w:rFonts w:ascii="Symbol" w:hAnsi="Symbol"/>
      </w:rPr>
    </w:lvl>
    <w:lvl w:ilvl="6" w:tplc="425C3F49">
      <w:start w:val="1"/>
      <w:numFmt w:val="bullet"/>
      <w:suff w:val="tab"/>
      <w:lvlText w:val="·"/>
      <w:lvlJc w:val="left"/>
      <w:pPr>
        <w:ind w:hanging="360" w:left="5040"/>
      </w:pPr>
      <w:rPr>
        <w:rFonts w:ascii="Symbol" w:hAnsi="Symbol"/>
      </w:rPr>
    </w:lvl>
    <w:lvl w:ilvl="7" w:tplc="50F7926F">
      <w:start w:val="1"/>
      <w:numFmt w:val="bullet"/>
      <w:suff w:val="tab"/>
      <w:lvlText w:val="o"/>
      <w:lvlJc w:val="left"/>
      <w:pPr>
        <w:ind w:hanging="360" w:left="5760"/>
      </w:pPr>
      <w:rPr>
        <w:rFonts w:ascii="Symbol" w:hAnsi="Symbol"/>
      </w:rPr>
    </w:lvl>
    <w:lvl w:ilvl="8" w:tplc="3C50C7C2">
      <w:start w:val="1"/>
      <w:numFmt w:val="bullet"/>
      <w:suff w:val="tab"/>
      <w:lvlText w:val="·"/>
      <w:lvlJc w:val="left"/>
      <w:pPr>
        <w:ind w:hanging="360" w:left="6480"/>
      </w:pPr>
      <w:rPr>
        <w:rFonts w:ascii="Symbol" w:hAnsi="Symbol"/>
      </w:rPr>
    </w:lvl>
  </w:abstractNum>
  <w:abstractNum w:abstractNumId="146">
    <w:nsid w:val="155A3FC5"/>
    <w:multiLevelType w:val="hybridMultilevel"/>
    <w:lvl w:ilvl="0" w:tplc="6C3F0381">
      <w:start w:val="1"/>
      <w:numFmt w:val="bullet"/>
      <w:suff w:val="tab"/>
      <w:lvlText w:val="·"/>
      <w:lvlJc w:val="left"/>
      <w:pPr>
        <w:ind w:hanging="360" w:left="720"/>
      </w:pPr>
      <w:rPr>
        <w:rFonts w:ascii="Symbol" w:hAnsi="Symbol" w:cs="Symbol" w:eastAsia="Symbol"/>
      </w:rPr>
    </w:lvl>
    <w:lvl w:ilvl="1" w:tplc="77CD9A3B">
      <w:start w:val="1"/>
      <w:numFmt w:val="bullet"/>
      <w:suff w:val="tab"/>
      <w:lvlText w:val="o"/>
      <w:lvlJc w:val="left"/>
      <w:pPr>
        <w:ind w:hanging="360" w:left="1440"/>
      </w:pPr>
      <w:rPr>
        <w:rFonts w:ascii="Symbol" w:hAnsi="Symbol"/>
      </w:rPr>
    </w:lvl>
    <w:lvl w:ilvl="2" w:tplc="4B1E0E91">
      <w:start w:val="1"/>
      <w:numFmt w:val="bullet"/>
      <w:suff w:val="tab"/>
      <w:lvlText w:val="·"/>
      <w:lvlJc w:val="left"/>
      <w:pPr>
        <w:ind w:hanging="360" w:left="2160"/>
      </w:pPr>
      <w:rPr>
        <w:rFonts w:ascii="Symbol" w:hAnsi="Symbol"/>
      </w:rPr>
    </w:lvl>
    <w:lvl w:ilvl="3" w:tplc="223019CE">
      <w:start w:val="1"/>
      <w:numFmt w:val="bullet"/>
      <w:suff w:val="tab"/>
      <w:lvlText w:val="o"/>
      <w:lvlJc w:val="left"/>
      <w:pPr>
        <w:ind w:hanging="360" w:left="2880"/>
      </w:pPr>
      <w:rPr>
        <w:rFonts w:ascii="Symbol" w:hAnsi="Symbol"/>
      </w:rPr>
    </w:lvl>
    <w:lvl w:ilvl="4" w:tplc="65A3747A">
      <w:start w:val="1"/>
      <w:numFmt w:val="bullet"/>
      <w:suff w:val="tab"/>
      <w:lvlText w:val="·"/>
      <w:lvlJc w:val="left"/>
      <w:pPr>
        <w:ind w:hanging="360" w:left="3600"/>
      </w:pPr>
      <w:rPr>
        <w:rFonts w:ascii="Symbol" w:hAnsi="Symbol"/>
      </w:rPr>
    </w:lvl>
    <w:lvl w:ilvl="5" w:tplc="508F2121">
      <w:start w:val="1"/>
      <w:numFmt w:val="bullet"/>
      <w:suff w:val="tab"/>
      <w:lvlText w:val="o"/>
      <w:lvlJc w:val="left"/>
      <w:pPr>
        <w:ind w:hanging="360" w:left="4320"/>
      </w:pPr>
      <w:rPr>
        <w:rFonts w:ascii="Symbol" w:hAnsi="Symbol"/>
      </w:rPr>
    </w:lvl>
    <w:lvl w:ilvl="6" w:tplc="5F20C50C">
      <w:start w:val="1"/>
      <w:numFmt w:val="bullet"/>
      <w:suff w:val="tab"/>
      <w:lvlText w:val="·"/>
      <w:lvlJc w:val="left"/>
      <w:pPr>
        <w:ind w:hanging="360" w:left="5040"/>
      </w:pPr>
      <w:rPr>
        <w:rFonts w:ascii="Symbol" w:hAnsi="Symbol"/>
      </w:rPr>
    </w:lvl>
    <w:lvl w:ilvl="7" w:tplc="0FB5DB19">
      <w:start w:val="1"/>
      <w:numFmt w:val="bullet"/>
      <w:suff w:val="tab"/>
      <w:lvlText w:val="o"/>
      <w:lvlJc w:val="left"/>
      <w:pPr>
        <w:ind w:hanging="360" w:left="5760"/>
      </w:pPr>
      <w:rPr>
        <w:rFonts w:ascii="Symbol" w:hAnsi="Symbol"/>
      </w:rPr>
    </w:lvl>
    <w:lvl w:ilvl="8" w:tplc="2D942BB9">
      <w:start w:val="1"/>
      <w:numFmt w:val="bullet"/>
      <w:suff w:val="tab"/>
      <w:lvlText w:val="·"/>
      <w:lvlJc w:val="left"/>
      <w:pPr>
        <w:ind w:hanging="360" w:left="6480"/>
      </w:pPr>
      <w:rPr>
        <w:rFonts w:ascii="Symbol" w:hAnsi="Symbol"/>
      </w:rPr>
    </w:lvl>
  </w:abstractNum>
  <w:abstractNum w:abstractNumId="147">
    <w:nsid w:val="12F6DC61"/>
    <w:multiLevelType w:val="hybridMultilevel"/>
    <w:lvl w:ilvl="0" w:tplc="022A8FB8">
      <w:start w:val="1"/>
      <w:numFmt w:val="bullet"/>
      <w:suff w:val="tab"/>
      <w:lvlText w:val="·"/>
      <w:lvlJc w:val="left"/>
      <w:pPr>
        <w:ind w:hanging="360" w:left="720"/>
      </w:pPr>
      <w:rPr>
        <w:rFonts w:ascii="Symbol" w:hAnsi="Symbol" w:cs="Symbol" w:eastAsia="Symbol"/>
      </w:rPr>
    </w:lvl>
    <w:lvl w:ilvl="1" w:tplc="5E2EDF6E">
      <w:start w:val="1"/>
      <w:numFmt w:val="bullet"/>
      <w:suff w:val="tab"/>
      <w:lvlText w:val="o"/>
      <w:lvlJc w:val="left"/>
      <w:pPr>
        <w:ind w:hanging="360" w:left="1440"/>
      </w:pPr>
      <w:rPr>
        <w:rFonts w:ascii="Symbol" w:hAnsi="Symbol"/>
      </w:rPr>
    </w:lvl>
    <w:lvl w:ilvl="2" w:tplc="0464789E">
      <w:start w:val="1"/>
      <w:numFmt w:val="bullet"/>
      <w:suff w:val="tab"/>
      <w:lvlText w:val="·"/>
      <w:lvlJc w:val="left"/>
      <w:pPr>
        <w:ind w:hanging="360" w:left="2160"/>
      </w:pPr>
      <w:rPr>
        <w:rFonts w:ascii="Symbol" w:hAnsi="Symbol"/>
      </w:rPr>
    </w:lvl>
    <w:lvl w:ilvl="3" w:tplc="33321161">
      <w:start w:val="1"/>
      <w:numFmt w:val="bullet"/>
      <w:suff w:val="tab"/>
      <w:lvlText w:val="o"/>
      <w:lvlJc w:val="left"/>
      <w:pPr>
        <w:ind w:hanging="360" w:left="2880"/>
      </w:pPr>
      <w:rPr>
        <w:rFonts w:ascii="Symbol" w:hAnsi="Symbol"/>
      </w:rPr>
    </w:lvl>
    <w:lvl w:ilvl="4" w:tplc="3E7B1B12">
      <w:start w:val="1"/>
      <w:numFmt w:val="bullet"/>
      <w:suff w:val="tab"/>
      <w:lvlText w:val="·"/>
      <w:lvlJc w:val="left"/>
      <w:pPr>
        <w:ind w:hanging="360" w:left="3600"/>
      </w:pPr>
      <w:rPr>
        <w:rFonts w:ascii="Symbol" w:hAnsi="Symbol"/>
      </w:rPr>
    </w:lvl>
    <w:lvl w:ilvl="5" w:tplc="3476971B">
      <w:start w:val="1"/>
      <w:numFmt w:val="bullet"/>
      <w:suff w:val="tab"/>
      <w:lvlText w:val="o"/>
      <w:lvlJc w:val="left"/>
      <w:pPr>
        <w:ind w:hanging="360" w:left="4320"/>
      </w:pPr>
      <w:rPr>
        <w:rFonts w:ascii="Symbol" w:hAnsi="Symbol"/>
      </w:rPr>
    </w:lvl>
    <w:lvl w:ilvl="6" w:tplc="4839307A">
      <w:start w:val="1"/>
      <w:numFmt w:val="bullet"/>
      <w:suff w:val="tab"/>
      <w:lvlText w:val="·"/>
      <w:lvlJc w:val="left"/>
      <w:pPr>
        <w:ind w:hanging="360" w:left="5040"/>
      </w:pPr>
      <w:rPr>
        <w:rFonts w:ascii="Symbol" w:hAnsi="Symbol"/>
      </w:rPr>
    </w:lvl>
    <w:lvl w:ilvl="7" w:tplc="6970BCC9">
      <w:start w:val="1"/>
      <w:numFmt w:val="bullet"/>
      <w:suff w:val="tab"/>
      <w:lvlText w:val="o"/>
      <w:lvlJc w:val="left"/>
      <w:pPr>
        <w:ind w:hanging="360" w:left="5760"/>
      </w:pPr>
      <w:rPr>
        <w:rFonts w:ascii="Symbol" w:hAnsi="Symbol"/>
      </w:rPr>
    </w:lvl>
    <w:lvl w:ilvl="8" w:tplc="4F2E6C95">
      <w:start w:val="1"/>
      <w:numFmt w:val="bullet"/>
      <w:suff w:val="tab"/>
      <w:lvlText w:val="·"/>
      <w:lvlJc w:val="left"/>
      <w:pPr>
        <w:ind w:hanging="360" w:left="6480"/>
      </w:pPr>
      <w:rPr>
        <w:rFonts w:ascii="Symbol" w:hAnsi="Symbol"/>
      </w:rPr>
    </w:lvl>
  </w:abstractNum>
  <w:abstractNum w:abstractNumId="148">
    <w:nsid w:val="2F331B31"/>
    <w:multiLevelType w:val="hybridMultilevel"/>
    <w:lvl w:ilvl="0" w:tplc="3ABF7411">
      <w:start w:val="1"/>
      <w:numFmt w:val="bullet"/>
      <w:suff w:val="tab"/>
      <w:lvlText w:val="·"/>
      <w:lvlJc w:val="left"/>
      <w:pPr>
        <w:ind w:hanging="360" w:left="720"/>
      </w:pPr>
      <w:rPr>
        <w:rFonts w:ascii="Symbol" w:hAnsi="Symbol" w:cs="Symbol" w:eastAsia="Symbol"/>
      </w:rPr>
    </w:lvl>
    <w:lvl w:ilvl="1" w:tplc="05D475E9">
      <w:start w:val="1"/>
      <w:numFmt w:val="bullet"/>
      <w:suff w:val="tab"/>
      <w:lvlText w:val="o"/>
      <w:lvlJc w:val="left"/>
      <w:pPr>
        <w:ind w:hanging="360" w:left="1440"/>
      </w:pPr>
      <w:rPr>
        <w:rFonts w:ascii="Symbol" w:hAnsi="Symbol"/>
      </w:rPr>
    </w:lvl>
    <w:lvl w:ilvl="2" w:tplc="11223342">
      <w:start w:val="1"/>
      <w:numFmt w:val="bullet"/>
      <w:suff w:val="tab"/>
      <w:lvlText w:val="·"/>
      <w:lvlJc w:val="left"/>
      <w:pPr>
        <w:ind w:hanging="360" w:left="2160"/>
      </w:pPr>
      <w:rPr>
        <w:rFonts w:ascii="Symbol" w:hAnsi="Symbol"/>
      </w:rPr>
    </w:lvl>
    <w:lvl w:ilvl="3" w:tplc="77C290FE">
      <w:start w:val="1"/>
      <w:numFmt w:val="bullet"/>
      <w:suff w:val="tab"/>
      <w:lvlText w:val="o"/>
      <w:lvlJc w:val="left"/>
      <w:pPr>
        <w:ind w:hanging="360" w:left="2880"/>
      </w:pPr>
      <w:rPr>
        <w:rFonts w:ascii="Symbol" w:hAnsi="Symbol"/>
      </w:rPr>
    </w:lvl>
    <w:lvl w:ilvl="4" w:tplc="1BC7720F">
      <w:start w:val="1"/>
      <w:numFmt w:val="bullet"/>
      <w:suff w:val="tab"/>
      <w:lvlText w:val="·"/>
      <w:lvlJc w:val="left"/>
      <w:pPr>
        <w:ind w:hanging="360" w:left="3600"/>
      </w:pPr>
      <w:rPr>
        <w:rFonts w:ascii="Symbol" w:hAnsi="Symbol"/>
      </w:rPr>
    </w:lvl>
    <w:lvl w:ilvl="5" w:tplc="6E0672BC">
      <w:start w:val="1"/>
      <w:numFmt w:val="bullet"/>
      <w:suff w:val="tab"/>
      <w:lvlText w:val="o"/>
      <w:lvlJc w:val="left"/>
      <w:pPr>
        <w:ind w:hanging="360" w:left="4320"/>
      </w:pPr>
      <w:rPr>
        <w:rFonts w:ascii="Symbol" w:hAnsi="Symbol"/>
      </w:rPr>
    </w:lvl>
    <w:lvl w:ilvl="6" w:tplc="4EB60E1D">
      <w:start w:val="1"/>
      <w:numFmt w:val="bullet"/>
      <w:suff w:val="tab"/>
      <w:lvlText w:val="·"/>
      <w:lvlJc w:val="left"/>
      <w:pPr>
        <w:ind w:hanging="360" w:left="5040"/>
      </w:pPr>
      <w:rPr>
        <w:rFonts w:ascii="Symbol" w:hAnsi="Symbol"/>
      </w:rPr>
    </w:lvl>
    <w:lvl w:ilvl="7" w:tplc="1873C671">
      <w:start w:val="1"/>
      <w:numFmt w:val="bullet"/>
      <w:suff w:val="tab"/>
      <w:lvlText w:val="o"/>
      <w:lvlJc w:val="left"/>
      <w:pPr>
        <w:ind w:hanging="360" w:left="5760"/>
      </w:pPr>
      <w:rPr>
        <w:rFonts w:ascii="Symbol" w:hAnsi="Symbol"/>
      </w:rPr>
    </w:lvl>
    <w:lvl w:ilvl="8" w:tplc="22E45E1F">
      <w:start w:val="1"/>
      <w:numFmt w:val="bullet"/>
      <w:suff w:val="tab"/>
      <w:lvlText w:val="·"/>
      <w:lvlJc w:val="left"/>
      <w:pPr>
        <w:ind w:hanging="360" w:left="6480"/>
      </w:pPr>
      <w:rPr>
        <w:rFonts w:ascii="Symbol" w:hAnsi="Symbol"/>
      </w:rPr>
    </w:lvl>
  </w:abstractNum>
  <w:abstractNum w:abstractNumId="149">
    <w:nsid w:val="41C033EE"/>
    <w:multiLevelType w:val="hybridMultilevel"/>
    <w:lvl w:ilvl="0" w:tplc="7939BB3F">
      <w:start w:val="1"/>
      <w:numFmt w:val="bullet"/>
      <w:suff w:val="tab"/>
      <w:lvlText w:val="·"/>
      <w:lvlJc w:val="left"/>
      <w:pPr>
        <w:ind w:hanging="360" w:left="720"/>
      </w:pPr>
      <w:rPr>
        <w:rFonts w:ascii="Symbol" w:hAnsi="Symbol" w:cs="Symbol" w:eastAsia="Symbol"/>
      </w:rPr>
    </w:lvl>
    <w:lvl w:ilvl="1" w:tplc="645556DF">
      <w:start w:val="1"/>
      <w:numFmt w:val="bullet"/>
      <w:suff w:val="tab"/>
      <w:lvlText w:val="o"/>
      <w:lvlJc w:val="left"/>
      <w:pPr>
        <w:ind w:hanging="360" w:left="1440"/>
      </w:pPr>
      <w:rPr>
        <w:rFonts w:ascii="Symbol" w:hAnsi="Symbol"/>
      </w:rPr>
    </w:lvl>
    <w:lvl w:ilvl="2" w:tplc="3FE0C176">
      <w:start w:val="1"/>
      <w:numFmt w:val="bullet"/>
      <w:suff w:val="tab"/>
      <w:lvlText w:val="·"/>
      <w:lvlJc w:val="left"/>
      <w:pPr>
        <w:ind w:hanging="360" w:left="2160"/>
      </w:pPr>
      <w:rPr>
        <w:rFonts w:ascii="Symbol" w:hAnsi="Symbol"/>
      </w:rPr>
    </w:lvl>
    <w:lvl w:ilvl="3" w:tplc="3705830E">
      <w:start w:val="1"/>
      <w:numFmt w:val="bullet"/>
      <w:suff w:val="tab"/>
      <w:lvlText w:val="o"/>
      <w:lvlJc w:val="left"/>
      <w:pPr>
        <w:ind w:hanging="360" w:left="2880"/>
      </w:pPr>
      <w:rPr>
        <w:rFonts w:ascii="Symbol" w:hAnsi="Symbol"/>
      </w:rPr>
    </w:lvl>
    <w:lvl w:ilvl="4" w:tplc="76B1ACF0">
      <w:start w:val="1"/>
      <w:numFmt w:val="bullet"/>
      <w:suff w:val="tab"/>
      <w:lvlText w:val="·"/>
      <w:lvlJc w:val="left"/>
      <w:pPr>
        <w:ind w:hanging="360" w:left="3600"/>
      </w:pPr>
      <w:rPr>
        <w:rFonts w:ascii="Symbol" w:hAnsi="Symbol"/>
      </w:rPr>
    </w:lvl>
    <w:lvl w:ilvl="5" w:tplc="128CB658">
      <w:start w:val="1"/>
      <w:numFmt w:val="bullet"/>
      <w:suff w:val="tab"/>
      <w:lvlText w:val="o"/>
      <w:lvlJc w:val="left"/>
      <w:pPr>
        <w:ind w:hanging="360" w:left="4320"/>
      </w:pPr>
      <w:rPr>
        <w:rFonts w:ascii="Symbol" w:hAnsi="Symbol"/>
      </w:rPr>
    </w:lvl>
    <w:lvl w:ilvl="6" w:tplc="304BCA66">
      <w:start w:val="1"/>
      <w:numFmt w:val="bullet"/>
      <w:suff w:val="tab"/>
      <w:lvlText w:val="·"/>
      <w:lvlJc w:val="left"/>
      <w:pPr>
        <w:ind w:hanging="360" w:left="5040"/>
      </w:pPr>
      <w:rPr>
        <w:rFonts w:ascii="Symbol" w:hAnsi="Symbol"/>
      </w:rPr>
    </w:lvl>
    <w:lvl w:ilvl="7" w:tplc="6551BA9B">
      <w:start w:val="1"/>
      <w:numFmt w:val="bullet"/>
      <w:suff w:val="tab"/>
      <w:lvlText w:val="o"/>
      <w:lvlJc w:val="left"/>
      <w:pPr>
        <w:ind w:hanging="360" w:left="5760"/>
      </w:pPr>
      <w:rPr>
        <w:rFonts w:ascii="Symbol" w:hAnsi="Symbol"/>
      </w:rPr>
    </w:lvl>
    <w:lvl w:ilvl="8" w:tplc="0E1A0383">
      <w:start w:val="1"/>
      <w:numFmt w:val="bullet"/>
      <w:suff w:val="tab"/>
      <w:lvlText w:val="·"/>
      <w:lvlJc w:val="left"/>
      <w:pPr>
        <w:ind w:hanging="360" w:left="6480"/>
      </w:pPr>
      <w:rPr>
        <w:rFonts w:ascii="Symbol" w:hAnsi="Symbol"/>
      </w:rPr>
    </w:lvl>
  </w:abstractNum>
  <w:abstractNum w:abstractNumId="150">
    <w:nsid w:val="2ECA9222"/>
    <w:multiLevelType w:val="hybridMultilevel"/>
    <w:lvl w:ilvl="0" w:tplc="3E312367">
      <w:start w:val="1"/>
      <w:numFmt w:val="bullet"/>
      <w:suff w:val="tab"/>
      <w:lvlText w:val="·"/>
      <w:lvlJc w:val="left"/>
      <w:pPr>
        <w:ind w:hanging="360" w:left="720"/>
      </w:pPr>
      <w:rPr>
        <w:rFonts w:ascii="Symbol" w:hAnsi="Symbol" w:cs="Symbol" w:eastAsia="Symbol"/>
      </w:rPr>
    </w:lvl>
    <w:lvl w:ilvl="1" w:tplc="5776E3DB">
      <w:start w:val="1"/>
      <w:numFmt w:val="bullet"/>
      <w:suff w:val="tab"/>
      <w:lvlText w:val="o"/>
      <w:lvlJc w:val="left"/>
      <w:pPr>
        <w:ind w:hanging="360" w:left="1440"/>
      </w:pPr>
      <w:rPr>
        <w:rFonts w:ascii="Symbol" w:hAnsi="Symbol"/>
      </w:rPr>
    </w:lvl>
    <w:lvl w:ilvl="2" w:tplc="4C3C36D5">
      <w:start w:val="1"/>
      <w:numFmt w:val="bullet"/>
      <w:suff w:val="tab"/>
      <w:lvlText w:val="·"/>
      <w:lvlJc w:val="left"/>
      <w:pPr>
        <w:ind w:hanging="360" w:left="2160"/>
      </w:pPr>
      <w:rPr>
        <w:rFonts w:ascii="Symbol" w:hAnsi="Symbol"/>
      </w:rPr>
    </w:lvl>
    <w:lvl w:ilvl="3" w:tplc="127731E6">
      <w:start w:val="1"/>
      <w:numFmt w:val="bullet"/>
      <w:suff w:val="tab"/>
      <w:lvlText w:val="o"/>
      <w:lvlJc w:val="left"/>
      <w:pPr>
        <w:ind w:hanging="360" w:left="2880"/>
      </w:pPr>
      <w:rPr>
        <w:rFonts w:ascii="Symbol" w:hAnsi="Symbol"/>
      </w:rPr>
    </w:lvl>
    <w:lvl w:ilvl="4" w:tplc="4F49166A">
      <w:start w:val="1"/>
      <w:numFmt w:val="bullet"/>
      <w:suff w:val="tab"/>
      <w:lvlText w:val="·"/>
      <w:lvlJc w:val="left"/>
      <w:pPr>
        <w:ind w:hanging="360" w:left="3600"/>
      </w:pPr>
      <w:rPr>
        <w:rFonts w:ascii="Symbol" w:hAnsi="Symbol"/>
      </w:rPr>
    </w:lvl>
    <w:lvl w:ilvl="5" w:tplc="2C51396C">
      <w:start w:val="1"/>
      <w:numFmt w:val="bullet"/>
      <w:suff w:val="tab"/>
      <w:lvlText w:val="o"/>
      <w:lvlJc w:val="left"/>
      <w:pPr>
        <w:ind w:hanging="360" w:left="4320"/>
      </w:pPr>
      <w:rPr>
        <w:rFonts w:ascii="Symbol" w:hAnsi="Symbol"/>
      </w:rPr>
    </w:lvl>
    <w:lvl w:ilvl="6" w:tplc="35AA04D6">
      <w:start w:val="1"/>
      <w:numFmt w:val="bullet"/>
      <w:suff w:val="tab"/>
      <w:lvlText w:val="·"/>
      <w:lvlJc w:val="left"/>
      <w:pPr>
        <w:ind w:hanging="360" w:left="5040"/>
      </w:pPr>
      <w:rPr>
        <w:rFonts w:ascii="Symbol" w:hAnsi="Symbol"/>
      </w:rPr>
    </w:lvl>
    <w:lvl w:ilvl="7" w:tplc="5C315FF7">
      <w:start w:val="1"/>
      <w:numFmt w:val="bullet"/>
      <w:suff w:val="tab"/>
      <w:lvlText w:val="o"/>
      <w:lvlJc w:val="left"/>
      <w:pPr>
        <w:ind w:hanging="360" w:left="5760"/>
      </w:pPr>
      <w:rPr>
        <w:rFonts w:ascii="Symbol" w:hAnsi="Symbol"/>
      </w:rPr>
    </w:lvl>
    <w:lvl w:ilvl="8" w:tplc="5AFF7895">
      <w:start w:val="1"/>
      <w:numFmt w:val="bullet"/>
      <w:suff w:val="tab"/>
      <w:lvlText w:val="·"/>
      <w:lvlJc w:val="left"/>
      <w:pPr>
        <w:ind w:hanging="360" w:left="6480"/>
      </w:pPr>
      <w:rPr>
        <w:rFonts w:ascii="Symbol" w:hAnsi="Symbol"/>
      </w:rPr>
    </w:lvl>
  </w:abstractNum>
  <w:abstractNum w:abstractNumId="151">
    <w:nsid w:val="1F75D68C"/>
    <w:multiLevelType w:val="hybridMultilevel"/>
    <w:lvl w:ilvl="0" w:tplc="5301C141">
      <w:start w:val="1"/>
      <w:numFmt w:val="bullet"/>
      <w:suff w:val="tab"/>
      <w:lvlText w:val="·"/>
      <w:lvlJc w:val="left"/>
      <w:pPr>
        <w:ind w:hanging="360" w:left="720"/>
      </w:pPr>
      <w:rPr>
        <w:rFonts w:ascii="Symbol" w:hAnsi="Symbol" w:cs="Symbol" w:eastAsia="Symbol"/>
      </w:rPr>
    </w:lvl>
    <w:lvl w:ilvl="1" w:tplc="1B5D70EC">
      <w:start w:val="1"/>
      <w:numFmt w:val="bullet"/>
      <w:suff w:val="tab"/>
      <w:lvlText w:val="o"/>
      <w:lvlJc w:val="left"/>
      <w:pPr>
        <w:ind w:hanging="360" w:left="1440"/>
      </w:pPr>
      <w:rPr>
        <w:rFonts w:ascii="Symbol" w:hAnsi="Symbol"/>
      </w:rPr>
    </w:lvl>
    <w:lvl w:ilvl="2" w:tplc="193DB092">
      <w:start w:val="1"/>
      <w:numFmt w:val="bullet"/>
      <w:suff w:val="tab"/>
      <w:lvlText w:val="·"/>
      <w:lvlJc w:val="left"/>
      <w:pPr>
        <w:ind w:hanging="360" w:left="2160"/>
      </w:pPr>
      <w:rPr>
        <w:rFonts w:ascii="Symbol" w:hAnsi="Symbol"/>
      </w:rPr>
    </w:lvl>
    <w:lvl w:ilvl="3" w:tplc="30143BBB">
      <w:start w:val="1"/>
      <w:numFmt w:val="bullet"/>
      <w:suff w:val="tab"/>
      <w:lvlText w:val="o"/>
      <w:lvlJc w:val="left"/>
      <w:pPr>
        <w:ind w:hanging="360" w:left="2880"/>
      </w:pPr>
      <w:rPr>
        <w:rFonts w:ascii="Symbol" w:hAnsi="Symbol"/>
      </w:rPr>
    </w:lvl>
    <w:lvl w:ilvl="4" w:tplc="09A40293">
      <w:start w:val="1"/>
      <w:numFmt w:val="bullet"/>
      <w:suff w:val="tab"/>
      <w:lvlText w:val="·"/>
      <w:lvlJc w:val="left"/>
      <w:pPr>
        <w:ind w:hanging="360" w:left="3600"/>
      </w:pPr>
      <w:rPr>
        <w:rFonts w:ascii="Symbol" w:hAnsi="Symbol"/>
      </w:rPr>
    </w:lvl>
    <w:lvl w:ilvl="5" w:tplc="43F2CB08">
      <w:start w:val="1"/>
      <w:numFmt w:val="bullet"/>
      <w:suff w:val="tab"/>
      <w:lvlText w:val="o"/>
      <w:lvlJc w:val="left"/>
      <w:pPr>
        <w:ind w:hanging="360" w:left="4320"/>
      </w:pPr>
      <w:rPr>
        <w:rFonts w:ascii="Symbol" w:hAnsi="Symbol"/>
      </w:rPr>
    </w:lvl>
    <w:lvl w:ilvl="6" w:tplc="25637052">
      <w:start w:val="1"/>
      <w:numFmt w:val="bullet"/>
      <w:suff w:val="tab"/>
      <w:lvlText w:val="·"/>
      <w:lvlJc w:val="left"/>
      <w:pPr>
        <w:ind w:hanging="360" w:left="5040"/>
      </w:pPr>
      <w:rPr>
        <w:rFonts w:ascii="Symbol" w:hAnsi="Symbol"/>
      </w:rPr>
    </w:lvl>
    <w:lvl w:ilvl="7" w:tplc="43C44E43">
      <w:start w:val="1"/>
      <w:numFmt w:val="bullet"/>
      <w:suff w:val="tab"/>
      <w:lvlText w:val="o"/>
      <w:lvlJc w:val="left"/>
      <w:pPr>
        <w:ind w:hanging="360" w:left="5760"/>
      </w:pPr>
      <w:rPr>
        <w:rFonts w:ascii="Symbol" w:hAnsi="Symbol"/>
      </w:rPr>
    </w:lvl>
    <w:lvl w:ilvl="8" w:tplc="772EE8F9">
      <w:start w:val="1"/>
      <w:numFmt w:val="bullet"/>
      <w:suff w:val="tab"/>
      <w:lvlText w:val="·"/>
      <w:lvlJc w:val="left"/>
      <w:pPr>
        <w:ind w:hanging="360" w:left="6480"/>
      </w:pPr>
      <w:rPr>
        <w:rFonts w:ascii="Symbol" w:hAnsi="Symbol"/>
      </w:rPr>
    </w:lvl>
  </w:abstractNum>
  <w:abstractNum w:abstractNumId="152">
    <w:nsid w:val="13CAA105"/>
    <w:multiLevelType w:val="hybridMultilevel"/>
    <w:lvl w:ilvl="0" w:tplc="48834683">
      <w:start w:val="1"/>
      <w:numFmt w:val="bullet"/>
      <w:suff w:val="tab"/>
      <w:lvlText w:val="·"/>
      <w:lvlJc w:val="left"/>
      <w:pPr>
        <w:ind w:hanging="360" w:left="720"/>
      </w:pPr>
      <w:rPr>
        <w:rFonts w:ascii="Symbol" w:hAnsi="Symbol" w:cs="Symbol" w:eastAsia="Symbol"/>
      </w:rPr>
    </w:lvl>
    <w:lvl w:ilvl="1" w:tplc="19A3985A">
      <w:start w:val="1"/>
      <w:numFmt w:val="bullet"/>
      <w:suff w:val="tab"/>
      <w:lvlText w:val="o"/>
      <w:lvlJc w:val="left"/>
      <w:pPr>
        <w:ind w:hanging="360" w:left="1440"/>
      </w:pPr>
      <w:rPr>
        <w:rFonts w:ascii="Symbol" w:hAnsi="Symbol"/>
      </w:rPr>
    </w:lvl>
    <w:lvl w:ilvl="2" w:tplc="6B3A7F7B">
      <w:start w:val="1"/>
      <w:numFmt w:val="bullet"/>
      <w:suff w:val="tab"/>
      <w:lvlText w:val="·"/>
      <w:lvlJc w:val="left"/>
      <w:pPr>
        <w:ind w:hanging="360" w:left="2160"/>
      </w:pPr>
      <w:rPr>
        <w:rFonts w:ascii="Symbol" w:hAnsi="Symbol"/>
      </w:rPr>
    </w:lvl>
    <w:lvl w:ilvl="3" w:tplc="6B989128">
      <w:start w:val="1"/>
      <w:numFmt w:val="bullet"/>
      <w:suff w:val="tab"/>
      <w:lvlText w:val="o"/>
      <w:lvlJc w:val="left"/>
      <w:pPr>
        <w:ind w:hanging="360" w:left="2880"/>
      </w:pPr>
      <w:rPr>
        <w:rFonts w:ascii="Symbol" w:hAnsi="Symbol"/>
      </w:rPr>
    </w:lvl>
    <w:lvl w:ilvl="4" w:tplc="647EA947">
      <w:start w:val="1"/>
      <w:numFmt w:val="bullet"/>
      <w:suff w:val="tab"/>
      <w:lvlText w:val="·"/>
      <w:lvlJc w:val="left"/>
      <w:pPr>
        <w:ind w:hanging="360" w:left="3600"/>
      </w:pPr>
      <w:rPr>
        <w:rFonts w:ascii="Symbol" w:hAnsi="Symbol"/>
      </w:rPr>
    </w:lvl>
    <w:lvl w:ilvl="5" w:tplc="70557D90">
      <w:start w:val="1"/>
      <w:numFmt w:val="bullet"/>
      <w:suff w:val="tab"/>
      <w:lvlText w:val="o"/>
      <w:lvlJc w:val="left"/>
      <w:pPr>
        <w:ind w:hanging="360" w:left="4320"/>
      </w:pPr>
      <w:rPr>
        <w:rFonts w:ascii="Symbol" w:hAnsi="Symbol"/>
      </w:rPr>
    </w:lvl>
    <w:lvl w:ilvl="6" w:tplc="7F9BD8E8">
      <w:start w:val="1"/>
      <w:numFmt w:val="bullet"/>
      <w:suff w:val="tab"/>
      <w:lvlText w:val="·"/>
      <w:lvlJc w:val="left"/>
      <w:pPr>
        <w:ind w:hanging="360" w:left="5040"/>
      </w:pPr>
      <w:rPr>
        <w:rFonts w:ascii="Symbol" w:hAnsi="Symbol"/>
      </w:rPr>
    </w:lvl>
    <w:lvl w:ilvl="7" w:tplc="2B6D4FDB">
      <w:start w:val="1"/>
      <w:numFmt w:val="bullet"/>
      <w:suff w:val="tab"/>
      <w:lvlText w:val="o"/>
      <w:lvlJc w:val="left"/>
      <w:pPr>
        <w:ind w:hanging="360" w:left="5760"/>
      </w:pPr>
      <w:rPr>
        <w:rFonts w:ascii="Symbol" w:hAnsi="Symbol"/>
      </w:rPr>
    </w:lvl>
    <w:lvl w:ilvl="8" w:tplc="268B28E4">
      <w:start w:val="1"/>
      <w:numFmt w:val="bullet"/>
      <w:suff w:val="tab"/>
      <w:lvlText w:val="·"/>
      <w:lvlJc w:val="left"/>
      <w:pPr>
        <w:ind w:hanging="360" w:left="6480"/>
      </w:pPr>
      <w:rPr>
        <w:rFonts w:ascii="Symbol" w:hAnsi="Symbol"/>
      </w:rPr>
    </w:lvl>
  </w:abstractNum>
  <w:abstractNum w:abstractNumId="153">
    <w:nsid w:val="6429A90C"/>
    <w:multiLevelType w:val="hybridMultilevel"/>
    <w:lvl w:ilvl="0" w:tplc="6A9AE7AA">
      <w:start w:val="1"/>
      <w:numFmt w:val="bullet"/>
      <w:suff w:val="tab"/>
      <w:lvlText w:val="·"/>
      <w:lvlJc w:val="left"/>
      <w:pPr>
        <w:ind w:hanging="360" w:left="720"/>
      </w:pPr>
      <w:rPr>
        <w:rFonts w:ascii="Symbol" w:hAnsi="Symbol" w:cs="Symbol" w:eastAsia="Symbol"/>
      </w:rPr>
    </w:lvl>
    <w:lvl w:ilvl="1" w:tplc="55603691">
      <w:start w:val="1"/>
      <w:numFmt w:val="bullet"/>
      <w:suff w:val="tab"/>
      <w:lvlText w:val="o"/>
      <w:lvlJc w:val="left"/>
      <w:pPr>
        <w:ind w:hanging="360" w:left="1440"/>
      </w:pPr>
      <w:rPr>
        <w:rFonts w:ascii="Symbol" w:hAnsi="Symbol"/>
      </w:rPr>
    </w:lvl>
    <w:lvl w:ilvl="2" w:tplc="41223E74">
      <w:start w:val="1"/>
      <w:numFmt w:val="bullet"/>
      <w:suff w:val="tab"/>
      <w:lvlText w:val="·"/>
      <w:lvlJc w:val="left"/>
      <w:pPr>
        <w:ind w:hanging="360" w:left="2160"/>
      </w:pPr>
      <w:rPr>
        <w:rFonts w:ascii="Symbol" w:hAnsi="Symbol"/>
      </w:rPr>
    </w:lvl>
    <w:lvl w:ilvl="3" w:tplc="00B55AC1">
      <w:start w:val="1"/>
      <w:numFmt w:val="bullet"/>
      <w:suff w:val="tab"/>
      <w:lvlText w:val="o"/>
      <w:lvlJc w:val="left"/>
      <w:pPr>
        <w:ind w:hanging="360" w:left="2880"/>
      </w:pPr>
      <w:rPr>
        <w:rFonts w:ascii="Symbol" w:hAnsi="Symbol"/>
      </w:rPr>
    </w:lvl>
    <w:lvl w:ilvl="4" w:tplc="3F9EDCA6">
      <w:start w:val="1"/>
      <w:numFmt w:val="bullet"/>
      <w:suff w:val="tab"/>
      <w:lvlText w:val="·"/>
      <w:lvlJc w:val="left"/>
      <w:pPr>
        <w:ind w:hanging="360" w:left="3600"/>
      </w:pPr>
      <w:rPr>
        <w:rFonts w:ascii="Symbol" w:hAnsi="Symbol"/>
      </w:rPr>
    </w:lvl>
    <w:lvl w:ilvl="5" w:tplc="703F1E05">
      <w:start w:val="1"/>
      <w:numFmt w:val="bullet"/>
      <w:suff w:val="tab"/>
      <w:lvlText w:val="o"/>
      <w:lvlJc w:val="left"/>
      <w:pPr>
        <w:ind w:hanging="360" w:left="4320"/>
      </w:pPr>
      <w:rPr>
        <w:rFonts w:ascii="Symbol" w:hAnsi="Symbol"/>
      </w:rPr>
    </w:lvl>
    <w:lvl w:ilvl="6" w:tplc="5247E406">
      <w:start w:val="1"/>
      <w:numFmt w:val="bullet"/>
      <w:suff w:val="tab"/>
      <w:lvlText w:val="·"/>
      <w:lvlJc w:val="left"/>
      <w:pPr>
        <w:ind w:hanging="360" w:left="5040"/>
      </w:pPr>
      <w:rPr>
        <w:rFonts w:ascii="Symbol" w:hAnsi="Symbol"/>
      </w:rPr>
    </w:lvl>
    <w:lvl w:ilvl="7" w:tplc="5D1EEC90">
      <w:start w:val="1"/>
      <w:numFmt w:val="bullet"/>
      <w:suff w:val="tab"/>
      <w:lvlText w:val="o"/>
      <w:lvlJc w:val="left"/>
      <w:pPr>
        <w:ind w:hanging="360" w:left="5760"/>
      </w:pPr>
      <w:rPr>
        <w:rFonts w:ascii="Symbol" w:hAnsi="Symbol"/>
      </w:rPr>
    </w:lvl>
    <w:lvl w:ilvl="8" w:tplc="26589C26">
      <w:start w:val="1"/>
      <w:numFmt w:val="bullet"/>
      <w:suff w:val="tab"/>
      <w:lvlText w:val="·"/>
      <w:lvlJc w:val="left"/>
      <w:pPr>
        <w:ind w:hanging="360" w:left="6480"/>
      </w:pPr>
      <w:rPr>
        <w:rFonts w:ascii="Symbol" w:hAnsi="Symbol"/>
      </w:rPr>
    </w:lvl>
  </w:abstractNum>
  <w:abstractNum w:abstractNumId="154">
    <w:nsid w:val="2E94022B"/>
    <w:multiLevelType w:val="hybridMultilevel"/>
    <w:lvl w:ilvl="0" w:tplc="7C7EDCD5">
      <w:start w:val="1"/>
      <w:numFmt w:val="bullet"/>
      <w:suff w:val="tab"/>
      <w:lvlText w:val="·"/>
      <w:lvlJc w:val="left"/>
      <w:pPr>
        <w:ind w:hanging="360" w:left="720"/>
      </w:pPr>
      <w:rPr>
        <w:rFonts w:ascii="Symbol" w:hAnsi="Symbol" w:cs="Symbol" w:eastAsia="Symbol"/>
      </w:rPr>
    </w:lvl>
    <w:lvl w:ilvl="1" w:tplc="28F825A3">
      <w:start w:val="1"/>
      <w:numFmt w:val="bullet"/>
      <w:suff w:val="tab"/>
      <w:lvlText w:val="o"/>
      <w:lvlJc w:val="left"/>
      <w:pPr>
        <w:ind w:hanging="360" w:left="1440"/>
      </w:pPr>
      <w:rPr>
        <w:rFonts w:ascii="Symbol" w:hAnsi="Symbol"/>
      </w:rPr>
    </w:lvl>
    <w:lvl w:ilvl="2" w:tplc="45563529">
      <w:start w:val="1"/>
      <w:numFmt w:val="bullet"/>
      <w:suff w:val="tab"/>
      <w:lvlText w:val="·"/>
      <w:lvlJc w:val="left"/>
      <w:pPr>
        <w:ind w:hanging="360" w:left="2160"/>
      </w:pPr>
      <w:rPr>
        <w:rFonts w:ascii="Symbol" w:hAnsi="Symbol"/>
      </w:rPr>
    </w:lvl>
    <w:lvl w:ilvl="3" w:tplc="43633DA5">
      <w:start w:val="1"/>
      <w:numFmt w:val="bullet"/>
      <w:suff w:val="tab"/>
      <w:lvlText w:val="o"/>
      <w:lvlJc w:val="left"/>
      <w:pPr>
        <w:ind w:hanging="360" w:left="2880"/>
      </w:pPr>
      <w:rPr>
        <w:rFonts w:ascii="Symbol" w:hAnsi="Symbol"/>
      </w:rPr>
    </w:lvl>
    <w:lvl w:ilvl="4" w:tplc="7D40923E">
      <w:start w:val="1"/>
      <w:numFmt w:val="bullet"/>
      <w:suff w:val="tab"/>
      <w:lvlText w:val="·"/>
      <w:lvlJc w:val="left"/>
      <w:pPr>
        <w:ind w:hanging="360" w:left="3600"/>
      </w:pPr>
      <w:rPr>
        <w:rFonts w:ascii="Symbol" w:hAnsi="Symbol"/>
      </w:rPr>
    </w:lvl>
    <w:lvl w:ilvl="5" w:tplc="5CF0FB3C">
      <w:start w:val="1"/>
      <w:numFmt w:val="bullet"/>
      <w:suff w:val="tab"/>
      <w:lvlText w:val="o"/>
      <w:lvlJc w:val="left"/>
      <w:pPr>
        <w:ind w:hanging="360" w:left="4320"/>
      </w:pPr>
      <w:rPr>
        <w:rFonts w:ascii="Symbol" w:hAnsi="Symbol"/>
      </w:rPr>
    </w:lvl>
    <w:lvl w:ilvl="6" w:tplc="4D9986F5">
      <w:start w:val="1"/>
      <w:numFmt w:val="bullet"/>
      <w:suff w:val="tab"/>
      <w:lvlText w:val="·"/>
      <w:lvlJc w:val="left"/>
      <w:pPr>
        <w:ind w:hanging="360" w:left="5040"/>
      </w:pPr>
      <w:rPr>
        <w:rFonts w:ascii="Symbol" w:hAnsi="Symbol"/>
      </w:rPr>
    </w:lvl>
    <w:lvl w:ilvl="7" w:tplc="0F62D618">
      <w:start w:val="1"/>
      <w:numFmt w:val="bullet"/>
      <w:suff w:val="tab"/>
      <w:lvlText w:val="o"/>
      <w:lvlJc w:val="left"/>
      <w:pPr>
        <w:ind w:hanging="360" w:left="5760"/>
      </w:pPr>
      <w:rPr>
        <w:rFonts w:ascii="Symbol" w:hAnsi="Symbol"/>
      </w:rPr>
    </w:lvl>
    <w:lvl w:ilvl="8" w:tplc="3C1EA431">
      <w:start w:val="1"/>
      <w:numFmt w:val="bullet"/>
      <w:suff w:val="tab"/>
      <w:lvlText w:val="·"/>
      <w:lvlJc w:val="left"/>
      <w:pPr>
        <w:ind w:hanging="360" w:left="6480"/>
      </w:pPr>
      <w:rPr>
        <w:rFonts w:ascii="Symbol" w:hAnsi="Symbol"/>
      </w:rPr>
    </w:lvl>
  </w:abstractNum>
  <w:abstractNum w:abstractNumId="155">
    <w:nsid w:val="3CBB5B22"/>
    <w:multiLevelType w:val="hybridMultilevel"/>
    <w:lvl w:ilvl="0" w:tplc="10237584">
      <w:start w:val="1"/>
      <w:numFmt w:val="bullet"/>
      <w:suff w:val="tab"/>
      <w:lvlText w:val="·"/>
      <w:lvlJc w:val="left"/>
      <w:pPr>
        <w:ind w:hanging="360" w:left="720"/>
      </w:pPr>
      <w:rPr>
        <w:rFonts w:ascii="Symbol" w:hAnsi="Symbol" w:cs="Symbol" w:eastAsia="Symbol"/>
      </w:rPr>
    </w:lvl>
    <w:lvl w:ilvl="1" w:tplc="3847C663">
      <w:start w:val="1"/>
      <w:numFmt w:val="bullet"/>
      <w:suff w:val="tab"/>
      <w:lvlText w:val="o"/>
      <w:lvlJc w:val="left"/>
      <w:pPr>
        <w:ind w:hanging="360" w:left="1440"/>
      </w:pPr>
      <w:rPr>
        <w:rFonts w:ascii="Symbol" w:hAnsi="Symbol"/>
      </w:rPr>
    </w:lvl>
    <w:lvl w:ilvl="2" w:tplc="50509E91">
      <w:start w:val="1"/>
      <w:numFmt w:val="bullet"/>
      <w:suff w:val="tab"/>
      <w:lvlText w:val="·"/>
      <w:lvlJc w:val="left"/>
      <w:pPr>
        <w:ind w:hanging="360" w:left="2160"/>
      </w:pPr>
      <w:rPr>
        <w:rFonts w:ascii="Symbol" w:hAnsi="Symbol"/>
      </w:rPr>
    </w:lvl>
    <w:lvl w:ilvl="3" w:tplc="6D293939">
      <w:start w:val="1"/>
      <w:numFmt w:val="bullet"/>
      <w:suff w:val="tab"/>
      <w:lvlText w:val="o"/>
      <w:lvlJc w:val="left"/>
      <w:pPr>
        <w:ind w:hanging="360" w:left="2880"/>
      </w:pPr>
      <w:rPr>
        <w:rFonts w:ascii="Symbol" w:hAnsi="Symbol"/>
      </w:rPr>
    </w:lvl>
    <w:lvl w:ilvl="4" w:tplc="7EC6894C">
      <w:start w:val="1"/>
      <w:numFmt w:val="bullet"/>
      <w:suff w:val="tab"/>
      <w:lvlText w:val="·"/>
      <w:lvlJc w:val="left"/>
      <w:pPr>
        <w:ind w:hanging="360" w:left="3600"/>
      </w:pPr>
      <w:rPr>
        <w:rFonts w:ascii="Symbol" w:hAnsi="Symbol"/>
      </w:rPr>
    </w:lvl>
    <w:lvl w:ilvl="5" w:tplc="30EB5ADC">
      <w:start w:val="1"/>
      <w:numFmt w:val="bullet"/>
      <w:suff w:val="tab"/>
      <w:lvlText w:val="o"/>
      <w:lvlJc w:val="left"/>
      <w:pPr>
        <w:ind w:hanging="360" w:left="4320"/>
      </w:pPr>
      <w:rPr>
        <w:rFonts w:ascii="Symbol" w:hAnsi="Symbol"/>
      </w:rPr>
    </w:lvl>
    <w:lvl w:ilvl="6" w:tplc="6ABC4E5E">
      <w:start w:val="1"/>
      <w:numFmt w:val="bullet"/>
      <w:suff w:val="tab"/>
      <w:lvlText w:val="·"/>
      <w:lvlJc w:val="left"/>
      <w:pPr>
        <w:ind w:hanging="360" w:left="5040"/>
      </w:pPr>
      <w:rPr>
        <w:rFonts w:ascii="Symbol" w:hAnsi="Symbol"/>
      </w:rPr>
    </w:lvl>
    <w:lvl w:ilvl="7" w:tplc="2AE49E7C">
      <w:start w:val="1"/>
      <w:numFmt w:val="bullet"/>
      <w:suff w:val="tab"/>
      <w:lvlText w:val="o"/>
      <w:lvlJc w:val="left"/>
      <w:pPr>
        <w:ind w:hanging="360" w:left="5760"/>
      </w:pPr>
      <w:rPr>
        <w:rFonts w:ascii="Symbol" w:hAnsi="Symbol"/>
      </w:rPr>
    </w:lvl>
    <w:lvl w:ilvl="8" w:tplc="06B8898A">
      <w:start w:val="1"/>
      <w:numFmt w:val="bullet"/>
      <w:suff w:val="tab"/>
      <w:lvlText w:val="·"/>
      <w:lvlJc w:val="left"/>
      <w:pPr>
        <w:ind w:hanging="360" w:left="6480"/>
      </w:pPr>
      <w:rPr>
        <w:rFonts w:ascii="Symbol" w:hAnsi="Symbol"/>
      </w:rPr>
    </w:lvl>
  </w:abstractNum>
  <w:num w:numId="1">
    <w:abstractNumId w:val="45"/>
  </w:num>
  <w:num w:numId="2">
    <w:abstractNumId w:val="43"/>
  </w:num>
  <w:num w:numId="3">
    <w:abstractNumId w:val="44"/>
  </w:num>
  <w:num w:numId="4">
    <w:abstractNumId w:val="20"/>
  </w:num>
  <w:num w:numId="5">
    <w:abstractNumId w:val="15"/>
  </w:num>
  <w:num w:numId="6">
    <w:abstractNumId w:val="27"/>
  </w:num>
  <w:num w:numId="7">
    <w:abstractNumId w:val="28"/>
  </w:num>
  <w:num w:numId="8">
    <w:abstractNumId w:val="41"/>
  </w:num>
  <w:num w:numId="9">
    <w:abstractNumId w:val="16"/>
  </w:num>
  <w:num w:numId="10">
    <w:abstractNumId w:val="18"/>
  </w:num>
  <w:num w:numId="11">
    <w:abstractNumId w:val="12"/>
  </w:num>
  <w:num w:numId="12">
    <w:abstractNumId w:val="30"/>
  </w:num>
  <w:num w:numId="13">
    <w:abstractNumId w:val="39"/>
  </w:num>
  <w:num w:numId="14">
    <w:abstractNumId w:val="11"/>
  </w:num>
  <w:num w:numId="15">
    <w:abstractNumId w:val="42"/>
  </w:num>
  <w:num w:numId="16">
    <w:abstractNumId w:val="5"/>
  </w:num>
  <w:num w:numId="17">
    <w:abstractNumId w:val="33"/>
  </w:num>
  <w:num w:numId="18">
    <w:abstractNumId w:val="31"/>
  </w:num>
  <w:num w:numId="19">
    <w:abstractNumId w:val="6"/>
  </w:num>
  <w:num w:numId="20">
    <w:abstractNumId w:val="7"/>
  </w:num>
  <w:num w:numId="21">
    <w:abstractNumId w:val="14"/>
  </w:num>
  <w:num w:numId="22">
    <w:abstractNumId w:val="0"/>
  </w:num>
  <w:num w:numId="23">
    <w:abstractNumId w:val="37"/>
  </w:num>
  <w:num w:numId="24">
    <w:abstractNumId w:val="38"/>
  </w:num>
  <w:num w:numId="25">
    <w:abstractNumId w:val="1"/>
  </w:num>
  <w:num w:numId="26">
    <w:abstractNumId w:val="9"/>
  </w:num>
  <w:num w:numId="27">
    <w:abstractNumId w:val="34"/>
  </w:num>
  <w:num w:numId="28">
    <w:abstractNumId w:val="46"/>
  </w:num>
  <w:num w:numId="29">
    <w:abstractNumId w:val="21"/>
  </w:num>
  <w:num w:numId="30">
    <w:abstractNumId w:val="40"/>
  </w:num>
  <w:num w:numId="31">
    <w:abstractNumId w:val="23"/>
  </w:num>
  <w:num w:numId="32">
    <w:abstractNumId w:val="29"/>
  </w:num>
  <w:num w:numId="33">
    <w:abstractNumId w:val="25"/>
  </w:num>
  <w:num w:numId="34">
    <w:abstractNumId w:val="39"/>
  </w:num>
  <w:num w:numId="3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41"/>
  </w:num>
  <w:num w:numId="38">
    <w:abstractNumId w:val="2"/>
  </w:num>
  <w:num w:numId="39">
    <w:abstractNumId w:val="10"/>
  </w:num>
  <w:num w:numId="40">
    <w:abstractNumId w:val="13"/>
  </w:num>
  <w:num w:numId="41">
    <w:abstractNumId w:val="24"/>
  </w:num>
  <w:num w:numId="42">
    <w:abstractNumId w:val="19"/>
  </w:num>
  <w:num w:numId="43">
    <w:abstractNumId w:val="32"/>
  </w:num>
  <w:num w:numId="44">
    <w:abstractNumId w:val="3"/>
  </w:num>
  <w:num w:numId="45">
    <w:abstractNumId w:val="35"/>
  </w:num>
  <w:num w:numId="46">
    <w:abstractNumId w:val="26"/>
  </w:num>
  <w:num w:numId="47">
    <w:abstractNumId w:val="4"/>
  </w:num>
  <w:num w:numId="48">
    <w:abstractNumId w:val="22"/>
  </w:num>
  <w:num w:numId="49">
    <w:abstractNumId w:val="36"/>
  </w:num>
  <w:num w:numId="50">
    <w:abstractNumId w:val="17"/>
  </w:num>
  <w:num w:numId="51">
    <w:abstractNumId w:val="48"/>
  </w:num>
  <w:num w:numId="52">
    <w:abstractNumId w:val="49"/>
  </w:num>
  <w:num w:numId="53">
    <w:abstractNumId w:val="50"/>
  </w:num>
  <w:num w:numId="54">
    <w:abstractNumId w:val="51"/>
  </w:num>
  <w:num w:numId="55">
    <w:abstractNumId w:val="52"/>
  </w:num>
  <w:num w:numId="56">
    <w:abstractNumId w:val="53"/>
  </w:num>
  <w:num w:numId="57">
    <w:abstractNumId w:val="54"/>
  </w:num>
  <w:num w:numId="58">
    <w:abstractNumId w:val="55"/>
  </w:num>
  <w:num w:numId="59">
    <w:abstractNumId w:val="56"/>
  </w:num>
  <w:num w:numId="60">
    <w:abstractNumId w:val="57"/>
  </w:num>
  <w:num w:numId="61">
    <w:abstractNumId w:val="58"/>
  </w:num>
  <w:num w:numId="62">
    <w:abstractNumId w:val="59"/>
  </w:num>
  <w:num w:numId="63">
    <w:abstractNumId w:val="60"/>
  </w:num>
  <w:num w:numId="64">
    <w:abstractNumId w:val="61"/>
  </w:num>
  <w:num w:numId="65">
    <w:abstractNumId w:val="62"/>
  </w:num>
  <w:num w:numId="66">
    <w:abstractNumId w:val="63"/>
  </w:num>
  <w:num w:numId="67">
    <w:abstractNumId w:val="64"/>
  </w:num>
  <w:num w:numId="68">
    <w:abstractNumId w:val="65"/>
  </w:num>
  <w:num w:numId="69">
    <w:abstractNumId w:val="66"/>
  </w:num>
  <w:num w:numId="70">
    <w:abstractNumId w:val="67"/>
  </w:num>
  <w:num w:numId="71">
    <w:abstractNumId w:val="68"/>
  </w:num>
  <w:num w:numId="72">
    <w:abstractNumId w:val="69"/>
  </w:num>
  <w:num w:numId="73">
    <w:abstractNumId w:val="70"/>
  </w:num>
  <w:num w:numId="74">
    <w:abstractNumId w:val="71"/>
  </w:num>
  <w:num w:numId="75">
    <w:abstractNumId w:val="72"/>
  </w:num>
  <w:num w:numId="76">
    <w:abstractNumId w:val="73"/>
  </w:num>
  <w:num w:numId="77">
    <w:abstractNumId w:val="74"/>
  </w:num>
  <w:num w:numId="78">
    <w:abstractNumId w:val="75"/>
  </w:num>
  <w:num w:numId="79">
    <w:abstractNumId w:val="76"/>
  </w:num>
  <w:num w:numId="80">
    <w:abstractNumId w:val="77"/>
  </w:num>
  <w:num w:numId="81">
    <w:abstractNumId w:val="78"/>
  </w:num>
  <w:num w:numId="82">
    <w:abstractNumId w:val="79"/>
  </w:num>
  <w:num w:numId="83">
    <w:abstractNumId w:val="80"/>
  </w:num>
  <w:num w:numId="84">
    <w:abstractNumId w:val="81"/>
  </w:num>
  <w:num w:numId="85">
    <w:abstractNumId w:val="82"/>
  </w:num>
  <w:num w:numId="86">
    <w:abstractNumId w:val="83"/>
  </w:num>
  <w:num w:numId="87">
    <w:abstractNumId w:val="84"/>
  </w:num>
  <w:num w:numId="88">
    <w:abstractNumId w:val="85"/>
  </w:num>
  <w:num w:numId="89">
    <w:abstractNumId w:val="86"/>
  </w:num>
  <w:num w:numId="90">
    <w:abstractNumId w:val="87"/>
  </w:num>
  <w:num w:numId="91">
    <w:abstractNumId w:val="88"/>
  </w:num>
  <w:num w:numId="92">
    <w:abstractNumId w:val="89"/>
  </w:num>
  <w:num w:numId="93">
    <w:abstractNumId w:val="90"/>
  </w:num>
  <w:num w:numId="94">
    <w:abstractNumId w:val="91"/>
  </w:num>
  <w:num w:numId="95">
    <w:abstractNumId w:val="92"/>
  </w:num>
  <w:num w:numId="96">
    <w:abstractNumId w:val="93"/>
  </w:num>
  <w:num w:numId="97">
    <w:abstractNumId w:val="94"/>
  </w:num>
  <w:num w:numId="98">
    <w:abstractNumId w:val="95"/>
  </w:num>
  <w:num w:numId="99">
    <w:abstractNumId w:val="96"/>
  </w:num>
  <w:num w:numId="100">
    <w:abstractNumId w:val="97"/>
  </w:num>
  <w:num w:numId="101">
    <w:abstractNumId w:val="98"/>
  </w:num>
  <w:num w:numId="102">
    <w:abstractNumId w:val="99"/>
  </w:num>
  <w:num w:numId="103">
    <w:abstractNumId w:val="100"/>
  </w:num>
  <w:num w:numId="104">
    <w:abstractNumId w:val="101"/>
  </w:num>
  <w:num w:numId="105">
    <w:abstractNumId w:val="102"/>
  </w:num>
  <w:num w:numId="106">
    <w:abstractNumId w:val="103"/>
  </w:num>
  <w:num w:numId="107">
    <w:abstractNumId w:val="104"/>
  </w:num>
  <w:num w:numId="108">
    <w:abstractNumId w:val="105"/>
  </w:num>
  <w:num w:numId="109">
    <w:abstractNumId w:val="106"/>
  </w:num>
  <w:num w:numId="110">
    <w:abstractNumId w:val="107"/>
  </w:num>
  <w:num w:numId="111">
    <w:abstractNumId w:val="108"/>
  </w:num>
  <w:num w:numId="112">
    <w:abstractNumId w:val="109"/>
  </w:num>
  <w:num w:numId="113">
    <w:abstractNumId w:val="110"/>
  </w:num>
  <w:num w:numId="114">
    <w:abstractNumId w:val="111"/>
  </w:num>
  <w:num w:numId="115">
    <w:abstractNumId w:val="112"/>
  </w:num>
  <w:num w:numId="116">
    <w:abstractNumId w:val="113"/>
  </w:num>
  <w:num w:numId="117">
    <w:abstractNumId w:val="114"/>
  </w:num>
  <w:num w:numId="118">
    <w:abstractNumId w:val="115"/>
  </w:num>
  <w:num w:numId="119">
    <w:abstractNumId w:val="116"/>
  </w:num>
  <w:num w:numId="120">
    <w:abstractNumId w:val="117"/>
  </w:num>
  <w:num w:numId="121">
    <w:abstractNumId w:val="118"/>
  </w:num>
  <w:num w:numId="122">
    <w:abstractNumId w:val="119"/>
  </w:num>
  <w:num w:numId="123">
    <w:abstractNumId w:val="120"/>
  </w:num>
  <w:num w:numId="124">
    <w:abstractNumId w:val="121"/>
  </w:num>
  <w:num w:numId="125">
    <w:abstractNumId w:val="122"/>
  </w:num>
  <w:num w:numId="126">
    <w:abstractNumId w:val="123"/>
  </w:num>
  <w:num w:numId="127">
    <w:abstractNumId w:val="124"/>
  </w:num>
  <w:num w:numId="128">
    <w:abstractNumId w:val="125"/>
  </w:num>
  <w:num w:numId="129">
    <w:abstractNumId w:val="126"/>
  </w:num>
  <w:num w:numId="130">
    <w:abstractNumId w:val="127"/>
  </w:num>
  <w:num w:numId="131">
    <w:abstractNumId w:val="128"/>
  </w:num>
  <w:num w:numId="132">
    <w:abstractNumId w:val="129"/>
  </w:num>
  <w:num w:numId="133">
    <w:abstractNumId w:val="130"/>
  </w:num>
  <w:num w:numId="134">
    <w:abstractNumId w:val="131"/>
  </w:num>
  <w:num w:numId="135">
    <w:abstractNumId w:val="132"/>
  </w:num>
  <w:num w:numId="136">
    <w:abstractNumId w:val="133"/>
  </w:num>
  <w:num w:numId="137">
    <w:abstractNumId w:val="134"/>
  </w:num>
  <w:num w:numId="138">
    <w:abstractNumId w:val="135"/>
  </w:num>
  <w:num w:numId="139">
    <w:abstractNumId w:val="136"/>
  </w:num>
  <w:num w:numId="140">
    <w:abstractNumId w:val="137"/>
  </w:num>
  <w:num w:numId="141">
    <w:abstractNumId w:val="138"/>
  </w:num>
  <w:num w:numId="142">
    <w:abstractNumId w:val="139"/>
  </w:num>
  <w:num w:numId="143">
    <w:abstractNumId w:val="140"/>
  </w:num>
  <w:num w:numId="144">
    <w:abstractNumId w:val="141"/>
  </w:num>
  <w:num w:numId="145">
    <w:abstractNumId w:val="142"/>
  </w:num>
  <w:num w:numId="146">
    <w:abstractNumId w:val="143"/>
  </w:num>
  <w:num w:numId="147">
    <w:abstractNumId w:val="144"/>
  </w:num>
  <w:num w:numId="148">
    <w:abstractNumId w:val="145"/>
  </w:num>
  <w:num w:numId="149">
    <w:abstractNumId w:val="146"/>
  </w:num>
  <w:num w:numId="150">
    <w:abstractNumId w:val="147"/>
  </w:num>
  <w:num w:numId="151">
    <w:abstractNumId w:val="148"/>
  </w:num>
  <w:num w:numId="152">
    <w:abstractNumId w:val="149"/>
  </w:num>
  <w:num w:numId="153">
    <w:abstractNumId w:val="150"/>
  </w:num>
  <w:num w:numId="154">
    <w:abstractNumId w:val="151"/>
  </w:num>
  <w:num w:numId="155">
    <w:abstractNumId w:val="152"/>
  </w:num>
  <w:num w:numId="156">
    <w:abstractNumId w:val="153"/>
  </w:num>
  <w:num w:numId="157">
    <w:abstractNumId w:val="154"/>
  </w:num>
  <w:num w:numId="158">
    <w:abstractNumId w:val="155"/>
  </w:num>
</w:numbering>
</file>

<file path=word/settings.xml><?xml version="1.0" encoding="utf-8"?>
<w:settings xmlns:w="http://schemas.openxmlformats.org/wordprocessingml/2006/main">
  <w:displayBackgroundShape w:val="0"/>
  <w:defaultTabStop w:val="480"/>
  <w:autoHyphenation w:val="0"/>
  <w:hyphenationZone w:val="425"/>
  <w:evenAndOddHeaders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C0FF6D0F-116B-40E5-9E83-49EFFF2DE422}"/>
    <w:docVar w:name="dgnword-eventsink" w:val="134515144"/>
  </w:docVars>
  <w:clrSchemeMapping w:bg1="light1" w:t1="dark1" w:bg2="light2" w:t2="dark2" w:accent1="accent1" w:accent2="accent2" w:accent3="accent3" w:accent4="accent4" w:accent5="accent5" w:accent6="accent6" w:hyperlink="hyperlink" w:followedHyperlink="followedHyperlink"/>
  <w:footnotePr>
    <w:footnote w:id="-1"/>
    <w:footnote w:id="0"/>
  </w:footnotePr>
  <w:endnotePr>
    <w:endnote w:id="-1"/>
    <w:endnote w:id="0"/>
  </w:endnotePr>
</w:settings>
</file>

<file path=word/styles.xml><?xml version="1.0" encoding="utf-8"?>
<w:styles xmlns:w="http://schemas.openxmlformats.org/wordprocessingml/2006/main">
  <w:docDefaults>
    <w:rPrDefault>
      <w:rPr>
        <w:rFonts w:ascii="Arial" w:hAnsi="Arial" w:cs="Arial" w:eastAsia="Calibri"/>
        <w:sz w:val="20"/>
        <w:szCs w:val="22"/>
        <w:lang w:val="de-DE" w:bidi="ar-SA" w:eastAsia="de-DE"/>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rFonts w:ascii="Times New Roman" w:hAnsi="Times New Roman" w:eastAsia="Times New Roman"/>
      <w:strike w:val="0"/>
      <w:lang w:bidi="he-IL"/>
    </w:rPr>
  </w:style>
  <w:style w:type="paragraph" w:styleId="P1">
    <w:name w:val="Heading 1"/>
    <w:basedOn w:val="P0"/>
    <w:next w:val="P0"/>
    <w:qFormat/>
    <w:pPr>
      <w:keepNext w:val="1"/>
      <w:outlineLvl w:val="0"/>
    </w:pPr>
    <w:rPr>
      <w:rFonts w:ascii="Arial" w:hAnsi="Arial"/>
      <w:b w:val="1"/>
      <w:bCs w:val="1"/>
    </w:rPr>
  </w:style>
  <w:style w:type="paragraph" w:styleId="P2">
    <w:name w:val="Heading 5"/>
    <w:basedOn w:val="P0"/>
    <w:next w:val="P0"/>
    <w:link w:val="C14"/>
    <w:semiHidden/>
    <w:qFormat/>
    <w:pPr>
      <w:keepNext w:val="1"/>
      <w:keepLines w:val="1"/>
      <w:spacing w:before="200" w:beforeAutospacing="0" w:afterAutospacing="0"/>
      <w:outlineLvl w:val="4"/>
    </w:pPr>
    <w:rPr>
      <w:rFonts w:ascii="Cambria" w:hAnsi="Cambria"/>
      <w:color w:val="243F60"/>
    </w:rPr>
  </w:style>
  <w:style w:type="paragraph" w:styleId="P3">
    <w:name w:val="Heading 6"/>
    <w:basedOn w:val="P0"/>
    <w:next w:val="P0"/>
    <w:qFormat/>
    <w:pPr>
      <w:keepNext w:val="1"/>
      <w:keepLines w:val="1"/>
      <w:spacing w:before="200" w:beforeAutospacing="0" w:afterAutospacing="0"/>
      <w:outlineLvl w:val="5"/>
    </w:pPr>
    <w:rPr>
      <w:rFonts w:ascii="Cambria" w:hAnsi="Cambria"/>
      <w:i w:val="1"/>
      <w:iCs w:val="1"/>
      <w:color w:val="243F60"/>
    </w:rPr>
  </w:style>
  <w:style w:type="paragraph" w:styleId="P4">
    <w:name w:val="Header"/>
    <w:aliases w:val="Unterstreichen,Unterstreichen Char"/>
    <w:basedOn w:val="P0"/>
    <w:link w:val="C15"/>
    <w:pPr>
      <w:tabs>
        <w:tab w:val="center" w:pos="4536" w:leader="none"/>
        <w:tab w:val="right" w:pos="9072" w:leader="none"/>
      </w:tabs>
    </w:pPr>
    <w:rPr/>
  </w:style>
  <w:style w:type="paragraph" w:styleId="P5">
    <w:name w:val="Plain Text"/>
    <w:basedOn w:val="P0"/>
    <w:semiHidden/>
    <w:pPr/>
    <w:rPr>
      <w:rFonts w:ascii="Courier New" w:hAnsi="Courier New"/>
    </w:rPr>
  </w:style>
  <w:style w:type="paragraph" w:styleId="P6">
    <w:name w:val="Body Text 3"/>
    <w:basedOn w:val="P0"/>
    <w:pPr/>
    <w:rPr>
      <w:rFonts w:ascii="Arial" w:hAnsi="Arial" w:cs="Arial"/>
      <w:color w:val="FF0000"/>
    </w:rPr>
  </w:style>
  <w:style w:type="paragraph" w:styleId="P7">
    <w:name w:val="Footer"/>
    <w:basedOn w:val="P0"/>
    <w:pPr>
      <w:tabs>
        <w:tab w:val="center" w:pos="4536" w:leader="none"/>
        <w:tab w:val="right" w:pos="9072" w:leader="none"/>
      </w:tabs>
    </w:pPr>
    <w:rPr/>
  </w:style>
  <w:style w:type="paragraph" w:styleId="P8">
    <w:name w:val="Balloon Text"/>
    <w:basedOn w:val="P0"/>
    <w:semiHidden/>
    <w:pPr/>
    <w:rPr>
      <w:rFonts w:ascii="Tahoma" w:hAnsi="Tahoma" w:cs="Tahoma"/>
      <w:sz w:val="16"/>
      <w:szCs w:val="16"/>
    </w:rPr>
  </w:style>
  <w:style w:type="paragraph" w:styleId="P9">
    <w:name w:val="List Paragraph"/>
    <w:basedOn w:val="P0"/>
    <w:qFormat/>
    <w:pPr>
      <w:ind w:left="708"/>
    </w:pPr>
    <w:rPr/>
  </w:style>
  <w:style w:type="paragraph" w:styleId="P10">
    <w:name w:val="Body Text"/>
    <w:basedOn w:val="P0"/>
    <w:pPr>
      <w:spacing w:after="120" w:beforeAutospacing="0" w:afterAutospacing="0"/>
    </w:pPr>
    <w:rPr/>
  </w:style>
  <w:style w:type="paragraph" w:styleId="P11">
    <w:name w:val="Einrückung"/>
    <w:basedOn w:val="P0"/>
    <w:pPr>
      <w:ind w:left="680"/>
      <w:jc w:val="both"/>
    </w:pPr>
    <w:rPr>
      <w:rFonts w:ascii="Arial" w:hAnsi="Arial"/>
      <w:sz w:val="22"/>
      <w:lang w:bidi="ar-SA"/>
    </w:rPr>
  </w:style>
  <w:style w:type="paragraph" w:styleId="P12">
    <w:name w:val="StandartAbst"/>
    <w:basedOn w:val="P0"/>
    <w:pPr>
      <w:spacing w:before="40" w:after="40" w:beforeAutospacing="0" w:afterAutospacing="0"/>
    </w:pPr>
    <w:rPr>
      <w:rFonts w:ascii="FuturaLight" w:hAnsi="FuturaLight"/>
      <w:sz w:val="18"/>
      <w:lang w:bidi="ar-SA"/>
    </w:rPr>
  </w:style>
  <w:style w:type="paragraph" w:styleId="P13">
    <w:name w:val="Revision"/>
    <w:hidden/>
    <w:semiHidden/>
    <w:pPr/>
    <w:rPr>
      <w:rFonts w:ascii="Times New Roman" w:hAnsi="Times New Roman" w:eastAsia="Times New Roman"/>
      <w:lang w:bidi="he-IL"/>
    </w:rPr>
  </w:style>
  <w:style w:type="paragraph" w:styleId="P14">
    <w:name w:val="annotation text"/>
    <w:basedOn w:val="P0"/>
    <w:link w:val="C13"/>
    <w:pPr/>
    <w:rPr/>
  </w:style>
  <w:style w:type="paragraph" w:styleId="P15">
    <w:name w:val="No Spacing"/>
    <w:qFormat/>
    <w:pPr/>
    <w:rPr>
      <w:rFonts w:ascii="Times New Roman" w:hAnsi="Times New Roman" w:eastAsia="Times New Roman"/>
      <w:lang w:bidi="he-IL"/>
    </w:rPr>
  </w:style>
  <w:style w:type="paragraph" w:styleId="P16">
    <w:name w:val="Normal (Web)"/>
    <w:basedOn w:val="P0"/>
    <w:pPr>
      <w:spacing w:before="100" w:after="100" w:beforeAutospacing="1" w:afterAutospacing="1"/>
    </w:pPr>
    <w:rPr>
      <w:rFonts w:eastAsia="Calibri"/>
      <w:sz w:val="24"/>
      <w:szCs w:val="24"/>
      <w:lang w:bidi="ar-SA"/>
    </w:rPr>
  </w:style>
  <w:style w:type="paragraph" w:styleId="P17">
    <w:name w:val="Default"/>
    <w:pPr/>
    <w:rPr>
      <w:rFonts w:ascii="Arial" w:hAnsi="Arial" w:cs="Arial"/>
      <w:color w:val="000000"/>
      <w:sz w:val="24"/>
      <w:szCs w:val="24"/>
    </w:rPr>
  </w:style>
  <w:style w:type="paragraph" w:styleId="P18">
    <w:name w:val="annotation subject"/>
    <w:basedOn w:val="P14"/>
    <w:next w:val="P14"/>
    <w:link w:val="C16"/>
    <w:semiHidden/>
    <w:pPr/>
    <w:rPr>
      <w:b w:val="1"/>
      <w:bCs w:val="1"/>
    </w:rPr>
  </w:style>
  <w:style w:type="paragraph" w:styleId="P19">
    <w:name w:val="Footnote Text"/>
    <w:link w:val="C23"/>
    <w:semiHidden/>
    <w:pPr>
      <w:spacing w:lineRule="auto" w:line="240" w:after="0"/>
    </w:pPr>
    <w:rPr>
      <w:sz w:val="20"/>
      <w:szCs w:val="20"/>
    </w:rPr>
  </w:style>
  <w:style w:type="paragraph" w:styleId="P20">
    <w:name w:val="Endnote Text"/>
    <w:link w:val="C25"/>
    <w:semiHidden/>
    <w:pPr>
      <w:spacing w:lineRule="auto" w:line="240" w:after="0"/>
    </w:pPr>
    <w:rPr>
      <w:sz w:val="20"/>
      <w:szCs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Kopfzeile Zchn"/>
    <w:aliases w:val="Unterstreichen Zchn,Unterstreichen Char Zchn"/>
    <w:rPr>
      <w:rFonts w:ascii="Times New Roman" w:hAnsi="Times New Roman" w:cs="Times New Roman" w:eastAsia="Times New Roman"/>
      <w:sz w:val="20"/>
      <w:szCs w:val="20"/>
      <w:lang w:bidi="he-IL" w:eastAsia="de-DE"/>
    </w:rPr>
  </w:style>
  <w:style w:type="character" w:styleId="C4">
    <w:name w:val="Überschrift 1 Zchn"/>
    <w:rPr>
      <w:rFonts w:ascii="Arial" w:hAnsi="Arial" w:cs="Times New Roman" w:eastAsia="Times New Roman"/>
      <w:b w:val="1"/>
      <w:bCs w:val="1"/>
      <w:sz w:val="20"/>
      <w:szCs w:val="20"/>
      <w:lang w:bidi="he-IL" w:eastAsia="de-DE"/>
    </w:rPr>
  </w:style>
  <w:style w:type="character" w:styleId="C5">
    <w:name w:val="Nur Text Zchn"/>
    <w:rPr>
      <w:rFonts w:ascii="Courier New" w:hAnsi="Courier New" w:cs="Times New Roman" w:eastAsia="Times New Roman"/>
      <w:sz w:val="20"/>
      <w:szCs w:val="20"/>
      <w:lang w:bidi="he-IL" w:eastAsia="de-DE"/>
    </w:rPr>
  </w:style>
  <w:style w:type="character" w:styleId="C6">
    <w:name w:val="Textkörper 3 Zchn"/>
    <w:rPr>
      <w:rFonts w:ascii="Arial" w:hAnsi="Arial" w:cs="Arial" w:eastAsia="Times New Roman"/>
      <w:color w:val="FF0000"/>
      <w:sz w:val="20"/>
      <w:szCs w:val="20"/>
      <w:lang w:bidi="he-IL" w:eastAsia="de-DE"/>
    </w:rPr>
  </w:style>
  <w:style w:type="character" w:styleId="C7">
    <w:name w:val="Fußzeile Zchn"/>
    <w:rPr>
      <w:rFonts w:ascii="Times New Roman" w:hAnsi="Times New Roman" w:cs="Times New Roman" w:eastAsia="Times New Roman"/>
      <w:sz w:val="20"/>
      <w:szCs w:val="20"/>
      <w:lang w:bidi="he-IL" w:eastAsia="de-DE"/>
    </w:rPr>
  </w:style>
  <w:style w:type="character" w:styleId="C8">
    <w:name w:val="Überschrift 6 Zchn"/>
    <w:semiHidden/>
    <w:rPr>
      <w:rFonts w:ascii="Cambria" w:hAnsi="Cambria" w:cs="Times New Roman" w:eastAsia="Times New Roman"/>
      <w:i w:val="1"/>
      <w:iCs w:val="1"/>
      <w:color w:val="243F60"/>
      <w:sz w:val="20"/>
      <w:szCs w:val="20"/>
      <w:lang w:bidi="he-IL" w:eastAsia="de-DE"/>
    </w:rPr>
  </w:style>
  <w:style w:type="character" w:styleId="C9">
    <w:name w:val="Page Number"/>
    <w:basedOn w:val="C0"/>
    <w:semiHidden/>
    <w:rPr/>
  </w:style>
  <w:style w:type="character" w:styleId="C10">
    <w:name w:val="Sprechblasentext Zchn"/>
    <w:semiHidden/>
    <w:rPr>
      <w:rFonts w:ascii="Tahoma" w:hAnsi="Tahoma" w:cs="Tahoma" w:eastAsia="Times New Roman"/>
      <w:sz w:val="16"/>
      <w:szCs w:val="16"/>
      <w:lang w:bidi="he-IL" w:eastAsia="de-DE"/>
    </w:rPr>
  </w:style>
  <w:style w:type="character" w:styleId="C11">
    <w:name w:val="Textkörper Zchn"/>
    <w:rPr>
      <w:rFonts w:ascii="Times New Roman" w:hAnsi="Times New Roman" w:eastAsia="Times New Roman"/>
      <w:lang w:bidi="he-IL"/>
    </w:rPr>
  </w:style>
  <w:style w:type="character" w:styleId="C12">
    <w:name w:val="annotation reference"/>
    <w:semiHidden/>
    <w:rPr>
      <w:sz w:val="16"/>
      <w:szCs w:val="16"/>
    </w:rPr>
  </w:style>
  <w:style w:type="character" w:styleId="C13">
    <w:name w:val="Comment Text Char"/>
    <w:link w:val="P14"/>
    <w:rPr>
      <w:rFonts w:ascii="Times New Roman" w:hAnsi="Times New Roman" w:eastAsia="Times New Roman"/>
      <w:lang w:bidi="he-IL"/>
    </w:rPr>
  </w:style>
  <w:style w:type="character" w:styleId="C14">
    <w:name w:val="Heading 5 Char"/>
    <w:link w:val="P2"/>
    <w:semiHidden/>
    <w:rPr>
      <w:rFonts w:ascii="Cambria" w:hAnsi="Cambria" w:cs="Times New Roman" w:eastAsia="Times New Roman"/>
      <w:color w:val="243F60"/>
      <w:lang w:bidi="he-IL"/>
    </w:rPr>
  </w:style>
  <w:style w:type="character" w:styleId="C15">
    <w:name w:val="Header Char"/>
    <w:aliases w:val="Unterstreichen Char1,Unterstreichen Char Char"/>
    <w:link w:val="P4"/>
    <w:rPr>
      <w:rFonts w:ascii="Times New Roman" w:hAnsi="Times New Roman" w:eastAsia="Times New Roman"/>
      <w:lang w:bidi="he-IL"/>
    </w:rPr>
  </w:style>
  <w:style w:type="character" w:styleId="C16">
    <w:name w:val="Comment Subject Char"/>
    <w:basedOn w:val="C13"/>
    <w:link w:val="P18"/>
    <w:semiHidden/>
    <w:rPr>
      <w:rFonts w:ascii="Times New Roman" w:hAnsi="Times New Roman" w:eastAsia="Times New Roman"/>
      <w:b w:val="1"/>
      <w:bCs w:val="1"/>
      <w:lang w:bidi="he-IL"/>
    </w:rPr>
  </w:style>
  <w:style w:type="character" w:styleId="C17">
    <w:name w:val="member-zip"/>
    <w:basedOn w:val="C0"/>
    <w:rPr/>
  </w:style>
  <w:style w:type="character" w:styleId="C18">
    <w:name w:val="member-city"/>
    <w:basedOn w:val="C0"/>
    <w:rPr/>
  </w:style>
  <w:style w:type="character" w:styleId="C19">
    <w:name w:val="FollowedHyperlink"/>
    <w:basedOn w:val="C0"/>
    <w:semiHidden/>
    <w:rPr>
      <w:color w:val="954F72" w:themeColor="followedHyperlink"/>
      <w:u w:val="single"/>
    </w:rPr>
  </w:style>
  <w:style w:type="character" w:styleId="C20">
    <w:name w:val="HTML Typewriter"/>
    <w:rPr>
      <w:rFonts w:ascii="Courier" w:hAnsi="Courier" w:cs="Arial Unicode MS" w:eastAsia="Arial Unicode MS" w:hint="default"/>
      <w:color w:val="002B4C"/>
      <w:sz w:val="27"/>
      <w:szCs w:val="27"/>
    </w:rPr>
  </w:style>
  <w:style w:type="character" w:styleId="C21">
    <w:name w:val="Unresolved Mention1"/>
    <w:basedOn w:val="C0"/>
    <w:semiHidden/>
    <w:rPr>
      <w:color w:val="605E5C"/>
      <w:shd w:val="clear" w:color="auto" w:fill="E1DFDD"/>
    </w:rPr>
  </w:style>
  <w:style w:type="character" w:styleId="C22">
    <w:name w:val="Footnote Reference"/>
    <w:semiHidden/>
    <w:rPr>
      <w:vertAlign w:val="superscript"/>
    </w:rPr>
  </w:style>
  <w:style w:type="character" w:styleId="C23">
    <w:name w:val="Footnote Text Char"/>
    <w:link w:val="P19"/>
    <w:semiHidden/>
    <w:rPr>
      <w:sz w:val="20"/>
      <w:szCs w:val="20"/>
    </w:rPr>
  </w:style>
  <w:style w:type="character" w:styleId="C24">
    <w:name w:val="Endnote Reference"/>
    <w:semiHidden/>
    <w:rPr>
      <w:vertAlign w:val="superscript"/>
    </w:rPr>
  </w:style>
  <w:style w:type="character" w:styleId="C25">
    <w:name w:val="Endnote Text Char"/>
    <w:link w:val="P20"/>
    <w:semiHidden/>
    <w:rPr>
      <w:sz w:val="20"/>
      <w:szCs w:val="20"/>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ellenraster1"/>
    <w:basedOn w:val="T0"/>
    <w:tblPr>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Pr>
    <w:trPr/>
    <w:tcPr/>
  </w:style>
  <w:style w:type="table" w:styleId="T3">
    <w:name w:val="Table Grid"/>
    <w:basedOn w:val="T0"/>
    <w:rPr>
      <w:sz w:val="22"/>
      <w:szCs w:val="22"/>
      <w:lang w:eastAsia="en-US"/>
    </w:rPr>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Pr>
    <w:trPr/>
    <w:tcPr/>
  </w:style>
  <w:style w:type="numbering" w:styleId="N0">
    <w:name w:val="No List"/>
  </w:style>
</w:styles>
</file>

<file path=word/_rels/document.xml.rels>&#65279;<?xml version="1.0" encoding="utf-8"?><Relationships xmlns="http://schemas.openxmlformats.org/package/2006/relationships"><Relationship Id="R2" Type="http://schemas.openxmlformats.org/officeDocument/2006/relationships/hyperlink" Target="http://www.oncomap.de" TargetMode="External" /><Relationship Id="R3" Type="http://schemas.openxmlformats.org/officeDocument/2006/relationships/hyperlink" Target="http://www.leitlinienprogramm-onkologie.de/leitlinien/supportive-therapie/" TargetMode="External" /><Relationship Id="R4" Type="http://schemas.openxmlformats.org/officeDocument/2006/relationships/hyperlink" Target="www.ecc-cert.org" TargetMode="External" /><Relationship Id="R5" Type="http://schemas.openxmlformats.org/officeDocument/2006/relationships/hyperlink" Target="www.onkozert.de" TargetMode="External" /><Relationship Id="R6" Type="http://schemas.openxmlformats.org/officeDocument/2006/relationships/hyperlink" Target="www.ecc-cert.org" TargetMode="External" /><Relationship Id="R7" Type="http://schemas.openxmlformats.org/officeDocument/2006/relationships/hyperlink" Target="www.onkozert.de" TargetMode="External" /><Relationship Id="R8" Type="http://schemas.openxmlformats.org/officeDocument/2006/relationships/hyperlink" Target="http://ecc-cert.org/" TargetMode="External" /><Relationship Id="R9" Type="http://schemas.openxmlformats.org/officeDocument/2006/relationships/hyperlink" Target="http://www.onkozert.de/" TargetMode="External" /><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Fnt1" Type="http://schemas.openxmlformats.org/officeDocument/2006/relationships/footnotes" Target="footnotes.xml" /><Relationship Id="RelEnt1" Type="http://schemas.openxmlformats.org/officeDocument/2006/relationships/endnotes" Target="endnotes.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 Id="RelItem1" Type="http://schemas.openxmlformats.org/officeDocument/2006/relationships/customXml" Target="../customXml/item1.xml" /><Relationship Id="RelItem2" Type="http://schemas.openxmlformats.org/officeDocument/2006/relationships/customXml" Target="../customXml/item2.xml" /><Relationship Id="RelItem3" Type="http://schemas.openxmlformats.org/officeDocument/2006/relationships/customXml" Target="../customXml/item3.xml" /><Relationship Id="RelItem4" Type="http://schemas.openxmlformats.org/officeDocument/2006/relationships/customXml" Target="../customXml/item4.xml" /></Relationships>
</file>

<file path=word/_rels/endnotes.xml.rels>&#65279;<?xml version="1.0" encoding="utf-8"?><Relationships xmlns="http://schemas.openxmlformats.org/package/2006/relationships" />
</file>

<file path=word/_rels/footer1.xml.rels>&#65279;<?xml version="1.0" encoding="utf-8"?><Relationships xmlns="http://schemas.openxmlformats.org/package/2006/relationships" />
</file>

<file path=word/_rels/footer2.xml.rels>&#65279;<?xml version="1.0" encoding="utf-8"?><Relationships xmlns="http://schemas.openxmlformats.org/package/2006/relationships" />
</file>

<file path=word/_rels/footer3.xml.rels>&#65279;<?xml version="1.0" encoding="utf-8"?><Relationships xmlns="http://schemas.openxmlformats.org/package/2006/relationships" />
</file>

<file path=word/_rels/footnotes.xml.rels>&#65279;<?xml version="1.0" encoding="utf-8"?><Relationships xmlns="http://schemas.openxmlformats.org/package/2006/relationships" />
</file>

<file path=word/_rels/header1.xml.rels>&#65279;<?xml version="1.0" encoding="utf-8"?><Relationships xmlns="http://schemas.openxmlformats.org/package/2006/relationships" />
</file>

<file path=word/_rels/header2.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s>
</file>

<file path=word/_rels/header3.xml.rels>&#65279;<?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44AA339D0E58F946B563E3F2E1C3E481" ma:contentTypeVersion="2" ma:contentTypeDescription="Ein neues Dokument erstellen." ma:contentTypeScope="" ma:versionID="ab622064b80dc189488830cf1c81cd51">
  <xsd:schema xmlns:xsd="http://www.w3.org/2001/XMLSchema" xmlns:xs="http://www.w3.org/2001/XMLSchema" xmlns:p="http://schemas.microsoft.com/office/2006/metadata/properties" xmlns:ns2="124bde80-82e7-48cd-b4d0-f360eb359487" targetNamespace="http://schemas.microsoft.com/office/2006/metadata/properties" ma:root="true" ma:fieldsID="0f716d50f9f7e34ec8d8d91690ca8ae2" ns2:_="">
    <xsd:import namespace="124bde80-82e7-48cd-b4d0-f360eb35948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bde80-82e7-48cd-b4d0-f360eb359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96abd6-4bba-49b8-9918-2af445c3b25d}">
  <ds:schemaRefs>
    <ds:schemaRef ds:uri="http://schemas.microsoft.com/vsto/samples"/>
  </ds:schemaRefs>
</ds:datastoreItem>
</file>

<file path=customXml/itemProps2.xml><?xml version="1.0" encoding="utf-8"?>
<ds:datastoreItem xmlns:ds="http://schemas.openxmlformats.org/officeDocument/2006/customXml" ds:itemID="{3fe356f6-9de1-4b1c-b728-fea22444256a}">
  <ds:schemaRefs>
    <ds:schemaRef ds:uri="http://schemas.microsoft.com/vsto/samples"/>
  </ds:schemaRefs>
</ds:datastoreItem>
</file>

<file path=customXml/itemProps3.xml><?xml version="1.0" encoding="utf-8"?>
<ds:datastoreItem xmlns:ds="http://schemas.openxmlformats.org/officeDocument/2006/customXml" ds:itemID="{f1d86260-cb05-4f3c-91a0-31c627018d46}">
  <ds:schemaRefs>
    <ds:schemaRef ds:uri="http://schemas.microsoft.com/vsto/samples"/>
  </ds:schemaRefs>
</ds:datastoreItem>
</file>

<file path=customXml/itemProps4.xml><?xml version="1.0" encoding="utf-8"?>
<ds:datastoreItem xmlns:ds="http://schemas.openxmlformats.org/officeDocument/2006/customXml" ds:itemID="{8d010285-66f4-4231-b570-c662ef0890cf}">
  <ds:schemaRefs>
    <ds:schemaRef ds:uri="http://schemas.microsoft.com/vsto/samples"/>
  </ds:schemaRefs>
</ds:datastoreItem>
</file>

<file path=docProps/app.xml><?xml version="1.0" encoding="utf-8"?>
<Properties xmlns="http://schemas.openxmlformats.org/officeDocument/2006/extended-properties">
  <Application>DevExpress Office File API/22.2.4.0</Application>
  <AppVersion>22.2</AppVersion>
  <Company>DKG</Company>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DKG</dc:creator>
  <dcterms:created xsi:type="dcterms:W3CDTF">2022-08-02T11:29:00Z</dcterms:created>
  <cp:lastPrinted>2022-09-26T14:34:00Z</cp:lastPrinted>
  <dcterms:modified xsi:type="dcterms:W3CDTF">2026-01-22T12:32:25Z</dcterms:modified>
  <cp:revision>28</cp:revision>
  <dc:subject>Vers D2, 11 Dez. 2025</dc:subject>
  <dc:title>cr_hc-D2_ENG_251211.docx</dc:title>
  <cp:version>D2</cp:ver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0x01010044AA339D0E58F946B563E3F2E1C3E481</vt:lpwstr>
  </property>
</Properties>
</file>