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keepNext w:val="1"/>
        <w:outlineLvl w:val="5"/>
        <w:rPr>
          <w:rFonts w:ascii="Arial" w:hAnsi="Arial" w:cs="Arial"/>
          <w:b w:val="1"/>
          <w:sz w:val="48"/>
          <w:szCs w:val="48"/>
          <w:lang w:val="en-GB" w:bidi="en-GB" w:eastAsia="en-GB"/>
        </w:rPr>
      </w:pPr>
      <w:r>
        <w:rPr>
          <w:rFonts w:ascii="Arial" w:hAnsi="Arial" w:cs="Arial"/>
          <w:b w:val="1"/>
          <w:sz w:val="48"/>
          <w:lang w:val="en-GB" w:bidi="en-GB" w:eastAsia="en-GB"/>
        </w:rPr>
        <w:t>National Cancer Certification Programme</w:t>
      </w:r>
    </w:p>
    <w:p>
      <w:pPr>
        <w:rPr>
          <w:rFonts w:ascii="Arial" w:hAnsi="Arial" w:cs="Arial"/>
          <w:b w:val="1"/>
          <w:lang w:val="en-GB" w:bidi="en-GB" w:eastAsia="en-GB"/>
        </w:rPr>
      </w:pPr>
    </w:p>
    <w:p>
      <w:pPr>
        <w:rPr>
          <w:rFonts w:ascii="Arial" w:hAnsi="Arial" w:cs="Arial"/>
          <w:b w:val="1"/>
          <w:lang w:val="en-GB" w:bidi="en-GB" w:eastAsia="en-GB"/>
        </w:rPr>
      </w:pPr>
    </w:p>
    <w:p>
      <w:pPr>
        <w:rPr>
          <w:rFonts w:ascii="Arial" w:hAnsi="Arial" w:cs="Arial"/>
          <w:b w:val="1"/>
          <w:lang w:val="en-GB" w:bidi="en-GB" w:eastAsia="en-GB"/>
        </w:rPr>
      </w:pPr>
    </w:p>
    <w:p>
      <w:pPr>
        <w:spacing w:before="120" w:beforeAutospacing="0" w:afterAutospacing="0"/>
        <w:outlineLvl w:val="1"/>
        <w:rPr>
          <w:rFonts w:ascii="Arial" w:hAnsi="Arial" w:cs="Arial"/>
          <w:sz w:val="42"/>
          <w:szCs w:val="42"/>
          <w:lang w:val="en-GB" w:bidi="en-GB" w:eastAsia="en-GB"/>
        </w:rPr>
      </w:pPr>
      <w:r>
        <w:rPr>
          <w:rFonts w:ascii="Arial" w:hAnsi="Arial" w:cs="Arial"/>
          <w:sz w:val="42"/>
          <w:lang w:val="en-GB" w:bidi="en-GB" w:eastAsia="en-GB"/>
        </w:rPr>
        <w:t xml:space="preserve">Catalogue of Requirements for </w:t>
      </w:r>
    </w:p>
    <w:p>
      <w:pPr>
        <w:spacing w:before="120" w:beforeAutospacing="0" w:afterAutospacing="0"/>
        <w:outlineLvl w:val="1"/>
        <w:rPr>
          <w:rFonts w:ascii="Arial" w:hAnsi="Arial" w:cs="Arial"/>
          <w:sz w:val="42"/>
          <w:szCs w:val="42"/>
          <w:lang w:val="en-GB" w:bidi="en-GB" w:eastAsia="en-GB"/>
        </w:rPr>
      </w:pPr>
      <w:r>
        <w:rPr>
          <w:rFonts w:ascii="Arial" w:hAnsi="Arial" w:cs="Arial"/>
          <w:sz w:val="42"/>
          <w:lang w:val="en-GB" w:bidi="en-GB" w:eastAsia="en-GB"/>
        </w:rPr>
        <w:t>Comprehensive Cancer Centres and</w:t>
      </w:r>
    </w:p>
    <w:p>
      <w:pPr>
        <w:spacing w:before="120" w:beforeAutospacing="0" w:afterAutospacing="0"/>
        <w:outlineLvl w:val="1"/>
        <w:rPr>
          <w:rFonts w:ascii="Arial" w:hAnsi="Arial" w:cs="Arial"/>
          <w:sz w:val="42"/>
          <w:szCs w:val="42"/>
          <w:lang w:val="en-GB" w:bidi="en-GB" w:eastAsia="en-GB"/>
        </w:rPr>
      </w:pPr>
      <w:r>
        <w:rPr>
          <w:rFonts w:ascii="Arial" w:hAnsi="Arial" w:cs="Arial"/>
          <w:sz w:val="42"/>
          <w:lang w:val="en-GB" w:bidi="en-GB" w:eastAsia="en-GB"/>
        </w:rPr>
        <w:t>Oncology Centres</w:t>
      </w:r>
    </w:p>
    <w:p>
      <w:pPr>
        <w:rPr>
          <w:rFonts w:ascii="Arial" w:hAnsi="Arial" w:cs="Arial"/>
          <w:lang w:val="en-GB" w:bidi="en-GB" w:eastAsia="en-GB"/>
        </w:rPr>
      </w:pPr>
    </w:p>
    <w:p>
      <w:pPr>
        <w:rPr>
          <w:rFonts w:ascii="Arial" w:hAnsi="Arial" w:cs="Arial"/>
          <w:lang w:val="en-GB" w:bidi="en-GB" w:eastAsia="en-GB"/>
        </w:rPr>
      </w:pPr>
    </w:p>
    <w:p>
      <w:pPr>
        <w:jc w:val="both"/>
        <w:rPr>
          <w:rFonts w:ascii="Arial" w:hAnsi="Arial" w:cs="Arial"/>
          <w:lang w:val="en-GB" w:bidi="en-GB" w:eastAsia="en-GB"/>
        </w:rPr>
      </w:pPr>
      <w:r>
        <w:rPr>
          <w:rFonts w:ascii="Arial" w:hAnsi="Arial" w:cs="Arial"/>
          <w:lang w:val="en-GB" w:bidi="en-GB" w:eastAsia="en-GB"/>
        </w:rPr>
        <w:t xml:space="preserve">The requirements in this Catalogue are the basis for the certification of Oncology Centres. The requirements to be met by Comprehensive Cancer Centres under the funding programme “Interdisciplinary Comprehensive Cancer Centres” are described in detail in the application documents of German Cancer Aid (DKH). Some of the overall requirements are presented in this Catalogue of Requirements. </w:t>
      </w:r>
    </w:p>
    <w:p>
      <w:pPr>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p>
    <w:p>
      <w:pPr>
        <w:tabs>
          <w:tab w:val="left" w:pos="3578" w:leader="none"/>
        </w:tabs>
        <w:spacing w:before="120" w:beforeAutospacing="0" w:afterAutospacing="0"/>
        <w:rPr>
          <w:rFonts w:ascii="Arial" w:hAnsi="Arial" w:cs="Arial"/>
          <w:b w:val="1"/>
          <w:lang w:val="en-GB" w:bidi="en-GB" w:eastAsia="en-GB"/>
        </w:rPr>
      </w:pPr>
      <w:r>
        <w:rPr>
          <w:rFonts w:ascii="Arial" w:hAnsi="Arial" w:cs="Arial"/>
          <w:b w:val="1"/>
          <w:lang w:val="en-GB" w:bidi="en-GB" w:eastAsia="en-GB"/>
        </w:rPr>
        <w:t>Prepared by the Certification Committee Oncology Centres</w:t>
      </w:r>
    </w:p>
    <w:p>
      <w:pPr>
        <w:rPr>
          <w:rFonts w:ascii="Arial" w:hAnsi="Arial" w:cs="Arial"/>
          <w:b w:val="1"/>
          <w:bCs w:val="1"/>
          <w:lang w:val="en-GB"/>
        </w:rPr>
      </w:pPr>
      <w:bookmarkStart w:id="0" w:name="_Hlk184140032"/>
    </w:p>
    <w:p>
      <w:pPr>
        <w:rPr>
          <w:rFonts w:ascii="Arial" w:hAnsi="Arial" w:cs="Arial"/>
          <w:b w:val="1"/>
          <w:bCs w:val="1"/>
          <w:lang w:val="en-GB"/>
        </w:rPr>
      </w:pPr>
      <w:r>
        <w:rPr>
          <w:rFonts w:ascii="Arial" w:hAnsi="Arial" w:cs="Arial"/>
          <w:b w:val="1"/>
          <w:bCs w:val="1"/>
          <w:lang w:val="en-GB"/>
        </w:rPr>
        <w:t>Comments on the Catalogue of Requirements</w:t>
      </w:r>
    </w:p>
    <w:p>
      <w:pPr>
        <w:rPr>
          <w:rFonts w:ascii="Arial" w:hAnsi="Arial" w:cs="Arial"/>
          <w:bCs w:val="1"/>
          <w:lang w:val="en-GB"/>
        </w:rPr>
      </w:pPr>
      <w:bookmarkEnd w:id="0"/>
    </w:p>
    <w:p>
      <w:pPr>
        <w:rPr>
          <w:rFonts w:ascii="Arial" w:hAnsi="Arial" w:cs="Arial"/>
          <w:bCs w:val="1"/>
          <w:lang w:val="en-GB"/>
        </w:rPr>
      </w:pPr>
      <w:bookmarkStart w:id="1" w:name="_Hlk184140040"/>
      <w:r>
        <w:rPr>
          <w:rFonts w:ascii="Arial" w:hAnsi="Arial" w:cs="Arial"/>
          <w:bCs w:val="1"/>
          <w:lang w:val="en-GB"/>
        </w:rPr>
        <w:t>The Catalogue of Requirement and its appendices are binding for all centres.</w:t>
      </w: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bookmarkEnd w:id="1"/>
            <w:bookmarkStart w:id="2" w:name="_Hlk184140132" w:colFirst="0" w:colLast="1"/>
            <w:r>
              <w:rPr>
                <w:rFonts w:ascii="Arial" w:hAnsi="Arial" w:cs="Arial"/>
                <w:bCs w:val="1"/>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N1</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15.12.2025</w:t>
            </w:r>
          </w:p>
        </w:tc>
      </w:tr>
    </w:tbl>
    <w:p>
      <w:pPr>
        <w:spacing w:after="60" w:beforeAutospacing="0" w:afterAutospacing="0"/>
        <w:rPr>
          <w:rFonts w:ascii="Arial" w:hAnsi="Arial" w:cs="Arial"/>
          <w:b w:val="1"/>
          <w:lang w:val="en-GB"/>
        </w:rPr>
      </w:pPr>
      <w:bookmarkEnd w:id="2"/>
    </w:p>
    <w:p>
      <w:pPr>
        <w:spacing w:after="60" w:beforeAutospacing="0" w:afterAutospacing="0"/>
        <w:rPr>
          <w:rFonts w:ascii="Arial" w:hAnsi="Arial" w:cs="Arial"/>
          <w:bCs w:val="1"/>
          <w:lang w:val="en-GB"/>
        </w:rPr>
      </w:pPr>
      <w:bookmarkStart w:id="3" w:name="_Hlk184139189"/>
      <w:r>
        <w:rPr>
          <w:rFonts w:ascii="Arial" w:hAnsi="Arial" w:cs="Arial"/>
          <w:bCs w:val="1"/>
          <w:lang w:val="en-GB"/>
        </w:rPr>
        <w:t xml:space="preserve">The changes marked in </w:t>
      </w:r>
      <w:r>
        <w:rPr>
          <w:rFonts w:ascii="Arial" w:hAnsi="Arial" w:cs="Arial"/>
          <w:bCs w:val="1"/>
          <w:highlight w:val="green"/>
          <w:lang w:val="en-GB"/>
        </w:rPr>
        <w:t>green</w:t>
      </w:r>
      <w:r>
        <w:rPr>
          <w:rFonts w:ascii="Arial" w:hAnsi="Arial" w:cs="Arial"/>
          <w:bCs w:val="1"/>
          <w:lang w:val="en-GB"/>
        </w:rPr>
        <w:t xml:space="preserve"> in this Catalogue of Requirement (CoR) were decided in 2025 and are valid for all audits carried out from 01.01.2026.</w:t>
      </w:r>
      <w:bookmarkEnd w:id="3"/>
    </w:p>
    <w:p>
      <w:pPr>
        <w:spacing w:after="60" w:beforeAutospacing="0" w:afterAutospacing="0"/>
        <w:rPr>
          <w:rFonts w:ascii="Arial" w:hAnsi="Arial" w:cs="Arial"/>
          <w:bCs w:val="1"/>
          <w:lang w:val="en-GB"/>
        </w:rPr>
      </w:pPr>
    </w:p>
    <w:p>
      <w:pPr>
        <w:spacing w:after="60" w:beforeAutospacing="0" w:afterAutospacing="0"/>
        <w:rPr>
          <w:rFonts w:ascii="Arial" w:hAnsi="Arial" w:cs="Arial"/>
          <w:bCs w:val="1"/>
          <w:lang w:val="en-GB"/>
        </w:rPr>
      </w:pPr>
      <w:r>
        <w:rPr>
          <w:rFonts w:ascii="Arial" w:hAnsi="Arial" w:cs="Arial"/>
          <w:bCs w:val="1"/>
          <w:lang w:val="en-GB"/>
        </w:rPr>
        <w:t>As Chapter 10 has been fundamentally revised, no change markings have been used.</w:t>
      </w:r>
    </w:p>
    <w:p>
      <w:pPr>
        <w:spacing w:after="60" w:beforeAutospacing="0" w:afterAutospacing="0"/>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Important notice: This translation is for your convenience only. In the event of any discrepancies or divergences in interpretation, the German text is the sole authoritative version.</w:t>
        <w:br w:type="page"/>
      </w:r>
    </w:p>
    <w:p>
      <w:pPr>
        <w:rPr>
          <w:rFonts w:ascii="Arial" w:hAnsi="Arial" w:cs="Arial"/>
          <w:lang w:val="en-GB" w:bidi="en-GB" w:eastAsia="en-GB"/>
        </w:rPr>
      </w:pPr>
    </w:p>
    <w:p>
      <w:pPr>
        <w:rPr>
          <w:rFonts w:ascii="Arial" w:hAnsi="Arial" w:cs="Arial"/>
          <w:lang w:val="en-GB" w:bidi="en-GB" w:eastAsia="en-GB"/>
        </w:rPr>
      </w:pPr>
    </w:p>
    <w:p>
      <w:pPr>
        <w:spacing w:lineRule="auto" w:line="276" w:beforeAutospacing="0" w:afterAutospacing="0"/>
        <w:jc w:val="both"/>
        <w:rPr>
          <w:rFonts w:ascii="Arial" w:hAnsi="Arial" w:cs="Arial"/>
          <w:b w:val="1"/>
          <w:sz w:val="24"/>
          <w:lang w:val="en-GB" w:bidi="en-GB" w:eastAsia="en-GB"/>
        </w:rPr>
      </w:pPr>
      <w:r>
        <w:rPr>
          <w:rFonts w:ascii="Arial" w:hAnsi="Arial" w:cs="Arial"/>
          <w:b w:val="1"/>
          <w:sz w:val="24"/>
          <w:lang w:val="en-GB" w:bidi="en-GB" w:eastAsia="en-GB"/>
        </w:rPr>
        <w:t>Prologue</w:t>
      </w:r>
    </w:p>
    <w:p>
      <w:pPr>
        <w:spacing w:lineRule="auto" w:line="276" w:beforeAutospacing="0" w:afterAutospacing="0"/>
        <w:jc w:val="both"/>
        <w:rPr>
          <w:rFonts w:ascii="Arial" w:hAnsi="Arial" w:cs="Arial"/>
          <w:lang w:val="en-GB" w:bidi="en-GB" w:eastAsia="en-GB"/>
        </w:rPr>
      </w:pPr>
      <w:r>
        <w:rPr>
          <w:rFonts w:ascii="Arial" w:hAnsi="Arial" w:cs="Arial"/>
          <w:lang w:val="en-GB" w:bidi="en-GB" w:eastAsia="en-GB"/>
        </w:rPr>
        <w:t>This Catalogue of Requirements sets out the clinical care requirements to be met by Oncology Centres and Comprehensive Cancer Centres.</w:t>
      </w:r>
    </w:p>
    <w:p>
      <w:pPr>
        <w:spacing w:lineRule="auto" w:line="276" w:beforeAutospacing="0" w:afterAutospacing="0"/>
        <w:jc w:val="both"/>
        <w:rPr>
          <w:rFonts w:ascii="Arial" w:hAnsi="Arial" w:cs="Arial"/>
          <w:lang w:val="en-GB" w:bidi="en-GB" w:eastAsia="en-GB"/>
        </w:rPr>
      </w:pPr>
      <w:r>
        <w:rPr>
          <w:rFonts w:ascii="Arial" w:hAnsi="Arial" w:cs="Arial"/>
          <w:lang w:val="en-GB" w:bidi="en-GB" w:eastAsia="en-GB"/>
        </w:rPr>
        <w:t>It reflects the achievement of an important objective of the National Cancer Plan</w:t>
      </w:r>
      <w:r>
        <w:rPr>
          <w:rFonts w:ascii="Arial" w:hAnsi="Arial" w:cs="Arial"/>
          <w:lang w:val="en-GB" w:bidi="en-GB" w:eastAsia="en-GB"/>
        </w:rPr>
        <w:t>,</w:t>
      </w:r>
      <w:r>
        <w:rPr>
          <w:rFonts w:ascii="Arial" w:hAnsi="Arial" w:cs="Arial"/>
          <w:lang w:val="en-GB" w:bidi="en-GB" w:eastAsia="en-GB"/>
        </w:rPr>
        <w:t xml:space="preserve"> i</w:t>
      </w:r>
      <w:r>
        <w:rPr>
          <w:rFonts w:ascii="Arial" w:hAnsi="Arial" w:cs="Arial"/>
          <w:lang w:val="en-GB" w:bidi="en-GB" w:eastAsia="en-GB"/>
        </w:rPr>
        <w:t>.</w:t>
      </w:r>
      <w:r>
        <w:rPr>
          <w:rFonts w:ascii="Arial" w:hAnsi="Arial" w:cs="Arial"/>
          <w:lang w:val="en-GB" w:bidi="en-GB" w:eastAsia="en-GB"/>
        </w:rPr>
        <w:t>e</w:t>
      </w:r>
      <w:r>
        <w:rPr>
          <w:rFonts w:ascii="Arial" w:hAnsi="Arial" w:cs="Arial"/>
          <w:lang w:val="en-GB" w:bidi="en-GB" w:eastAsia="en-GB"/>
        </w:rPr>
        <w:t>.</w:t>
      </w:r>
      <w:r>
        <w:rPr>
          <w:rFonts w:ascii="Arial" w:hAnsi="Arial" w:cs="Arial"/>
          <w:lang w:val="en-GB" w:bidi="en-GB" w:eastAsia="en-GB"/>
        </w:rPr>
        <w:t xml:space="preserve"> the care of patients </w:t>
      </w:r>
      <w:r>
        <w:rPr>
          <w:rFonts w:ascii="Arial" w:hAnsi="Arial" w:cs="Arial"/>
          <w:lang w:val="en-GB" w:bidi="en-GB" w:eastAsia="en-GB"/>
        </w:rPr>
        <w:t>“</w:t>
      </w:r>
      <w:r>
        <w:rPr>
          <w:rFonts w:ascii="Arial" w:hAnsi="Arial" w:cs="Arial"/>
          <w:lang w:val="en-GB" w:bidi="en-GB" w:eastAsia="en-GB"/>
        </w:rPr>
        <w:t>is possible in line with the same technical and medical quality requirements irrespective of the treatment structure</w:t>
      </w:r>
      <w:r>
        <w:rPr>
          <w:rFonts w:ascii="Arial" w:hAnsi="Arial" w:cs="Arial"/>
          <w:lang w:val="en-GB" w:bidi="en-GB" w:eastAsia="en-GB"/>
        </w:rPr>
        <w:t>,</w:t>
      </w:r>
      <w:r>
        <w:rPr>
          <w:rFonts w:ascii="Arial" w:hAnsi="Arial" w:cs="Arial"/>
          <w:lang w:val="en-GB" w:bidi="en-GB" w:eastAsia="en-GB"/>
        </w:rPr>
        <w:t xml:space="preserve"> i</w:t>
      </w:r>
      <w:r>
        <w:rPr>
          <w:rFonts w:ascii="Arial" w:hAnsi="Arial" w:cs="Arial"/>
          <w:lang w:val="en-GB" w:bidi="en-GB" w:eastAsia="en-GB"/>
        </w:rPr>
        <w:t>.</w:t>
      </w:r>
      <w:r>
        <w:rPr>
          <w:rFonts w:ascii="Arial" w:hAnsi="Arial" w:cs="Arial"/>
          <w:lang w:val="en-GB" w:bidi="en-GB" w:eastAsia="en-GB"/>
        </w:rPr>
        <w:t>e</w:t>
      </w:r>
      <w:r>
        <w:rPr>
          <w:rFonts w:ascii="Arial" w:hAnsi="Arial" w:cs="Arial"/>
          <w:lang w:val="en-GB" w:bidi="en-GB" w:eastAsia="en-GB"/>
        </w:rPr>
        <w:t>.</w:t>
      </w:r>
      <w:r>
        <w:rPr>
          <w:rFonts w:ascii="Arial" w:hAnsi="Arial" w:cs="Arial"/>
          <w:lang w:val="en-GB" w:bidi="en-GB" w:eastAsia="en-GB"/>
        </w:rPr>
        <w:t xml:space="preserve"> irrespective of the facility in which treatment is given </w:t>
      </w:r>
      <w:r>
        <w:rPr>
          <w:rFonts w:ascii="Arial" w:hAnsi="Arial" w:cs="Arial"/>
          <w:lang w:val="en-GB" w:bidi="en-GB" w:eastAsia="en-GB"/>
        </w:rPr>
        <w:t>[</w:t>
      </w:r>
      <w:r>
        <w:rPr>
          <w:rFonts w:ascii="Arial" w:hAnsi="Arial" w:cs="Arial"/>
          <w:lang w:val="en-GB" w:bidi="en-GB" w:eastAsia="en-GB"/>
        </w:rPr>
        <w:t>…</w:t>
      </w:r>
      <w:r>
        <w:rPr>
          <w:rFonts w:ascii="Arial" w:hAnsi="Arial" w:cs="Arial"/>
          <w:lang w:val="en-GB" w:bidi="en-GB" w:eastAsia="en-GB"/>
        </w:rPr>
        <w:t>]</w:t>
      </w:r>
      <w:r>
        <w:rPr>
          <w:rFonts w:ascii="Arial" w:hAnsi="Arial" w:cs="Arial"/>
          <w:lang w:val="en-GB" w:bidi="en-GB" w:eastAsia="en-GB"/>
        </w:rPr>
        <w:t>”</w:t>
      </w:r>
      <w:r>
        <w:rPr>
          <w:rFonts w:ascii="Arial" w:hAnsi="Arial" w:cs="Arial"/>
          <w:sz w:val="2"/>
          <w:lang w:val="en-GB" w:bidi="en-GB" w:eastAsia="en-GB"/>
        </w:rPr>
        <w:t>P0F</w:t>
      </w:r>
      <w:r>
        <w:rPr>
          <w:rFonts w:ascii="Arial" w:hAnsi="Arial" w:cs="Arial"/>
          <w:vertAlign w:val="superscript"/>
          <w:lang w:val="en-GB" w:bidi="en-GB" w:eastAsia="en-GB"/>
        </w:rPr>
        <w:footnoteReference w:id="1"/>
      </w:r>
      <w:r>
        <w:rPr>
          <w:rFonts w:ascii="Arial" w:hAnsi="Arial" w:cs="Arial"/>
          <w:sz w:val="2"/>
          <w:lang w:val="en-GB" w:bidi="en-GB" w:eastAsia="en-GB"/>
        </w:rPr>
        <w:t>P</w:t>
      </w:r>
      <w:r>
        <w:rPr>
          <w:rFonts w:ascii="Arial" w:hAnsi="Arial" w:cs="Arial"/>
          <w:lang w:val="en-GB" w:bidi="en-GB" w:eastAsia="en-GB"/>
        </w:rPr>
        <w:t>.</w:t>
      </w:r>
      <w:r>
        <w:rPr>
          <w:rFonts w:ascii="Arial" w:hAnsi="Arial" w:cs="Arial"/>
          <w:lang w:val="en-GB" w:bidi="en-GB" w:eastAsia="en-GB"/>
        </w:rPr>
        <w:t xml:space="preserve"> The basis for this concept is the following definition of certified Centres</w:t>
      </w:r>
      <w:r>
        <w:rPr>
          <w:rFonts w:ascii="Arial" w:hAnsi="Arial" w:cs="Arial"/>
          <w:lang w:val="en-GB" w:bidi="en-GB" w:eastAsia="en-GB"/>
        </w:rPr>
        <w:t>:</w:t>
      </w:r>
    </w:p>
    <w:p>
      <w:pPr>
        <w:spacing w:lineRule="auto" w:line="276" w:beforeAutospacing="0" w:afterAutospacing="0"/>
        <w:jc w:val="both"/>
        <w:rPr>
          <w:rFonts w:ascii="Arial" w:hAnsi="Arial" w:cs="Arial"/>
          <w:lang w:val="en-GB" w:bidi="en-GB" w:eastAsia="en-GB"/>
        </w:rPr>
      </w:pPr>
      <w:r>
        <w:rPr>
          <w:rFonts w:ascii="Arial" w:hAnsi="Arial" w:cs="Arial"/>
          <w:lang w:val="en-GB" w:bidi="en-GB" w:eastAsia="en-GB"/>
        </w:rPr>
        <w:t>“A Centre is deemed to be a network of qualified and jointly certified, multi- and interdisciplinary, trans-sectoral and, where appropriate, multi-site facilities (hospitals, SHI-authorised medical care, rehabilitation centres) which, if necessary in medical terms, covers, if possible, the entire chain of patient care. Certified facilities are classified in three certification tiers:</w:t>
      </w:r>
    </w:p>
    <w:p>
      <w:pPr>
        <w:numPr>
          <w:ilvl w:val="0"/>
          <w:numId w:val="3"/>
        </w:numPr>
        <w:spacing w:lineRule="auto" w:line="276" w:beforeAutospacing="0" w:afterAutospacing="0"/>
        <w:jc w:val="both"/>
        <w:rPr>
          <w:rFonts w:ascii="Arial" w:hAnsi="Arial" w:cs="Arial"/>
          <w:lang w:val="en-GB" w:bidi="en-GB" w:eastAsia="en-GB"/>
        </w:rPr>
      </w:pPr>
      <w:r>
        <w:rPr>
          <w:rFonts w:ascii="Arial" w:hAnsi="Arial" w:cs="Arial"/>
          <w:lang w:val="en-GB" w:bidi="en-GB" w:eastAsia="en-GB"/>
        </w:rPr>
        <w:t xml:space="preserve">Organ Cancer Centre (C) is a Centre specialising in one organ or one specialty. </w:t>
      </w:r>
    </w:p>
    <w:p>
      <w:pPr>
        <w:numPr>
          <w:ilvl w:val="0"/>
          <w:numId w:val="3"/>
        </w:numPr>
        <w:spacing w:lineRule="auto" w:line="276" w:beforeAutospacing="0" w:afterAutospacing="0"/>
        <w:jc w:val="both"/>
        <w:rPr>
          <w:rFonts w:ascii="Arial" w:hAnsi="Arial" w:cs="Arial"/>
          <w:lang w:val="en-GB" w:bidi="en-GB" w:eastAsia="en-GB"/>
        </w:rPr>
      </w:pPr>
      <w:r>
        <w:rPr>
          <w:rFonts w:ascii="Arial" w:hAnsi="Arial" w:cs="Arial"/>
          <w:lang w:val="en-GB" w:bidi="en-GB" w:eastAsia="en-GB"/>
        </w:rPr>
        <w:t xml:space="preserve">Oncology Centre (CC) encompasses several organs or specialties. </w:t>
      </w:r>
    </w:p>
    <w:p>
      <w:pPr>
        <w:numPr>
          <w:ilvl w:val="0"/>
          <w:numId w:val="3"/>
        </w:numPr>
        <w:spacing w:lineRule="auto" w:line="276" w:beforeAutospacing="0" w:afterAutospacing="0"/>
        <w:jc w:val="both"/>
        <w:rPr>
          <w:rFonts w:ascii="Arial" w:hAnsi="Arial" w:cs="Arial"/>
          <w:lang w:val="en-GB" w:bidi="en-GB" w:eastAsia="en-GB"/>
        </w:rPr>
      </w:pPr>
      <w:r>
        <w:rPr>
          <w:rFonts w:ascii="Arial" w:hAnsi="Arial" w:cs="Arial"/>
          <w:lang w:val="en-GB" w:bidi="en-GB" w:eastAsia="en-GB"/>
        </w:rPr>
        <w:t xml:space="preserve">Comprehensive Cancer Centre </w:t>
      </w:r>
      <w:r>
        <w:rPr>
          <w:rFonts w:ascii="Arial" w:hAnsi="Arial" w:cs="Arial"/>
          <w:lang w:val="en-GB" w:bidi="en-GB" w:eastAsia="en-GB"/>
        </w:rPr>
        <w:t>(</w:t>
      </w:r>
      <w:r>
        <w:rPr>
          <w:rFonts w:ascii="Arial" w:hAnsi="Arial" w:cs="Arial"/>
          <w:lang w:val="en-GB" w:bidi="en-GB" w:eastAsia="en-GB"/>
        </w:rPr>
        <w:t>CCC</w:t>
      </w:r>
      <w:r>
        <w:rPr>
          <w:rFonts w:ascii="Arial" w:hAnsi="Arial" w:cs="Arial"/>
          <w:lang w:val="en-GB" w:bidi="en-GB" w:eastAsia="en-GB"/>
        </w:rPr>
        <w:t>)</w:t>
      </w:r>
      <w:r>
        <w:rPr>
          <w:rFonts w:ascii="Arial" w:hAnsi="Arial" w:cs="Arial"/>
          <w:lang w:val="en-GB" w:bidi="en-GB" w:eastAsia="en-GB"/>
        </w:rPr>
        <w:t xml:space="preserve"> is an Oncology Centre with research foci</w:t>
      </w:r>
      <w:r>
        <w:rPr>
          <w:rFonts w:ascii="Arial" w:hAnsi="Arial" w:cs="Arial"/>
          <w:lang w:val="en-GB" w:bidi="en-GB" w:eastAsia="en-GB"/>
        </w:rPr>
        <w:t>.</w:t>
      </w:r>
      <w:r>
        <w:rPr>
          <w:rFonts w:ascii="Arial" w:hAnsi="Arial" w:cs="Arial"/>
          <w:lang w:val="en-GB" w:bidi="en-GB" w:eastAsia="en-GB"/>
        </w:rPr>
        <w:t>”</w:t>
      </w:r>
      <w:r>
        <w:rPr>
          <w:rFonts w:ascii="Arial" w:hAnsi="Arial" w:cs="Arial"/>
          <w:vertAlign w:val="superscript"/>
          <w:lang w:val="en-GB" w:bidi="en-GB" w:eastAsia="en-GB"/>
        </w:rPr>
        <w:footnoteReference w:id="2"/>
      </w:r>
    </w:p>
    <w:p>
      <w:pPr>
        <w:spacing w:lineRule="auto" w:line="276" w:beforeAutospacing="0" w:afterAutospacing="0"/>
        <w:jc w:val="both"/>
        <w:rPr>
          <w:rFonts w:ascii="Arial" w:hAnsi="Arial" w:cs="Arial"/>
          <w:lang w:val="en-GB" w:bidi="en-GB" w:eastAsia="en-GB"/>
        </w:rPr>
      </w:pPr>
    </w:p>
    <w:p>
      <w:pPr>
        <w:spacing w:lineRule="auto" w:line="276" w:beforeAutospacing="0" w:afterAutospacing="0"/>
        <w:jc w:val="both"/>
        <w:rPr>
          <w:rFonts w:ascii="Arial" w:hAnsi="Arial" w:cs="Arial"/>
          <w:lang w:val="en-GB" w:bidi="en-GB" w:eastAsia="en-GB"/>
        </w:rPr>
      </w:pPr>
      <w:r>
        <w:rPr>
          <w:rFonts w:ascii="Arial" w:hAnsi="Arial" w:cs="Arial"/>
          <w:lang w:val="en-GB" w:bidi="en-GB" w:eastAsia="en-GB"/>
        </w:rPr>
        <w:t xml:space="preserve">The 3-tier model of oncological health care structures is implemented by German Cancer Aid and the German Cancer Society (DKG) in a “National Certification Programme”. </w:t>
      </w:r>
    </w:p>
    <w:p>
      <w:pPr>
        <w:spacing w:lineRule="auto" w:line="276" w:beforeAutospacing="0" w:afterAutospacing="0"/>
        <w:jc w:val="both"/>
        <w:rPr>
          <w:rFonts w:ascii="Arial" w:hAnsi="Arial" w:cs="Arial"/>
          <w:lang w:val="en-GB" w:bidi="en-GB" w:eastAsia="en-GB"/>
        </w:rPr>
      </w:pPr>
      <w:r>
        <w:rPr>
          <w:rFonts w:ascii="Arial" w:hAnsi="Arial" w:cs="Arial"/>
          <w:lang w:val="en-GB" w:bidi="en-GB" w:eastAsia="en-GB"/>
        </w:rPr>
        <w:t>This joint Catalogue of Requirements is part of this concept.</w:t>
      </w:r>
    </w:p>
    <w:p>
      <w:pPr>
        <w:spacing w:lineRule="auto" w:line="276" w:beforeAutospacing="0" w:afterAutospacing="0"/>
        <w:jc w:val="both"/>
        <w:rPr>
          <w:rFonts w:ascii="Arial" w:hAnsi="Arial" w:cs="Arial"/>
          <w:lang w:val="en-GB" w:bidi="en-GB" w:eastAsia="en-GB"/>
        </w:rPr>
      </w:pPr>
      <w:r>
        <w:rPr>
          <w:rFonts w:ascii="Arial" w:hAnsi="Arial" w:cs="Arial"/>
          <w:lang w:val="en-GB" w:bidi="en-GB" w:eastAsia="en-GB"/>
        </w:rPr>
        <w:t>The processing of the Catalogue of Requirements by the Centres and the format of the certification procedure/funding programme are unchanged.</w:t>
      </w:r>
    </w:p>
    <w:p>
      <w:pPr>
        <w:spacing w:lineRule="auto" w:line="276" w:beforeAutospacing="0" w:afterAutospacing="0"/>
        <w:jc w:val="both"/>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For some requirements, there is an addition “G-BA”(Federal Joint Committee) in the first column (e.g. 1.1.4). At these points, parts of the centre guideline are included (</w:t>
      </w:r>
      <w:hyperlink xmlns:r="http://schemas.openxmlformats.org/officeDocument/2006/relationships" r:id="R2">
        <w:r>
          <w:rPr>
            <w:rFonts w:ascii="Arial" w:hAnsi="Arial" w:cs="Arial"/>
            <w:color w:val="0000FF"/>
            <w:u w:val="single"/>
            <w:lang w:val="en-GB" w:bidi="en-GB" w:eastAsia="en-GB"/>
          </w:rPr>
          <w:t>https://www.g-ba.de/richtlinien/117</w:t>
        </w:r>
      </w:hyperlink>
      <w:r>
        <w:rPr>
          <w:rFonts w:ascii="Arial" w:hAnsi="Arial" w:cs="Arial"/>
          <w:lang w:val="en-GB" w:bidi="en-GB" w:eastAsia="en-GB"/>
        </w:rPr>
        <w:t>). The aim is to provide a simple overview of the requirements of the guideline fulfilled by the oncology centres, which can be used by the negotiators.</w:t>
      </w:r>
    </w:p>
    <w:p>
      <w:pPr>
        <w:rPr>
          <w:rFonts w:ascii="Arial" w:hAnsi="Arial" w:cs="Arial"/>
          <w:lang w:val="en-GB" w:bidi="en-GB" w:eastAsia="en-GB"/>
        </w:rPr>
      </w:pPr>
      <w:r>
        <w:rPr>
          <w:rFonts w:ascii="Arial" w:hAnsi="Arial" w:cs="Arial"/>
          <w:lang w:val="en-GB" w:bidi="en-GB" w:eastAsia="en-GB"/>
        </w:rPr>
        <w:br w:type="page"/>
      </w:r>
    </w:p>
    <w:p>
      <w:pPr>
        <w:rPr>
          <w:rFonts w:ascii="Arial" w:hAnsi="Arial" w:cs="Arial"/>
          <w:lang w:val="en-GB" w:bidi="en-GB" w:eastAsia="en-GB"/>
        </w:rPr>
      </w:pPr>
    </w:p>
    <w:p>
      <w:pPr>
        <w:rPr>
          <w:rFonts w:ascii="Arial" w:hAnsi="Arial" w:cs="Arial"/>
          <w:lang w:val="en-GB" w:bidi="en-GB" w:eastAsia="en-GB"/>
        </w:rPr>
      </w:pPr>
    </w:p>
    <w:p>
      <w:pPr>
        <w:rPr>
          <w:rFonts w:ascii="Arial" w:hAnsi="Arial" w:cs="Arial"/>
          <w:b w:val="1"/>
          <w:sz w:val="24"/>
          <w:szCs w:val="24"/>
          <w:lang w:val="en-GB" w:bidi="en-GB" w:eastAsia="en-GB"/>
        </w:rPr>
      </w:pPr>
      <w:r>
        <w:rPr>
          <w:rFonts w:ascii="Arial" w:hAnsi="Arial" w:cs="Arial"/>
          <w:b w:val="1"/>
          <w:sz w:val="24"/>
          <w:szCs w:val="24"/>
          <w:lang w:val="en-GB" w:bidi="en-GB" w:eastAsia="en-GB"/>
        </w:rPr>
        <w:t>Structural requirements / Definitions</w:t>
      </w:r>
    </w:p>
    <w:p>
      <w:pPr>
        <w:rPr>
          <w:rFonts w:ascii="Arial" w:hAnsi="Arial" w:cs="Arial"/>
          <w:sz w:val="22"/>
          <w:szCs w:val="24"/>
          <w:lang w:val="en-GB" w:bidi="en-GB" w:eastAsia="en-GB"/>
        </w:rPr>
      </w:pPr>
    </w:p>
    <w:p>
      <w:pPr>
        <w:rPr>
          <w:rFonts w:ascii="Arial" w:hAnsi="Arial" w:cs="Arial"/>
          <w:b w:val="1"/>
          <w:lang w:val="en-GB" w:bidi="en-GB" w:eastAsia="en-GB"/>
        </w:rPr>
      </w:pPr>
      <w:r>
        <w:rPr>
          <w:rFonts w:ascii="Arial" w:hAnsi="Arial" w:cs="Arial"/>
          <w:b w:val="1"/>
          <w:lang w:val="en-GB" w:bidi="en-GB" w:eastAsia="en-GB"/>
        </w:rPr>
        <w:t xml:space="preserve">Levels of competence Oncology Centre </w:t>
      </w:r>
    </w:p>
    <w:p>
      <w:pPr>
        <w:rPr>
          <w:rFonts w:ascii="Arial" w:hAnsi="Arial" w:cs="Arial"/>
          <w:lang w:val="en-GB" w:bidi="en-GB" w:eastAsia="en-GB"/>
        </w:rPr>
      </w:pPr>
    </w:p>
    <w:p>
      <w:pPr>
        <w:spacing w:after="200" w:beforeAutospacing="0" w:afterAutospacing="0"/>
        <w:ind w:left="425"/>
        <w:rPr>
          <w:rFonts w:ascii="Arial" w:hAnsi="Arial" w:cs="Arial"/>
          <w:b w:val="1"/>
          <w:lang w:val="en-GB" w:bidi="en-GB" w:eastAsia="en-GB"/>
        </w:rPr>
      </w:pPr>
      <w:r>
        <w:rPr>
          <w:rFonts w:ascii="Arial" w:hAnsi="Arial" w:cs="Arial"/>
          <w:b w:val="1"/>
          <w:lang w:val="en-GB" w:bidi="en-GB" w:eastAsia="en-GB"/>
        </w:rPr>
        <w:t>Organ Cancer Centre (C)</w:t>
        <w:br w:type="textWrapping"/>
      </w:r>
      <w:r>
        <w:rPr>
          <w:rFonts w:ascii="Arial" w:hAnsi="Arial" w:cs="Arial"/>
          <w:lang w:val="en-GB" w:bidi="en-GB" w:eastAsia="en-GB"/>
        </w:rPr>
        <w:t>= Breast cancer, Colon Cancer, Prostate Cancer, Lung Cancer, Skin Cancer, Gynaecological Cancer, Haematological Neoplasms</w:t>
      </w:r>
    </w:p>
    <w:p>
      <w:pPr>
        <w:spacing w:lineRule="auto" w:line="276" w:after="200" w:beforeAutospacing="0" w:afterAutospacing="0"/>
        <w:ind w:left="426"/>
        <w:rPr>
          <w:rFonts w:ascii="Arial" w:hAnsi="Arial" w:cs="Arial"/>
          <w:b w:val="1"/>
          <w:lang w:val="en-GB" w:bidi="en-GB" w:eastAsia="en-GB"/>
        </w:rPr>
      </w:pPr>
      <w:r>
        <w:rPr>
          <w:rFonts w:ascii="Arial" w:hAnsi="Arial" w:cs="Arial"/>
          <w:b w:val="1"/>
          <w:lang w:val="en-GB" w:bidi="en-GB" w:eastAsia="en-GB"/>
        </w:rPr>
        <w:t>Module (M)</w:t>
        <w:br w:type="textWrapping"/>
      </w:r>
      <w:r>
        <w:rPr>
          <w:rFonts w:ascii="Arial" w:hAnsi="Arial" w:cs="Arial"/>
          <w:lang w:val="en-GB" w:bidi="en-GB" w:eastAsia="en-GB"/>
        </w:rPr>
        <w:t>= Anal Cancer, Pancreatic Cancer, Gastric Cancer, Liver/ Bile, Oesophageal Cancer, Head and Neck tumours, Neuro-oncological tumours, Paediatric Oncology, Soft tissue Sarcoma, Kidney, Urinary Bladder, Testicles, Penis</w:t>
      </w:r>
    </w:p>
    <w:tbl>
      <w:tblPr>
        <w:tblW w:w="0" w:type="auto"/>
        <w:tblLook w:val="01E0"/>
      </w:tblPr>
      <w:tblGrid/>
      <w:tr>
        <w:tc>
          <w:tcPr>
            <w:tcW w:w="1271" w:type="dxa"/>
          </w:tcPr>
          <w:p>
            <w:pPr>
              <w:spacing w:after="120" w:beforeAutospacing="0" w:afterAutospacing="0"/>
              <w:rPr>
                <w:rFonts w:ascii="Arial" w:hAnsi="Arial" w:cs="Arial"/>
                <w:b w:val="1"/>
                <w:bCs w:val="1"/>
                <w:lang w:val="en-GB" w:bidi="en-GB" w:eastAsia="en-GB"/>
              </w:rPr>
            </w:pPr>
            <w:r>
              <w:rPr>
                <w:rFonts w:ascii="Arial" w:hAnsi="Arial" w:cs="Arial"/>
                <w:b w:val="1"/>
                <w:bCs w:val="1"/>
                <w:lang w:val="en-GB" w:bidi="en-GB" w:eastAsia="en-GB"/>
              </w:rPr>
              <w:t>Focus (F)</w:t>
            </w:r>
          </w:p>
        </w:tc>
        <w:tc>
          <w:tcPr>
            <w:tcW w:w="8929" w:type="dxa"/>
          </w:tcPr>
          <w:p>
            <w:pPr>
              <w:spacing w:before="40" w:after="120" w:beforeAutospacing="0" w:afterAutospacing="0"/>
              <w:rPr>
                <w:rFonts w:ascii="Arial" w:hAnsi="Arial" w:cs="Arial"/>
                <w:lang w:val="en-GB" w:bidi="en-GB" w:eastAsia="en-GB"/>
              </w:rPr>
            </w:pPr>
          </w:p>
          <w:p>
            <w:pPr>
              <w:spacing w:before="40" w:after="120" w:beforeAutospacing="0" w:afterAutospacing="0"/>
              <w:rPr>
                <w:rFonts w:ascii="Arial" w:hAnsi="Arial" w:cs="Arial"/>
                <w:b w:val="1"/>
                <w:lang w:val="en-GB" w:bidi="en-GB" w:eastAsia="en-GB"/>
              </w:rPr>
            </w:pPr>
          </w:p>
        </w:tc>
      </w:tr>
      <w:tr>
        <w:tc>
          <w:tcPr>
            <w:tcW w:w="1271" w:type="dxa"/>
          </w:tcPr>
          <w:p>
            <w:pPr>
              <w:spacing w:after="120" w:beforeAutospacing="0" w:afterAutospacing="0"/>
              <w:jc w:val="center"/>
              <w:rPr>
                <w:rFonts w:ascii="Arial" w:hAnsi="Arial" w:cs="Arial"/>
                <w:lang w:val="en-GB" w:bidi="en-GB" w:eastAsia="en-GB"/>
              </w:rPr>
            </w:pPr>
            <w:r>
              <w:rPr>
                <w:rFonts w:ascii="Arial" w:hAnsi="Arial" w:cs="Arial"/>
                <w:lang w:val="en-GB" w:bidi="en-GB" w:eastAsia="en-GB"/>
              </w:rPr>
              <w:t>I</w:t>
            </w:r>
          </w:p>
        </w:tc>
        <w:tc>
          <w:tcPr>
            <w:tcW w:w="8929" w:type="dxa"/>
          </w:tcPr>
          <w:p>
            <w:pPr>
              <w:spacing w:before="40" w:after="120" w:beforeAutospacing="0" w:afterAutospacing="0"/>
              <w:rPr>
                <w:rFonts w:ascii="Arial" w:hAnsi="Arial" w:cs="Arial"/>
                <w:lang w:val="en-GB" w:bidi="en-GB" w:eastAsia="en-GB"/>
              </w:rPr>
            </w:pPr>
            <w:r>
              <w:rPr>
                <w:rFonts w:ascii="Arial" w:hAnsi="Arial" w:cs="Arial"/>
                <w:lang w:val="en-GB" w:bidi="en-GB" w:eastAsia="en-GB"/>
              </w:rPr>
              <w:t xml:space="preserve">Neuroendocrine tumours of the gastrointestinal tract, tumours of the small intestine; </w:t>
            </w:r>
            <w:r>
              <w:rPr>
                <w:rFonts w:ascii="Arial" w:hAnsi="Arial" w:cs="Arial"/>
                <w:highlight w:val="green"/>
                <w:lang w:val="en-GB" w:bidi="en-GB" w:eastAsia="en-GB"/>
              </w:rPr>
              <w:t>extrahepatic bile ducts</w:t>
            </w:r>
          </w:p>
        </w:tc>
      </w:tr>
      <w:tr>
        <w:tc>
          <w:tcPr>
            <w:tcW w:w="1271" w:type="dxa"/>
          </w:tcPr>
          <w:p>
            <w:pPr>
              <w:spacing w:after="120" w:beforeAutospacing="0" w:afterAutospacing="0"/>
              <w:jc w:val="center"/>
              <w:rPr>
                <w:rFonts w:ascii="Arial" w:hAnsi="Arial" w:cs="Arial"/>
                <w:lang w:val="en-GB" w:bidi="en-GB" w:eastAsia="en-GB"/>
              </w:rPr>
            </w:pPr>
            <w:r>
              <w:rPr>
                <w:rFonts w:ascii="Arial" w:hAnsi="Arial" w:cs="Arial"/>
                <w:lang w:val="en-GB" w:bidi="en-GB" w:eastAsia="en-GB"/>
              </w:rPr>
              <w:t>IV</w:t>
            </w:r>
          </w:p>
        </w:tc>
        <w:tc>
          <w:tcPr>
            <w:tcW w:w="8929" w:type="dxa"/>
          </w:tcPr>
          <w:p>
            <w:pPr>
              <w:spacing w:after="120" w:beforeAutospacing="0" w:afterAutospacing="0"/>
              <w:rPr>
                <w:rFonts w:ascii="Arial" w:hAnsi="Arial" w:cs="Arial"/>
                <w:lang w:val="en-GB" w:bidi="en-GB" w:eastAsia="en-GB"/>
              </w:rPr>
            </w:pPr>
            <w:r>
              <w:rPr>
                <w:rFonts w:ascii="Arial" w:hAnsi="Arial" w:cs="Arial"/>
                <w:lang w:val="en-GB" w:bidi="en-GB" w:eastAsia="en-GB"/>
              </w:rPr>
              <w:t>Endocrine malignancies (incl. thyroid, adrenal gland, paraganglia, pituitary gland, parathyroid, neuroendocrine tumours)</w:t>
            </w:r>
          </w:p>
        </w:tc>
      </w:tr>
      <w:tr>
        <w:tc>
          <w:tcPr>
            <w:tcW w:w="1271" w:type="dxa"/>
          </w:tcPr>
          <w:p>
            <w:pPr>
              <w:jc w:val="center"/>
              <w:rPr>
                <w:rFonts w:ascii="Arial" w:hAnsi="Arial" w:cs="Arial"/>
                <w:lang w:val="en-GB" w:bidi="en-GB" w:eastAsia="en-GB"/>
              </w:rPr>
            </w:pPr>
            <w:r>
              <w:rPr>
                <w:rFonts w:ascii="Arial" w:hAnsi="Arial" w:cs="Arial"/>
                <w:lang w:val="en-GB" w:bidi="en-GB" w:eastAsia="en-GB"/>
              </w:rPr>
              <w:t>VI</w:t>
            </w:r>
          </w:p>
        </w:tc>
        <w:tc>
          <w:tcPr>
            <w:tcW w:w="8929" w:type="dxa"/>
          </w:tcPr>
          <w:p>
            <w:pPr>
              <w:spacing w:lineRule="auto" w:line="276" w:beforeAutospacing="0" w:afterAutospacing="0"/>
              <w:rPr>
                <w:rFonts w:ascii="Arial" w:hAnsi="Arial" w:cs="Arial"/>
                <w:strike w:val="1"/>
                <w:lang w:val="en-GB" w:bidi="en-GB" w:eastAsia="en-GB"/>
              </w:rPr>
            </w:pPr>
            <w:r>
              <w:rPr>
                <w:rFonts w:ascii="Arial" w:hAnsi="Arial" w:cs="Arial"/>
                <w:strike w:val="1"/>
                <w:lang w:val="en-GB" w:bidi="en-GB" w:eastAsia="en-GB"/>
              </w:rPr>
              <w:t xml:space="preserve">Testicles and Penis </w:t>
            </w:r>
            <w:r>
              <w:rPr>
                <w:rFonts w:ascii="Arial" w:hAnsi="Arial" w:cs="Arial"/>
                <w:highlight w:val="green"/>
                <w:lang w:val="en-GB" w:bidi="en-GB" w:eastAsia="en-GB"/>
              </w:rPr>
              <w:t>Renal pelvis carcinomas (C65), ureter carcinomas (excluding ureteric ostium) (C66)</w:t>
            </w:r>
          </w:p>
        </w:tc>
      </w:tr>
    </w:tbl>
    <w:p>
      <w:pPr>
        <w:ind w:left="426"/>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 xml:space="preserve">The tumours listed in Foci I-VI are to be further developed stepwise. Tumours in the Focus List may not be included as Transit (=”T”) but only as a Focus in the scope of the Oncology Centres. </w:t>
      </w:r>
    </w:p>
    <w:p>
      <w:pPr>
        <w:ind w:left="426"/>
        <w:rPr>
          <w:rFonts w:ascii="Arial" w:hAnsi="Arial" w:cs="Arial"/>
          <w:lang w:val="en-GB" w:bidi="en-GB" w:eastAsia="en-GB"/>
        </w:rPr>
      </w:pPr>
    </w:p>
    <w:p>
      <w:pPr>
        <w:rPr>
          <w:rFonts w:ascii="Arial" w:hAnsi="Arial" w:cs="Arial"/>
          <w:sz w:val="24"/>
          <w:lang w:val="en-GB" w:bidi="en-GB" w:eastAsia="en-GB"/>
        </w:rPr>
      </w:pPr>
      <w:bookmarkStart w:id="4" w:name="_Hlk122011059"/>
      <w:r>
        <w:rPr>
          <w:rFonts w:ascii="Arial" w:hAnsi="Arial" w:cs="Arial"/>
          <w:b w:val="1"/>
          <w:lang w:val="en-GB" w:bidi="en-GB" w:eastAsia="en-GB"/>
        </w:rPr>
        <w:t xml:space="preserve">Transition periods Focus </w:t>
      </w:r>
      <w:r>
        <w:rPr>
          <w:rFonts w:ascii="Wingdings" w:hAnsi="Wingdings" w:cs="Wingdings" w:eastAsia="Wingdings"/>
          <w:b w:val="1"/>
          <w:lang w:val="en-GB" w:bidi="en-GB" w:eastAsia="en-GB"/>
        </w:rPr>
        <w:t></w:t>
      </w:r>
      <w:r>
        <w:rPr>
          <w:rFonts w:ascii="Arial" w:hAnsi="Arial" w:cs="Arial"/>
          <w:b w:val="1"/>
          <w:lang w:val="en-GB" w:bidi="en-GB" w:eastAsia="en-GB"/>
        </w:rPr>
        <w:t xml:space="preserve"> Module/Centre</w:t>
      </w:r>
    </w:p>
    <w:p>
      <w:pPr>
        <w:rPr>
          <w:rFonts w:ascii="Arial" w:hAnsi="Arial" w:cs="Arial"/>
          <w:b w:val="1"/>
          <w:highlight w:val="yellow"/>
          <w:lang w:val="en-GB" w:bidi="en-GB" w:eastAsia="en-GB"/>
        </w:rPr>
      </w:pPr>
      <w:bookmarkEnd w:id="4"/>
    </w:p>
    <w:p>
      <w:pPr>
        <w:rPr>
          <w:rFonts w:ascii="Arial" w:hAnsi="Arial" w:cs="Arial"/>
          <w:sz w:val="24"/>
          <w:lang w:val="en-GB" w:bidi="en-GB" w:eastAsia="en-GB"/>
        </w:rPr>
      </w:pPr>
      <w:r>
        <w:rPr>
          <w:rFonts w:ascii="Arial" w:hAnsi="Arial" w:cs="Arial"/>
          <w:b w:val="1"/>
          <w:lang w:val="en-GB" w:bidi="en-GB" w:eastAsia="en-GB"/>
        </w:rPr>
        <w:t>Testicles</w:t>
      </w:r>
    </w:p>
    <w:p>
      <w:pPr>
        <w:rPr>
          <w:rFonts w:ascii="Arial" w:hAnsi="Arial" w:cs="Arial"/>
          <w:b w:val="1"/>
          <w:bCs w:val="1"/>
          <w:sz w:val="24"/>
          <w:lang w:val="en-GB" w:bidi="en-GB" w:eastAsia="en-GB"/>
        </w:rPr>
      </w:pPr>
      <w:r>
        <w:rPr>
          <w:rFonts w:ascii="Arial" w:hAnsi="Arial" w:cs="Arial"/>
          <w:bCs w:val="1"/>
          <w:strike w:val="1"/>
          <w:highlight w:val="green"/>
          <w:lang w:val="en-GB" w:bidi="en-GB" w:eastAsia="en-GB"/>
        </w:rPr>
        <w:t>In audit year 2025, 3 verification levels can still be selected for the testicular cancer (module, transit, focus). In</w:t>
      </w:r>
      <w:r>
        <w:rPr>
          <w:rFonts w:ascii="Arial" w:hAnsi="Arial" w:cs="Arial"/>
          <w:bCs w:val="1"/>
          <w:lang w:val="en-GB" w:bidi="en-GB" w:eastAsia="en-GB"/>
        </w:rPr>
        <w:t xml:space="preserve"> </w:t>
      </w:r>
      <w:r>
        <w:rPr>
          <w:rFonts w:ascii="Arial" w:hAnsi="Arial" w:cs="Arial"/>
          <w:bCs w:val="1"/>
          <w:highlight w:val="green"/>
          <w:lang w:val="en-GB" w:bidi="en-GB" w:eastAsia="en-GB"/>
        </w:rPr>
        <w:t>From</w:t>
      </w:r>
      <w:r>
        <w:rPr>
          <w:rFonts w:ascii="Arial" w:hAnsi="Arial" w:cs="Arial"/>
          <w:bCs w:val="1"/>
          <w:lang w:val="en-GB" w:bidi="en-GB" w:eastAsia="en-GB"/>
        </w:rPr>
        <w:t xml:space="preserve"> audit year 2026 </w:t>
      </w:r>
      <w:r>
        <w:rPr>
          <w:rFonts w:ascii="Arial" w:hAnsi="Arial" w:cs="Arial"/>
          <w:bCs w:val="1"/>
          <w:highlight w:val="green"/>
          <w:lang w:val="en-GB" w:bidi="en-GB" w:eastAsia="en-GB"/>
        </w:rPr>
        <w:t>onwards</w:t>
      </w:r>
      <w:r>
        <w:rPr>
          <w:rFonts w:ascii="Arial" w:hAnsi="Arial" w:cs="Arial"/>
          <w:bCs w:val="1"/>
          <w:lang w:val="en-GB" w:bidi="en-GB" w:eastAsia="en-GB"/>
        </w:rPr>
        <w:t>, only the verification levels module and transit are possible.</w:t>
      </w:r>
    </w:p>
    <w:p>
      <w:pPr>
        <w:rPr>
          <w:rFonts w:ascii="Arial" w:hAnsi="Arial" w:cs="Arial"/>
          <w:bCs w:val="1"/>
          <w:lang w:val="en-GB" w:bidi="en-GB" w:eastAsia="en-GB"/>
        </w:rPr>
      </w:pPr>
    </w:p>
    <w:p>
      <w:pPr>
        <w:rPr>
          <w:rFonts w:ascii="Arial" w:hAnsi="Arial" w:cs="Arial"/>
          <w:lang w:val="en-GB" w:bidi="en-GB" w:eastAsia="en-GB"/>
        </w:rPr>
      </w:pPr>
      <w:r>
        <w:rPr>
          <w:rFonts w:ascii="Arial" w:hAnsi="Arial" w:cs="Arial"/>
          <w:lang w:val="en-GB" w:bidi="en-GB" w:eastAsia="en-GB"/>
        </w:rPr>
        <w:t xml:space="preserve">If certification of the testicular cancer as a transit centre is not possible due to the number of cases, the entity must be marked in the cert-calculator with the verification level “V” (treated, but not in the scope of the Oncology Centre). </w:t>
      </w:r>
    </w:p>
    <w:p>
      <w:pPr>
        <w:numPr>
          <w:ilvl w:val="0"/>
          <w:numId w:val="14"/>
        </w:numPr>
        <w:contextualSpacing w:val="1"/>
        <w:rPr>
          <w:rFonts w:ascii="Arial" w:hAnsi="Arial" w:cs="Arial"/>
          <w:bCs w:val="1"/>
          <w:lang w:val="en-GB" w:bidi="en-GB" w:eastAsia="en-GB"/>
        </w:rPr>
      </w:pPr>
      <w:r>
        <w:rPr>
          <w:rFonts w:ascii="Arial" w:hAnsi="Arial" w:cs="Arial"/>
          <w:bCs w:val="1"/>
          <w:lang w:val="en-GB" w:bidi="en-GB" w:eastAsia="en-GB"/>
        </w:rPr>
        <w:t>From audit year 2027 onwards, if the “scope of application (min. 50%)”/”scope within range of care provided (min. 70%)” is not met, the certificate of the Oncology Center can be extended by a maximum of 1 year.</w:t>
      </w:r>
    </w:p>
    <w:p>
      <w:pPr>
        <w:numPr>
          <w:ilvl w:val="0"/>
          <w:numId w:val="14"/>
        </w:numPr>
        <w:contextualSpacing w:val="1"/>
        <w:rPr>
          <w:rFonts w:ascii="Arial" w:hAnsi="Arial" w:cs="Arial"/>
          <w:bCs w:val="1"/>
          <w:lang w:val="en-GB" w:bidi="en-GB" w:eastAsia="en-GB"/>
        </w:rPr>
      </w:pPr>
      <w:r>
        <w:rPr>
          <w:rFonts w:ascii="Arial" w:hAnsi="Arial" w:cs="Arial"/>
          <w:bCs w:val="1"/>
          <w:lang w:val="en-GB" w:bidi="en-GB" w:eastAsia="en-GB"/>
        </w:rPr>
        <w:t>From audit year 2028 onwards, if the “scope of application (min. 50%)”/” scope within range of care provided (min. 70%)” is not met, the certificate of the Oncology Center can be extended by a maximum of 1 year.</w:t>
      </w:r>
    </w:p>
    <w:p>
      <w:pPr>
        <w:ind w:left="426"/>
        <w:rPr>
          <w:rFonts w:ascii="Arial" w:hAnsi="Arial" w:cs="Arial"/>
          <w:bCs w:val="1"/>
          <w:lang w:val="en-GB" w:bidi="en-GB" w:eastAsia="en-GB"/>
        </w:rPr>
      </w:pPr>
    </w:p>
    <w:p>
      <w:pPr>
        <w:rPr>
          <w:rFonts w:ascii="Arial" w:hAnsi="Arial" w:cs="Arial"/>
          <w:lang w:val="en-GB" w:bidi="en-GB" w:eastAsia="en-GB"/>
        </w:rPr>
      </w:pPr>
      <w:r>
        <w:rPr>
          <w:rFonts w:ascii="Arial" w:hAnsi="Arial" w:cs="Arial"/>
          <w:lang w:val="en-GB" w:bidi="en-GB" w:eastAsia="en-GB"/>
        </w:rPr>
        <w:t>With the audit year 2029, all transition periods for the testicular cancer will end.</w:t>
      </w:r>
    </w:p>
    <w:p>
      <w:pPr>
        <w:rPr>
          <w:rFonts w:ascii="Arial" w:hAnsi="Arial" w:cs="Arial"/>
          <w:bCs w:val="1"/>
          <w:highlight w:val="cyan"/>
          <w:lang w:val="en-GB" w:bidi="en-GB" w:eastAsia="en-GB"/>
        </w:rPr>
      </w:pPr>
    </w:p>
    <w:p>
      <w:pPr>
        <w:rPr>
          <w:rFonts w:ascii="Arial" w:hAnsi="Arial" w:cs="Arial"/>
          <w:b w:val="1"/>
          <w:highlight w:val="green"/>
          <w:lang w:val="en-GB" w:bidi="en-GB" w:eastAsia="en-GB"/>
        </w:rPr>
      </w:pPr>
      <w:r>
        <w:rPr>
          <w:rFonts w:ascii="Arial" w:hAnsi="Arial" w:cs="Arial"/>
          <w:b w:val="1"/>
          <w:highlight w:val="green"/>
          <w:lang w:val="en-GB" w:bidi="en-GB" w:eastAsia="en-GB"/>
        </w:rPr>
        <w:t>Penis</w:t>
      </w:r>
    </w:p>
    <w:p>
      <w:pPr>
        <w:rPr>
          <w:rFonts w:ascii="Arial" w:hAnsi="Arial" w:cs="Arial"/>
          <w:bCs w:val="1"/>
          <w:strike w:val="1"/>
          <w:highlight w:val="green"/>
          <w:lang w:val="en-GB" w:bidi="en-GB" w:eastAsia="en-GB"/>
        </w:rPr>
      </w:pPr>
      <w:r>
        <w:rPr>
          <w:rFonts w:ascii="Arial" w:hAnsi="Arial" w:cs="Arial"/>
          <w:bCs w:val="1"/>
          <w:strike w:val="1"/>
          <w:highlight w:val="green"/>
          <w:lang w:val="en-GB" w:bidi="en-GB" w:eastAsia="en-GB"/>
        </w:rPr>
        <w:t xml:space="preserve">In the audit years 2025, 2 level of competences can still be selected for the Penis Entity ("Module", "Focus"). </w:t>
      </w:r>
    </w:p>
    <w:p>
      <w:pPr>
        <w:rPr>
          <w:rFonts w:ascii="Arial" w:hAnsi="Arial" w:cs="Arial"/>
          <w:bCs w:val="1"/>
          <w:highlight w:val="green"/>
          <w:lang w:val="en-GB" w:bidi="en-GB" w:eastAsia="en-GB"/>
        </w:rPr>
      </w:pPr>
    </w:p>
    <w:p>
      <w:pPr>
        <w:rPr>
          <w:rFonts w:ascii="Arial" w:hAnsi="Arial" w:cs="Arial"/>
          <w:bCs w:val="1"/>
          <w:lang w:val="en-GB" w:bidi="en-GB" w:eastAsia="en-GB"/>
        </w:rPr>
      </w:pPr>
      <w:r>
        <w:rPr>
          <w:rFonts w:ascii="Arial" w:hAnsi="Arial" w:cs="Arial"/>
          <w:bCs w:val="1"/>
          <w:lang w:val="en-GB" w:bidi="en-GB" w:eastAsia="en-GB"/>
        </w:rPr>
        <w:t>In the audit year 2026, only the Module level of competence will be possible.</w:t>
      </w:r>
    </w:p>
    <w:p>
      <w:pPr>
        <w:ind w:left="426"/>
        <w:rPr>
          <w:rFonts w:ascii="Arial" w:hAnsi="Arial" w:cs="Arial"/>
          <w:b w:val="1"/>
          <w:lang w:val="en-GB" w:bidi="en-GB" w:eastAsia="en-GB"/>
        </w:rPr>
      </w:pPr>
    </w:p>
    <w:p>
      <w:pPr>
        <w:rPr>
          <w:rFonts w:ascii="Arial" w:hAnsi="Arial" w:cs="Arial"/>
          <w:lang w:val="en-GB" w:bidi="en-GB" w:eastAsia="en-GB"/>
        </w:rPr>
      </w:pPr>
      <w:r>
        <w:rPr>
          <w:rFonts w:ascii="Arial" w:hAnsi="Arial" w:cs="Arial"/>
          <w:lang w:val="en-GB" w:bidi="en-GB" w:eastAsia="en-GB"/>
        </w:rPr>
        <w:br w:type="page"/>
      </w:r>
    </w:p>
    <w:p>
      <w:pPr>
        <w:rPr>
          <w:rFonts w:ascii="Arial" w:hAnsi="Arial" w:cs="Arial"/>
          <w:b w:val="1"/>
          <w:sz w:val="22"/>
          <w:szCs w:val="22"/>
          <w:lang w:val="en-GB" w:bidi="en-GB" w:eastAsia="en-GB"/>
        </w:rPr>
      </w:pPr>
      <w:r>
        <w:rPr>
          <w:rFonts w:ascii="Arial" w:hAnsi="Arial" w:cs="Arial"/>
          <w:b w:val="1"/>
          <w:sz w:val="22"/>
          <w:szCs w:val="22"/>
          <w:lang w:val="en-GB" w:bidi="en-GB" w:eastAsia="en-GB"/>
        </w:rPr>
        <w:t>Structural requirements / definitions</w:t>
      </w:r>
    </w:p>
    <w:p>
      <w:pPr>
        <w:ind w:left="426"/>
        <w:rPr>
          <w:rFonts w:ascii="Arial" w:hAnsi="Arial" w:cs="Arial"/>
          <w:b w:val="1"/>
          <w:bCs w:val="1"/>
          <w:vanish w:val="1"/>
          <w:sz w:val="24"/>
          <w:szCs w:val="24"/>
          <w:lang w:val="en-GB" w:bidi="en-GB" w:eastAsia="en-GB"/>
        </w:rPr>
      </w:pPr>
    </w:p>
    <w:p>
      <w:pPr>
        <w:ind w:left="426"/>
        <w:rPr>
          <w:rFonts w:ascii="Arial" w:hAnsi="Arial" w:cs="Arial"/>
          <w:lang w:val="en-GB" w:bidi="en-GB" w:eastAsia="en-GB"/>
        </w:rPr>
      </w:pPr>
    </w:p>
    <w:p>
      <w:pPr>
        <w:rPr>
          <w:rFonts w:ascii="Arial" w:hAnsi="Arial" w:cs="Arial"/>
          <w:lang w:val="en-GB" w:bidi="en-GB" w:eastAsia="en-GB"/>
        </w:rPr>
      </w:pPr>
      <w:r>
        <w:rPr>
          <w:rFonts w:ascii="Arial" w:hAnsi="Arial" w:cs="Arial"/>
          <w:b w:val="1"/>
          <w:lang w:val="en-GB" w:bidi="en-GB" w:eastAsia="en-GB"/>
        </w:rPr>
        <w:t>Transit (T)</w:t>
        <w:br w:type="textWrapping"/>
      </w:r>
      <w:r>
        <w:rPr>
          <w:rFonts w:ascii="Arial" w:hAnsi="Arial" w:cs="Arial"/>
          <w:lang w:val="en-GB" w:bidi="en-GB" w:eastAsia="en-GB"/>
        </w:rPr>
        <w:t>If a Centre does not as yet fulfil the primary case requirements for a tumour entity to be met by an Organ Cancer Centre (C) or a Module (M), this organ can be certified in a transitory manner (level of competence “Transit”) in the Oncology Centre. The objective of this level of competence is further development into a certified Organ Cancer Centre (C) or Module (M). For the initial certification of an Oncology Centre maximum 2 entities can be in the evidence level “T” (Transit), for the re-certification (3 years after initial certification) only one entity in “T” is permitted. After the second re-certification of the Oncology Centre (6 years after initial certification) no entity is permitted to be labelled in transit.</w:t>
      </w:r>
    </w:p>
    <w:p>
      <w:pPr>
        <w:rPr>
          <w:rFonts w:ascii="Arial" w:hAnsi="Arial" w:cs="Arial"/>
          <w:lang w:val="en-GB" w:bidi="en-GB" w:eastAsia="en-GB"/>
        </w:rPr>
      </w:pPr>
    </w:p>
    <w:p>
      <w:pPr>
        <w:rPr>
          <w:rFonts w:ascii="Arial" w:hAnsi="Arial" w:cs="Arial"/>
          <w:lang w:val="en-GB" w:bidi="en-GB" w:eastAsia="en-GB"/>
        </w:rPr>
      </w:pPr>
    </w:p>
    <w:p>
      <w:pPr>
        <w:rPr>
          <w:rFonts w:ascii="Arial" w:hAnsi="Arial" w:cs="Arial"/>
          <w:u w:val="single"/>
          <w:lang w:val="en-GB" w:bidi="en-GB" w:eastAsia="en-GB"/>
        </w:rPr>
      </w:pPr>
      <w:r>
        <w:rPr>
          <w:rFonts w:ascii="Arial" w:hAnsi="Arial" w:cs="Arial"/>
          <w:sz w:val="2"/>
          <w:lang w:val="en-GB" w:bidi="en-GB" w:eastAsia="en-GB"/>
        </w:rPr>
        <w:t>U</w:t>
      </w:r>
      <w:r>
        <w:rPr>
          <w:rFonts w:ascii="Arial" w:hAnsi="Arial" w:cs="Arial"/>
          <w:u w:val="single"/>
          <w:lang w:val="en-GB" w:bidi="en-GB" w:eastAsia="en-GB"/>
        </w:rPr>
        <w:t>Annex Tumour Entity</w:t>
      </w:r>
    </w:p>
    <w:p>
      <w:pPr>
        <w:spacing w:after="200" w:beforeAutospacing="0" w:afterAutospacing="0"/>
        <w:contextualSpacing w:val="1"/>
        <w:rPr>
          <w:rFonts w:ascii="Arial" w:hAnsi="Arial" w:cs="Arial"/>
          <w:lang w:val="en-GB" w:bidi="en-GB" w:eastAsia="en-GB"/>
        </w:rPr>
      </w:pPr>
      <w:r>
        <w:rPr>
          <w:rFonts w:ascii="Arial" w:hAnsi="Arial" w:cs="Arial"/>
          <w:lang w:val="en-GB" w:bidi="en-GB" w:eastAsia="en-GB"/>
        </w:rPr>
        <w:t xml:space="preserve">In the case of tumour entities that are introduced into the scope of the Oncology Centre as Focus or Transit, the clinics must outline their medical therapy regimens and qualifications for the diagnosis and treatment of the disease on the basis of the template </w:t>
      </w:r>
      <w:r>
        <w:rPr>
          <w:rFonts w:ascii="Arial" w:hAnsi="Arial" w:cs="Arial"/>
          <w:b w:val="1"/>
          <w:lang w:val="en-GB" w:bidi="en-GB" w:eastAsia="en-GB"/>
        </w:rPr>
        <w:t>“Annex Tumour Entity”</w:t>
      </w:r>
      <w:r>
        <w:rPr>
          <w:rFonts w:ascii="Arial" w:hAnsi="Arial" w:cs="Arial"/>
          <w:lang w:val="en-GB" w:bidi="en-GB" w:eastAsia="en-GB"/>
        </w:rPr>
        <w:t>.</w:t>
      </w:r>
    </w:p>
    <w:p>
      <w:pPr>
        <w:rPr>
          <w:rFonts w:ascii="Arial" w:hAnsi="Arial" w:cs="Arial"/>
          <w:lang w:val="en-GB" w:bidi="en-GB" w:eastAsia="en-GB"/>
        </w:rPr>
      </w:pPr>
    </w:p>
    <w:p>
      <w:pPr>
        <w:rPr>
          <w:rFonts w:ascii="Arial" w:hAnsi="Arial" w:cs="Arial"/>
          <w:lang w:val="en-GB" w:bidi="en-GB" w:eastAsia="en-GB"/>
        </w:rPr>
      </w:pPr>
    </w:p>
    <w:tbl>
      <w:tblPr>
        <w:tblW w:w="0" w:type="auto"/>
        <w:tblInd w:w="108"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ook w:val="04A0"/>
      </w:tblPr>
      <w:tblGrid/>
      <w:tr>
        <w:tc>
          <w:tcPr>
            <w:tcW w:w="3340" w:type="dxa"/>
          </w:tcPr>
          <w:p>
            <w:pPr>
              <w:rPr>
                <w:rFonts w:ascii="Arial" w:hAnsi="Arial" w:cs="Arial"/>
                <w:highlight w:val="yellow"/>
                <w:lang w:val="en-GB" w:bidi="en-GB" w:eastAsia="en-GB"/>
              </w:rPr>
            </w:pPr>
          </w:p>
        </w:tc>
        <w:tc>
          <w:tcPr>
            <w:tcW w:w="3448" w:type="dxa"/>
            <w:vAlign w:val="center"/>
          </w:tcPr>
          <w:p>
            <w:pPr>
              <w:jc w:val="center"/>
              <w:rPr>
                <w:rFonts w:ascii="Arial" w:hAnsi="Arial" w:cs="Arial"/>
                <w:lang w:val="en-GB" w:bidi="en-GB" w:eastAsia="en-GB"/>
              </w:rPr>
            </w:pPr>
            <w:r>
              <w:rPr>
                <w:rFonts w:ascii="Arial" w:hAnsi="Arial" w:cs="Arial"/>
                <w:lang w:val="en-GB" w:bidi="en-GB" w:eastAsia="en-GB"/>
              </w:rPr>
              <w:t>Initial certification</w:t>
            </w:r>
          </w:p>
        </w:tc>
        <w:tc>
          <w:tcPr>
            <w:tcW w:w="3449" w:type="dxa"/>
            <w:vAlign w:val="center"/>
          </w:tcPr>
          <w:p>
            <w:pPr>
              <w:jc w:val="center"/>
              <w:rPr>
                <w:rFonts w:ascii="Arial" w:hAnsi="Arial" w:cs="Arial"/>
                <w:lang w:val="en-GB" w:bidi="en-GB" w:eastAsia="en-GB"/>
              </w:rPr>
            </w:pPr>
            <w:r>
              <w:rPr>
                <w:rFonts w:ascii="Arial" w:hAnsi="Arial" w:cs="Arial"/>
                <w:lang w:val="en-GB" w:bidi="en-GB" w:eastAsia="en-GB"/>
              </w:rPr>
              <w:t>Recertification</w:t>
              <w:br w:type="textWrapping"/>
              <w:t>(after 3 years)</w:t>
            </w:r>
          </w:p>
        </w:tc>
      </w:tr>
      <w:tr>
        <w:tc>
          <w:tcPr>
            <w:tcW w:w="3340" w:type="dxa"/>
          </w:tcPr>
          <w:p>
            <w:pPr>
              <w:rPr>
                <w:rFonts w:ascii="Arial" w:hAnsi="Arial" w:cs="Arial"/>
                <w:lang w:val="en-GB" w:bidi="en-GB" w:eastAsia="en-GB"/>
              </w:rPr>
            </w:pPr>
            <w:r>
              <w:rPr>
                <w:rFonts w:ascii="Arial" w:hAnsi="Arial" w:cs="Arial"/>
                <w:lang w:val="en-GB" w:bidi="en-GB" w:eastAsia="en-GB"/>
              </w:rPr>
              <w:t>Number of Organ Cancer Centres (C) and/or Modules (M)</w:t>
            </w:r>
          </w:p>
        </w:tc>
        <w:tc>
          <w:tcPr>
            <w:tcW w:w="3448" w:type="dxa"/>
            <w:vAlign w:val="center"/>
          </w:tcPr>
          <w:p>
            <w:pPr>
              <w:jc w:val="center"/>
              <w:rPr>
                <w:rFonts w:ascii="Arial" w:hAnsi="Arial" w:cs="Arial"/>
                <w:lang w:val="en-GB" w:bidi="en-GB" w:eastAsia="en-GB"/>
              </w:rPr>
            </w:pPr>
            <w:r>
              <w:rPr>
                <w:rFonts w:ascii="Arial" w:hAnsi="Arial" w:cs="Arial"/>
                <w:lang w:val="en-GB" w:bidi="en-GB" w:eastAsia="en-GB"/>
              </w:rPr>
              <w:t>2</w:t>
            </w:r>
          </w:p>
        </w:tc>
        <w:tc>
          <w:tcPr>
            <w:tcW w:w="3449" w:type="dxa"/>
            <w:vAlign w:val="center"/>
          </w:tcPr>
          <w:p>
            <w:pPr>
              <w:jc w:val="center"/>
              <w:rPr>
                <w:rFonts w:ascii="Arial" w:hAnsi="Arial" w:cs="Arial"/>
                <w:lang w:val="en-GB" w:bidi="en-GB" w:eastAsia="en-GB"/>
              </w:rPr>
            </w:pPr>
            <w:r>
              <w:rPr>
                <w:rFonts w:ascii="Arial" w:hAnsi="Arial" w:cs="Arial"/>
                <w:lang w:val="en-GB" w:bidi="en-GB" w:eastAsia="en-GB"/>
              </w:rPr>
              <w:t>3</w:t>
            </w:r>
          </w:p>
        </w:tc>
      </w:tr>
      <w:tr>
        <w:tc>
          <w:tcPr>
            <w:tcW w:w="3340" w:type="dxa"/>
          </w:tcPr>
          <w:p>
            <w:pPr>
              <w:rPr>
                <w:rFonts w:ascii="Arial" w:hAnsi="Arial" w:cs="Arial"/>
                <w:lang w:val="en-GB" w:bidi="en-GB" w:eastAsia="en-GB"/>
              </w:rPr>
            </w:pPr>
            <w:r>
              <w:rPr>
                <w:rFonts w:ascii="Arial" w:hAnsi="Arial" w:cs="Arial"/>
                <w:lang w:val="en-GB" w:bidi="en-GB" w:eastAsia="en-GB"/>
              </w:rPr>
              <w:t>Scope in line with Certcalculator</w:t>
            </w:r>
          </w:p>
        </w:tc>
        <w:tc>
          <w:tcPr>
            <w:tcW w:w="3448" w:type="dxa"/>
            <w:vAlign w:val="center"/>
          </w:tcPr>
          <w:p>
            <w:pPr>
              <w:jc w:val="center"/>
              <w:rPr>
                <w:rFonts w:ascii="Arial" w:hAnsi="Arial" w:cs="Arial"/>
                <w:lang w:val="en-GB" w:bidi="en-GB" w:eastAsia="en-GB"/>
              </w:rPr>
            </w:pPr>
            <w:r>
              <w:rPr>
                <w:rFonts w:ascii="Arial" w:hAnsi="Arial" w:cs="Arial"/>
                <w:lang w:val="en-GB" w:bidi="en-GB" w:eastAsia="en-GB"/>
              </w:rPr>
              <w:t>&gt;= 50 %</w:t>
            </w:r>
          </w:p>
        </w:tc>
        <w:tc>
          <w:tcPr>
            <w:tcW w:w="3449" w:type="dxa"/>
            <w:vAlign w:val="center"/>
          </w:tcPr>
          <w:p>
            <w:pPr>
              <w:jc w:val="center"/>
              <w:rPr>
                <w:rFonts w:ascii="Arial" w:hAnsi="Arial" w:cs="Arial"/>
                <w:lang w:val="en-GB" w:bidi="en-GB" w:eastAsia="en-GB"/>
              </w:rPr>
            </w:pPr>
            <w:r>
              <w:rPr>
                <w:rFonts w:ascii="Arial" w:hAnsi="Arial" w:cs="Arial"/>
                <w:lang w:val="en-GB" w:bidi="en-GB" w:eastAsia="en-GB"/>
              </w:rPr>
              <w:t>&gt;= 50 %</w:t>
            </w:r>
          </w:p>
        </w:tc>
      </w:tr>
      <w:tr>
        <w:tc>
          <w:tcPr>
            <w:tcW w:w="3340" w:type="dxa"/>
          </w:tcPr>
          <w:p>
            <w:pPr>
              <w:rPr>
                <w:rFonts w:ascii="Arial" w:hAnsi="Arial" w:cs="Arial"/>
                <w:lang w:val="en-GB" w:bidi="en-GB" w:eastAsia="en-GB"/>
              </w:rPr>
            </w:pPr>
            <w:r>
              <w:rPr>
                <w:rFonts w:ascii="Arial" w:hAnsi="Arial" w:cs="Arial"/>
                <w:lang w:val="en-GB" w:bidi="en-GB" w:eastAsia="en-GB"/>
              </w:rPr>
              <w:t>Scope within the range of care provided</w:t>
            </w:r>
          </w:p>
        </w:tc>
        <w:tc>
          <w:tcPr>
            <w:tcW w:w="3448" w:type="dxa"/>
            <w:vAlign w:val="center"/>
          </w:tcPr>
          <w:p>
            <w:pPr>
              <w:jc w:val="center"/>
              <w:rPr>
                <w:rFonts w:ascii="Arial" w:hAnsi="Arial" w:cs="Arial"/>
                <w:lang w:val="en-GB" w:bidi="en-GB" w:eastAsia="en-GB"/>
              </w:rPr>
            </w:pPr>
            <w:r>
              <w:rPr>
                <w:rFonts w:ascii="Arial" w:hAnsi="Arial" w:cs="Arial"/>
                <w:lang w:val="en-GB" w:bidi="en-GB" w:eastAsia="en-GB"/>
              </w:rPr>
              <w:t>&gt;= 70 %</w:t>
            </w:r>
          </w:p>
        </w:tc>
        <w:tc>
          <w:tcPr>
            <w:tcW w:w="3449" w:type="dxa"/>
            <w:vAlign w:val="center"/>
          </w:tcPr>
          <w:p>
            <w:pPr>
              <w:jc w:val="center"/>
              <w:rPr>
                <w:rFonts w:ascii="Arial" w:hAnsi="Arial" w:cs="Arial"/>
                <w:lang w:val="en-GB" w:bidi="en-GB" w:eastAsia="en-GB"/>
              </w:rPr>
            </w:pPr>
            <w:r>
              <w:rPr>
                <w:rFonts w:ascii="Arial" w:hAnsi="Arial" w:cs="Arial"/>
                <w:lang w:val="en-GB" w:bidi="en-GB" w:eastAsia="en-GB"/>
              </w:rPr>
              <w:t>&gt;= 70 %</w:t>
            </w:r>
          </w:p>
        </w:tc>
      </w:tr>
      <w:tr>
        <w:tc>
          <w:tcPr>
            <w:tcW w:w="3340" w:type="dxa"/>
          </w:tcPr>
          <w:p>
            <w:pPr>
              <w:rPr>
                <w:rFonts w:ascii="Arial" w:hAnsi="Arial" w:cs="Arial"/>
                <w:lang w:val="en-GB" w:bidi="en-GB" w:eastAsia="en-GB"/>
              </w:rPr>
            </w:pPr>
            <w:r>
              <w:rPr>
                <w:rFonts w:ascii="Arial" w:hAnsi="Arial" w:cs="Arial"/>
                <w:lang w:val="en-GB" w:bidi="en-GB" w:eastAsia="en-GB"/>
              </w:rPr>
              <w:t>Recognition level of competence “T”</w:t>
            </w:r>
          </w:p>
        </w:tc>
        <w:tc>
          <w:tcPr>
            <w:tcW w:w="3448" w:type="dxa"/>
          </w:tcPr>
          <w:p>
            <w:pPr>
              <w:rPr>
                <w:rFonts w:ascii="Arial" w:hAnsi="Arial" w:cs="Arial"/>
                <w:lang w:val="en-GB" w:bidi="en-GB" w:eastAsia="en-GB"/>
              </w:rPr>
            </w:pPr>
            <w:r>
              <w:rPr>
                <w:rFonts w:ascii="Arial" w:hAnsi="Arial" w:cs="Arial"/>
                <w:lang w:val="en-GB" w:bidi="en-GB" w:eastAsia="en-GB"/>
              </w:rPr>
              <w:t xml:space="preserve">Maximum 2 organs per Centre up to recertification </w:t>
            </w:r>
          </w:p>
        </w:tc>
        <w:tc>
          <w:tcPr>
            <w:tcW w:w="3449" w:type="dxa"/>
          </w:tcPr>
          <w:p>
            <w:pPr>
              <w:rPr>
                <w:rFonts w:ascii="Arial" w:hAnsi="Arial" w:cs="Arial"/>
                <w:lang w:val="en-GB" w:bidi="en-GB" w:eastAsia="en-GB"/>
              </w:rPr>
            </w:pPr>
            <w:r>
              <w:rPr>
                <w:rFonts w:ascii="Arial" w:hAnsi="Arial" w:cs="Arial"/>
                <w:lang w:val="en-GB" w:bidi="en-GB" w:eastAsia="en-GB"/>
              </w:rPr>
              <w:t>Maximum 1 organ per Centre for another 3 years after recertification</w:t>
            </w:r>
          </w:p>
        </w:tc>
      </w:tr>
    </w:tbl>
    <w:p>
      <w:pPr>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p>
    <w:p>
      <w:pPr>
        <w:rPr>
          <w:rFonts w:ascii="Arial" w:hAnsi="Arial" w:cs="Arial"/>
          <w:u w:val="single"/>
          <w:lang w:val="en-GB" w:bidi="en-GB" w:eastAsia="en-GB"/>
        </w:rPr>
      </w:pPr>
      <w:r>
        <w:rPr>
          <w:rFonts w:ascii="Arial" w:hAnsi="Arial" w:cs="Arial"/>
          <w:sz w:val="2"/>
          <w:lang w:val="en-GB" w:bidi="en-GB" w:eastAsia="en-GB"/>
        </w:rPr>
        <w:t>CC</w:t>
      </w:r>
      <w:r>
        <w:rPr>
          <w:rFonts w:ascii="Arial" w:hAnsi="Arial" w:cs="Arial"/>
          <w:u w:val="single"/>
          <w:lang w:val="en-GB" w:bidi="en-GB" w:eastAsia="en-GB"/>
        </w:rPr>
        <w:t>Calculation formulae</w:t>
      </w:r>
    </w:p>
    <w:p>
      <w:pPr>
        <w:rPr>
          <w:rFonts w:ascii="Arial" w:hAnsi="Arial" w:cs="Arial"/>
          <w:u w:val="single"/>
          <w:lang w:val="en-GB" w:bidi="en-GB" w:eastAsia="en-GB"/>
        </w:rPr>
      </w:pPr>
    </w:p>
    <w:p>
      <w:pPr>
        <w:rPr>
          <w:rFonts w:ascii="Arial" w:hAnsi="Arial" w:cs="Arial"/>
          <w:lang w:val="en-GB" w:bidi="en-GB" w:eastAsia="en-GB"/>
        </w:rPr>
      </w:pPr>
      <w:r>
        <w:rPr>
          <w:rFonts w:ascii="Arial" w:hAnsi="Arial" w:cs="Arial"/>
          <w:lang w:val="en-GB" w:bidi="en-GB" w:eastAsia="en-GB"/>
        </w:rPr>
        <w:t>The following structural requirements are calculated automatically by the “Certcalculator”.</w:t>
      </w:r>
    </w:p>
    <w:tbl>
      <w:tblPr>
        <w:tblW w:w="7802" w:type="dxa"/>
        <w:tblInd w:w="65" w:type="dxa"/>
        <w:tblCellMar>
          <w:left w:w="70" w:type="dxa"/>
          <w:right w:w="70" w:type="dxa"/>
        </w:tblCellMar>
        <w:tblLook w:val="0000"/>
      </w:tblPr>
      <w:tblGrid/>
      <w:tr>
        <w:trPr>
          <w:trHeight w:hRule="atLeast" w:val="255"/>
        </w:trPr>
        <w:tc>
          <w:tcPr>
            <w:tcW w:w="7802" w:type="dxa"/>
            <w:gridSpan w:val="4"/>
            <w:tcBorders>
              <w:top w:val="nil"/>
            </w:tcBorders>
            <w:vAlign w:val="center"/>
          </w:tcPr>
          <w:p>
            <w:pPr>
              <w:spacing w:before="40" w:after="40" w:beforeAutospacing="0" w:afterAutospacing="0"/>
              <w:rPr>
                <w:rFonts w:ascii="Arial" w:hAnsi="Arial" w:cs="Arial"/>
                <w:lang w:val="en-GB" w:bidi="en-GB" w:eastAsia="en-GB"/>
              </w:rPr>
            </w:pPr>
            <w:r>
              <w:rPr>
                <w:rFonts w:ascii="Arial" w:hAnsi="Arial" w:cs="Arial"/>
                <w:lang w:val="en-GB" w:bidi="en-GB" w:eastAsia="en-GB"/>
              </w:rPr>
              <w:t>Scope = C + M + F + T &gt; 50%</w:t>
            </w:r>
          </w:p>
          <w:p>
            <w:pPr>
              <w:spacing w:before="40" w:after="40" w:beforeAutospacing="0" w:afterAutospacing="0"/>
              <w:rPr>
                <w:rFonts w:ascii="Arial" w:hAnsi="Arial" w:cs="Arial"/>
                <w:lang w:val="en-GB" w:bidi="en-GB" w:eastAsia="en-GB"/>
              </w:rPr>
            </w:pPr>
          </w:p>
        </w:tc>
      </w:tr>
      <w:tr>
        <w:trPr>
          <w:trHeight w:hRule="atLeast" w:val="255"/>
        </w:trPr>
        <w:tc>
          <w:tcPr>
            <w:tcW w:w="7802" w:type="dxa"/>
            <w:gridSpan w:val="4"/>
            <w:tcBorders>
              <w:top w:val="nil"/>
            </w:tcBorders>
            <w:vAlign w:val="center"/>
          </w:tcPr>
          <w:p>
            <w:pPr>
              <w:spacing w:before="40" w:after="40" w:beforeAutospacing="0" w:afterAutospacing="0"/>
              <w:rPr>
                <w:rFonts w:ascii="Arial" w:hAnsi="Arial" w:cs="Arial"/>
                <w:lang w:val="en-GB" w:bidi="en-GB" w:eastAsia="en-GB"/>
              </w:rPr>
            </w:pPr>
            <w:r>
              <w:rPr>
                <w:rFonts w:ascii="Arial" w:hAnsi="Arial" w:cs="Arial"/>
                <w:lang w:val="en-GB" w:bidi="en-GB" w:eastAsia="en-GB"/>
              </w:rPr>
              <w:t>Range of care provided = C + M + F + T + V</w:t>
            </w:r>
          </w:p>
          <w:p>
            <w:pPr>
              <w:spacing w:before="40" w:after="40" w:beforeAutospacing="0" w:afterAutospacing="0"/>
              <w:rPr>
                <w:rFonts w:ascii="Arial" w:hAnsi="Arial" w:cs="Arial"/>
                <w:lang w:val="en-GB" w:bidi="en-GB" w:eastAsia="en-GB"/>
              </w:rPr>
            </w:pPr>
          </w:p>
        </w:tc>
      </w:tr>
      <w:tr>
        <w:trPr>
          <w:trHeight w:hRule="atLeast" w:val="255"/>
        </w:trPr>
        <w:tc>
          <w:tcPr>
            <w:tcW w:w="2132" w:type="dxa"/>
            <w:vMerge w:val="restart"/>
            <w:tcBorders>
              <w:top w:val="nil"/>
            </w:tcBorders>
            <w:vAlign w:val="center"/>
          </w:tcPr>
          <w:p>
            <w:pPr>
              <w:spacing w:before="40" w:after="40" w:beforeAutospacing="0" w:afterAutospacing="0"/>
              <w:rPr>
                <w:rFonts w:ascii="Arial" w:hAnsi="Arial" w:cs="Arial"/>
                <w:lang w:val="en-GB" w:bidi="en-GB" w:eastAsia="en-GB"/>
              </w:rPr>
            </w:pPr>
            <w:r>
              <w:rPr>
                <w:rFonts w:ascii="Arial" w:hAnsi="Arial" w:cs="Arial"/>
                <w:lang w:val="en-GB" w:bidi="en-GB" w:eastAsia="en-GB"/>
              </w:rPr>
              <w:t>Scope within the range of care provided</w:t>
            </w:r>
          </w:p>
        </w:tc>
        <w:tc>
          <w:tcPr>
            <w:tcW w:w="567" w:type="dxa"/>
            <w:vMerge w:val="restart"/>
            <w:tcBorders>
              <w:top w:val="nil"/>
            </w:tcBorders>
            <w:vAlign w:val="center"/>
          </w:tcPr>
          <w:p>
            <w:pPr>
              <w:spacing w:before="40" w:after="40" w:beforeAutospacing="0" w:afterAutospacing="0"/>
              <w:rPr>
                <w:rFonts w:ascii="Arial" w:hAnsi="Arial" w:cs="Arial"/>
                <w:lang w:val="en-GB" w:bidi="en-GB" w:eastAsia="en-GB"/>
              </w:rPr>
            </w:pPr>
            <w:r>
              <w:rPr>
                <w:rFonts w:ascii="Arial" w:hAnsi="Arial" w:cs="Arial"/>
                <w:lang w:val="en-GB" w:bidi="en-GB" w:eastAsia="en-GB"/>
              </w:rPr>
              <w:t>=</w:t>
            </w:r>
          </w:p>
        </w:tc>
        <w:tc>
          <w:tcPr>
            <w:tcW w:w="1984" w:type="dxa"/>
            <w:tcBorders>
              <w:top w:val="nil"/>
              <w:bottom w:val="single" w:sz="4" w:space="0" w:shadow="0" w:frame="0"/>
            </w:tcBorders>
            <w:vAlign w:val="center"/>
          </w:tcPr>
          <w:p>
            <w:pPr>
              <w:spacing w:before="40" w:after="40" w:beforeAutospacing="0" w:afterAutospacing="0"/>
              <w:rPr>
                <w:rFonts w:ascii="Arial" w:hAnsi="Arial" w:cs="Arial"/>
                <w:lang w:val="en-GB" w:bidi="en-GB" w:eastAsia="en-GB"/>
              </w:rPr>
            </w:pPr>
            <w:r>
              <w:rPr>
                <w:rFonts w:ascii="Arial" w:hAnsi="Arial" w:cs="Arial"/>
                <w:lang w:val="en-GB" w:bidi="en-GB" w:eastAsia="en-GB"/>
              </w:rPr>
              <w:t>C + M + F + T</w:t>
            </w:r>
          </w:p>
        </w:tc>
        <w:tc>
          <w:tcPr>
            <w:tcW w:w="3119" w:type="dxa"/>
            <w:vMerge w:val="restart"/>
            <w:tcBorders>
              <w:top w:val="nil"/>
            </w:tcBorders>
            <w:vAlign w:val="center"/>
          </w:tcPr>
          <w:p>
            <w:pPr>
              <w:spacing w:before="40" w:after="40" w:beforeAutospacing="0" w:afterAutospacing="0"/>
              <w:rPr>
                <w:rFonts w:ascii="Arial" w:hAnsi="Arial" w:cs="Arial"/>
                <w:lang w:val="en-GB" w:bidi="en-GB" w:eastAsia="en-GB"/>
              </w:rPr>
            </w:pPr>
            <w:r>
              <w:rPr>
                <w:rFonts w:ascii="Arial" w:hAnsi="Arial" w:cs="Arial"/>
                <w:lang w:val="en-GB" w:bidi="en-GB" w:eastAsia="en-GB"/>
              </w:rPr>
              <w:t>&gt; 70 %</w:t>
            </w:r>
          </w:p>
        </w:tc>
      </w:tr>
      <w:tr>
        <w:trPr>
          <w:trHeight w:hRule="atLeast" w:val="255"/>
        </w:trPr>
        <w:tc>
          <w:tcPr>
            <w:tcW w:w="2132" w:type="dxa"/>
            <w:vMerge w:val="continue"/>
            <w:vAlign w:val="bottom"/>
          </w:tcPr>
          <w:p>
            <w:pPr>
              <w:rPr>
                <w:rFonts w:ascii="Arial" w:hAnsi="Arial" w:cs="Arial"/>
                <w:lang w:val="en-GB" w:bidi="en-GB" w:eastAsia="en-GB"/>
              </w:rPr>
            </w:pPr>
          </w:p>
        </w:tc>
        <w:tc>
          <w:tcPr>
            <w:tcW w:w="567" w:type="dxa"/>
            <w:vMerge w:val="continue"/>
            <w:vAlign w:val="bottom"/>
          </w:tcPr>
          <w:p>
            <w:pPr>
              <w:rPr>
                <w:rFonts w:ascii="Arial" w:hAnsi="Arial" w:cs="Arial"/>
                <w:lang w:val="en-GB" w:bidi="en-GB" w:eastAsia="en-GB"/>
              </w:rPr>
            </w:pPr>
          </w:p>
        </w:tc>
        <w:tc>
          <w:tcPr>
            <w:tcW w:w="1984" w:type="dxa"/>
            <w:tcBorders>
              <w:top w:val="single" w:sz="4" w:space="0" w:shadow="0" w:frame="0"/>
            </w:tcBorders>
            <w:vAlign w:val="bottom"/>
          </w:tcPr>
          <w:p>
            <w:pPr>
              <w:rPr>
                <w:rFonts w:ascii="Arial" w:hAnsi="Arial" w:cs="Arial"/>
                <w:lang w:val="en-GB" w:bidi="en-GB" w:eastAsia="en-GB"/>
              </w:rPr>
            </w:pPr>
            <w:r>
              <w:rPr>
                <w:rFonts w:ascii="Arial" w:hAnsi="Arial" w:cs="Arial"/>
                <w:lang w:val="en-GB" w:bidi="en-GB" w:eastAsia="en-GB"/>
              </w:rPr>
              <w:t>C + M + F + T + V</w:t>
            </w:r>
          </w:p>
        </w:tc>
        <w:tc>
          <w:tcPr>
            <w:tcW w:w="3119" w:type="dxa"/>
            <w:vMerge w:val="continue"/>
            <w:vAlign w:val="bottom"/>
          </w:tcPr>
          <w:p>
            <w:pPr>
              <w:rPr>
                <w:rFonts w:ascii="Arial" w:hAnsi="Arial" w:cs="Arial"/>
                <w:lang w:val="en-GB" w:bidi="en-GB" w:eastAsia="en-GB"/>
              </w:rPr>
            </w:pPr>
          </w:p>
        </w:tc>
      </w:tr>
    </w:tbl>
    <w:p>
      <w:pPr>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br w:type="page"/>
      </w:r>
    </w:p>
    <w:p>
      <w:pPr>
        <w:rPr>
          <w:rFonts w:ascii="Arial" w:hAnsi="Arial" w:cs="Arial"/>
          <w:b w:val="1"/>
          <w:sz w:val="24"/>
          <w:lang w:val="en-GB" w:bidi="en-GB" w:eastAsia="en-GB"/>
        </w:rPr>
      </w:pPr>
      <w:r>
        <w:rPr>
          <w:rFonts w:ascii="Arial" w:hAnsi="Arial" w:cs="Arial"/>
          <w:b w:val="1"/>
          <w:sz w:val="24"/>
          <w:lang w:val="en-GB" w:bidi="en-GB" w:eastAsia="en-GB"/>
        </w:rPr>
        <w:t>Structural requirements / Definitions</w:t>
      </w:r>
    </w:p>
    <w:p>
      <w:pPr>
        <w:rPr>
          <w:rFonts w:ascii="Arial" w:hAnsi="Arial" w:cs="Arial"/>
          <w:b w:val="1"/>
          <w:sz w:val="24"/>
          <w:lang w:val="en-GB" w:bidi="en-GB" w:eastAsia="en-GB"/>
        </w:rPr>
      </w:pPr>
    </w:p>
    <w:p>
      <w:pPr>
        <w:rPr>
          <w:rFonts w:ascii="Arial" w:hAnsi="Arial" w:cs="Arial"/>
          <w:b w:val="1"/>
          <w:vanish w:val="1"/>
          <w:sz w:val="24"/>
          <w:szCs w:val="24"/>
          <w:lang w:val="en-GB" w:bidi="en-GB" w:eastAsia="en-GB"/>
        </w:rPr>
      </w:pPr>
    </w:p>
    <w:p>
      <w:pPr>
        <w:tabs>
          <w:tab w:val="left" w:pos="708" w:leader="none"/>
          <w:tab w:val="center" w:pos="4536" w:leader="none"/>
          <w:tab w:val="right" w:pos="9072" w:leader="none"/>
        </w:tabs>
        <w:rPr>
          <w:rFonts w:ascii="Arial" w:hAnsi="Arial" w:cs="Arial"/>
          <w:u w:val="single"/>
          <w:lang w:val="en-GB" w:bidi="en-GB" w:eastAsia="en-GB"/>
        </w:rPr>
      </w:pPr>
      <w:r>
        <w:rPr>
          <w:rFonts w:ascii="Arial" w:hAnsi="Arial" w:cs="Arial"/>
          <w:u w:val="single"/>
          <w:lang w:val="en-GB" w:bidi="en-GB" w:eastAsia="en-GB"/>
        </w:rPr>
        <w:t>Multi-site Oncology Centres</w:t>
      </w:r>
    </w:p>
    <w:p>
      <w:pPr>
        <w:tabs>
          <w:tab w:val="left" w:pos="708" w:leader="none"/>
          <w:tab w:val="center" w:pos="4536" w:leader="none"/>
          <w:tab w:val="right" w:pos="9072" w:leader="none"/>
        </w:tabs>
        <w:rPr>
          <w:rFonts w:ascii="Arial" w:hAnsi="Arial" w:cs="Arial"/>
          <w:lang w:val="en-GB" w:bidi="en-GB" w:eastAsia="en-GB"/>
        </w:rPr>
      </w:pPr>
    </w:p>
    <w:p>
      <w:pPr>
        <w:tabs>
          <w:tab w:val="left" w:pos="708" w:leader="none"/>
          <w:tab w:val="center" w:pos="4536" w:leader="none"/>
          <w:tab w:val="right" w:pos="9072" w:leader="none"/>
        </w:tabs>
        <w:rPr>
          <w:rFonts w:ascii="Arial" w:hAnsi="Arial" w:cs="Arial"/>
          <w:lang w:val="en-GB" w:bidi="en-GB" w:eastAsia="en-GB"/>
        </w:rPr>
      </w:pPr>
      <w:r>
        <w:rPr>
          <w:rFonts w:ascii="Arial" w:hAnsi="Arial" w:cs="Arial"/>
          <w:lang w:val="en-GB" w:bidi="en-GB" w:eastAsia="en-GB"/>
        </w:rPr>
        <w:t>Each clinical site must put in place its own Certcalculator.</w:t>
      </w:r>
    </w:p>
    <w:p>
      <w:pPr>
        <w:tabs>
          <w:tab w:val="left" w:pos="708" w:leader="none"/>
          <w:tab w:val="center" w:pos="4536" w:leader="none"/>
          <w:tab w:val="right" w:pos="9072" w:leader="none"/>
        </w:tabs>
        <w:rPr>
          <w:rFonts w:ascii="Arial" w:hAnsi="Arial" w:cs="Arial"/>
          <w:lang w:val="en-GB" w:bidi="en-GB" w:eastAsia="en-GB"/>
        </w:rPr>
      </w:pPr>
    </w:p>
    <w:p>
      <w:pPr>
        <w:tabs>
          <w:tab w:val="left" w:pos="708" w:leader="none"/>
          <w:tab w:val="center" w:pos="4536" w:leader="none"/>
          <w:tab w:val="right" w:pos="9072" w:leader="none"/>
        </w:tabs>
        <w:jc w:val="both"/>
        <w:rPr>
          <w:rFonts w:ascii="Arial" w:hAnsi="Arial" w:cs="Arial"/>
          <w:lang w:val="en-GB" w:bidi="en-GB" w:eastAsia="en-GB"/>
        </w:rPr>
      </w:pPr>
      <w:r>
        <w:rPr>
          <w:rFonts w:ascii="Arial" w:hAnsi="Arial" w:cs="Arial"/>
          <w:lang w:val="en-GB" w:bidi="en-GB" w:eastAsia="en-GB"/>
        </w:rPr>
        <w:t>In the case of a multi-site Oncology Centre at least one clinical site must fulfil all the requirements for the Certcalculator (number of Centres/Modules, area of application at least 50%, ratio area of application to scope of care provided at least 70%). Exceptions are admissible if all the tumour entities included in the scope of care of a clinical site are treated at one clinical site only. This means for instance: in a two-site Oncology Centre patients with breast cancer are treated at one clinical site only. In these cases the areas of application of the clinical sites can be added together.</w:t>
      </w:r>
    </w:p>
    <w:p>
      <w:pPr>
        <w:tabs>
          <w:tab w:val="left" w:pos="708" w:leader="none"/>
          <w:tab w:val="center" w:pos="4536" w:leader="none"/>
          <w:tab w:val="right" w:pos="9072" w:leader="none"/>
        </w:tabs>
        <w:jc w:val="both"/>
        <w:rPr>
          <w:rFonts w:ascii="Arial" w:hAnsi="Arial" w:cs="Arial"/>
          <w:lang w:val="en-GB" w:bidi="en-GB" w:eastAsia="en-GB"/>
        </w:rPr>
      </w:pPr>
    </w:p>
    <w:p>
      <w:pPr>
        <w:tabs>
          <w:tab w:val="left" w:pos="708" w:leader="none"/>
          <w:tab w:val="center" w:pos="4536" w:leader="none"/>
          <w:tab w:val="right" w:pos="9072" w:leader="none"/>
        </w:tabs>
        <w:jc w:val="both"/>
        <w:rPr>
          <w:rFonts w:ascii="Arial" w:hAnsi="Arial" w:cs="Arial"/>
          <w:lang w:val="en-GB" w:bidi="en-GB" w:eastAsia="en-GB"/>
        </w:rPr>
      </w:pPr>
      <w:r>
        <w:rPr>
          <w:rFonts w:ascii="Arial" w:hAnsi="Arial" w:cs="Arial"/>
          <w:lang w:val="en-GB" w:bidi="en-GB" w:eastAsia="en-GB"/>
        </w:rPr>
        <w:t>Notwithstanding this, the following applies: At least 2 Organ Cancer Centres/Modules must be available at each secondary clinical site. The ratio scope to range of care provided (=70%) must be met separately by each clinical site.</w:t>
      </w:r>
    </w:p>
    <w:p>
      <w:pPr>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Protection until 31.12.2028 for already certified structures.</w:t>
      </w:r>
    </w:p>
    <w:p>
      <w:pPr>
        <w:rPr>
          <w:rFonts w:ascii="Arial" w:hAnsi="Arial" w:cs="Arial"/>
          <w:lang w:val="en-GB" w:bidi="en-GB" w:eastAsia="en-GB"/>
        </w:rPr>
      </w:pPr>
    </w:p>
    <w:p>
      <w:pPr>
        <w:keepNext w:val="1"/>
        <w:outlineLvl w:val="5"/>
        <w:rPr>
          <w:rFonts w:ascii="Arial" w:hAnsi="Arial" w:cs="Arial"/>
          <w:b w:val="1"/>
          <w:sz w:val="44"/>
          <w:lang w:val="en-GB" w:bidi="en-GB" w:eastAsia="en-GB"/>
        </w:rPr>
      </w:pPr>
      <w:r>
        <w:rPr>
          <w:rFonts w:ascii="Arial" w:hAnsi="Arial" w:cs="Arial"/>
          <w:b w:val="1"/>
          <w:sz w:val="44"/>
          <w:lang w:val="en-GB" w:bidi="en-GB" w:eastAsia="en-GB"/>
        </w:rPr>
        <w:br w:type="page"/>
        <w:t>Certcalculator Oncology Centre</w:t>
      </w:r>
    </w:p>
    <w:p>
      <w:pPr>
        <w:jc w:val="both"/>
        <w:rPr>
          <w:rFonts w:ascii="Arial" w:hAnsi="Arial" w:cs="Arial"/>
          <w:lang w:val="en-GB" w:bidi="en-GB" w:eastAsia="en-GB"/>
        </w:rPr>
      </w:pPr>
    </w:p>
    <w:p>
      <w:pPr>
        <w:jc w:val="both"/>
        <w:rPr>
          <w:rFonts w:ascii="Arial" w:hAnsi="Arial" w:cs="Arial"/>
          <w:bCs w:val="1"/>
          <w:lang w:val="en-GB" w:bidi="en-GB" w:eastAsia="en-GB"/>
        </w:rPr>
      </w:pPr>
      <w:r>
        <w:rPr>
          <w:rFonts w:ascii="Arial" w:hAnsi="Arial" w:cs="Arial"/>
          <w:lang w:val="en-GB" w:bidi="en-GB" w:eastAsia="en-GB"/>
        </w:rPr>
        <w:t xml:space="preserve">The “Cert-calculator Oncology Centre” is an official part of the certification request and of the Catalogue of Requirements. The scope of the Oncology Centre, combined with the respective levels of competence, is defined in this Cert-calculator. The Cert-calculator is available at </w:t>
      </w:r>
      <w:hyperlink xmlns:r="http://schemas.openxmlformats.org/officeDocument/2006/relationships" r:id="R3">
        <w:r>
          <w:rPr>
            <w:rFonts w:ascii="Arial" w:hAnsi="Arial" w:cs="Arial"/>
            <w:sz w:val="2"/>
            <w:lang w:val="en-GB" w:bidi="en-GB" w:eastAsia="en-GB"/>
          </w:rPr>
          <w:t>15TU</w:t>
        </w:r>
        <w:r>
          <w:rPr>
            <w:rFonts w:ascii="Arial" w:hAnsi="Arial" w:cs="Arial"/>
            <w:u w:val="single"/>
            <w:lang w:val="en-GB" w:bidi="en-GB" w:eastAsia="en-GB"/>
          </w:rPr>
          <w:t>www.onkozert.de</w:t>
        </w:r>
      </w:hyperlink>
      <w:r>
        <w:rPr>
          <w:rFonts w:ascii="Arial" w:hAnsi="Arial" w:cs="Arial"/>
          <w:sz w:val="2"/>
          <w:lang w:val="en-GB" w:bidi="en-GB" w:eastAsia="en-GB"/>
        </w:rPr>
        <w:t>U15T</w:t>
      </w:r>
      <w:r>
        <w:rPr>
          <w:rFonts w:ascii="Arial" w:hAnsi="Arial" w:cs="Arial"/>
          <w:lang w:val="en-GB" w:bidi="en-GB" w:eastAsia="en-GB"/>
        </w:rPr>
        <w:t xml:space="preserve"> (section “Oncology Centre”).</w:t>
      </w:r>
    </w:p>
    <w:p>
      <w:pPr>
        <w:jc w:val="both"/>
        <w:rPr>
          <w:rFonts w:ascii="Arial" w:hAnsi="Arial" w:cs="Arial"/>
          <w:bCs w:val="1"/>
          <w:vanish w:val="1"/>
          <w:lang w:val="en-GB" w:bidi="en-GB" w:eastAsia="en-GB"/>
        </w:rPr>
      </w:pPr>
    </w:p>
    <w:tbl>
      <w:tblPr>
        <w:tblW w:w="8931" w:type="dxa"/>
        <w:tblInd w:w="70" w:type="dxa"/>
        <w:tblCellMar>
          <w:left w:w="70" w:type="dxa"/>
          <w:right w:w="70" w:type="dxa"/>
        </w:tblCellMar>
        <w:tblLook w:val="04A0"/>
      </w:tblPr>
      <w:tblGrid/>
      <w:tr>
        <w:trPr>
          <w:trHeight w:hRule="atLeast" w:val="574"/>
        </w:trPr>
        <w:tc>
          <w:tcPr>
            <w:tcW w:w="3972" w:type="dxa"/>
            <w:gridSpan w:val="3"/>
            <w:vMerge w:val="restart"/>
            <w:tcBorders>
              <w:top w:val="single" w:sz="4" w:space="0" w:shadow="0" w:frame="0"/>
              <w:left w:val="single" w:sz="4" w:space="0" w:shadow="0" w:frame="0"/>
              <w:right w:val="single" w:sz="4" w:space="0" w:shadow="0" w:frame="0"/>
            </w:tcBorders>
            <w:vAlign w:val="center"/>
          </w:tcPr>
          <w:p>
            <w:pPr>
              <w:jc w:val="cente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Tumour entities</w:t>
            </w:r>
          </w:p>
        </w:tc>
        <w:tc>
          <w:tcPr>
            <w:tcW w:w="993" w:type="dxa"/>
            <w:vMerge w:val="restart"/>
            <w:tcBorders>
              <w:top w:val="single" w:sz="4" w:space="0" w:shadow="0" w:frame="0"/>
              <w:left w:val="nil"/>
              <w:right w:val="single" w:sz="4" w:space="0" w:shadow="0" w:frame="0"/>
            </w:tcBorders>
            <w:textDirection w:val="btLr"/>
            <w:vAlign w:val="center"/>
          </w:tcPr>
          <w:p>
            <w:pPr>
              <w:jc w:val="center"/>
              <w:rPr>
                <w:rFonts w:ascii="Arial" w:hAnsi="Arial" w:cs="Arial"/>
                <w:b w:val="1"/>
                <w:bCs w:val="1"/>
                <w:sz w:val="16"/>
                <w:szCs w:val="16"/>
                <w:lang w:val="en-GB" w:bidi="en-GB" w:eastAsia="en-GB"/>
              </w:rPr>
            </w:pPr>
            <w:r>
              <w:rPr>
                <w:rFonts w:ascii="Arial" w:hAnsi="Arial" w:cs="Arial"/>
                <w:b w:val="1"/>
                <w:sz w:val="16"/>
                <w:lang w:val="en-GB" w:bidi="en-GB" w:eastAsia="en-GB"/>
              </w:rPr>
              <w:t>Newly diagnosed cancers</w:t>
            </w:r>
            <w:r>
              <w:rPr>
                <w:rFonts w:ascii="Arial" w:hAnsi="Arial" w:cs="Arial"/>
                <w:sz w:val="2"/>
                <w:lang w:val="en-GB" w:bidi="en-GB" w:eastAsia="en-GB"/>
              </w:rPr>
              <w:t>P</w:t>
            </w:r>
            <w:r>
              <w:rPr>
                <w:rFonts w:ascii="Arial" w:hAnsi="Arial" w:cs="Arial"/>
                <w:b w:val="1"/>
                <w:sz w:val="16"/>
                <w:vertAlign w:val="superscript"/>
                <w:lang w:val="en-GB" w:bidi="en-GB" w:eastAsia="en-GB"/>
              </w:rPr>
              <w:t>1)</w:t>
            </w:r>
          </w:p>
        </w:tc>
        <w:tc>
          <w:tcPr>
            <w:tcW w:w="1131" w:type="dxa"/>
            <w:tcBorders>
              <w:top w:val="single" w:sz="4" w:space="0" w:shadow="0" w:frame="0"/>
              <w:left w:val="nil"/>
              <w:right w:val="single" w:sz="4" w:space="0" w:shadow="0" w:frame="0"/>
            </w:tcBorders>
            <w:vAlign w:val="center"/>
          </w:tcPr>
          <w:p>
            <w:pPr>
              <w:jc w:val="center"/>
              <w:rPr>
                <w:rFonts w:ascii="Arial" w:hAnsi="Arial" w:cs="Arial"/>
                <w:b w:val="1"/>
                <w:bCs w:val="1"/>
                <w:sz w:val="16"/>
                <w:szCs w:val="16"/>
                <w:lang w:val="en-GB" w:bidi="en-GB" w:eastAsia="en-GB"/>
              </w:rPr>
            </w:pPr>
            <w:r>
              <w:rPr>
                <w:rFonts w:ascii="Arial" w:hAnsi="Arial" w:cs="Arial"/>
                <w:b w:val="1"/>
                <w:sz w:val="16"/>
                <w:lang w:val="en-GB" w:bidi="en-GB" w:eastAsia="en-GB"/>
              </w:rPr>
              <w:t>Proportion</w:t>
            </w:r>
          </w:p>
        </w:tc>
        <w:tc>
          <w:tcPr>
            <w:tcW w:w="2835" w:type="dxa"/>
            <w:gridSpan w:val="4"/>
            <w:tcBorders>
              <w:top w:val="single" w:sz="4" w:space="0" w:shadow="0" w:frame="0"/>
              <w:left w:val="nil"/>
              <w:bottom w:val="single" w:sz="4" w:space="0" w:shadow="0" w:frame="0"/>
              <w:right w:val="single" w:sz="4" w:space="0" w:shadow="0" w:frame="0"/>
            </w:tcBorders>
            <w:vAlign w:val="center"/>
          </w:tcPr>
          <w:p>
            <w:pPr>
              <w:jc w:val="center"/>
              <w:rPr>
                <w:rFonts w:ascii="Arial" w:hAnsi="Arial" w:cs="Arial"/>
                <w:b w:val="1"/>
                <w:sz w:val="16"/>
                <w:lang w:val="en-GB" w:bidi="en-GB" w:eastAsia="en-GB"/>
              </w:rPr>
            </w:pPr>
            <w:r>
              <w:rPr>
                <w:rFonts w:ascii="Arial" w:hAnsi="Arial" w:cs="Arial"/>
                <w:b w:val="1"/>
                <w:sz w:val="16"/>
                <w:lang w:val="en-GB" w:bidi="en-GB" w:eastAsia="en-GB"/>
              </w:rPr>
              <w:t>Level of competence /</w:t>
            </w:r>
            <w:r>
              <w:rPr>
                <w:rFonts w:ascii="Arial" w:hAnsi="Arial" w:cs="Arial"/>
                <w:b w:val="1"/>
                <w:sz w:val="16"/>
                <w:szCs w:val="16"/>
                <w:lang w:val="en-GB" w:bidi="en-GB" w:eastAsia="en-GB"/>
              </w:rPr>
              <w:br w:type="textWrapping"/>
            </w:r>
            <w:r>
              <w:rPr>
                <w:rFonts w:ascii="Arial" w:hAnsi="Arial" w:cs="Arial"/>
                <w:b w:val="1"/>
                <w:sz w:val="16"/>
                <w:lang w:val="en-GB" w:bidi="en-GB" w:eastAsia="en-GB"/>
              </w:rPr>
              <w:t>Minimum primary cases</w:t>
            </w:r>
          </w:p>
          <w:p>
            <w:pPr>
              <w:jc w:val="center"/>
              <w:rPr>
                <w:rFonts w:ascii="Arial" w:hAnsi="Arial" w:cs="Arial"/>
                <w:b w:val="1"/>
                <w:sz w:val="16"/>
                <w:szCs w:val="16"/>
                <w:lang w:val="en-GB" w:bidi="en-GB" w:eastAsia="en-GB"/>
              </w:rPr>
            </w:pPr>
            <w:r>
              <w:rPr>
                <w:rFonts w:ascii="Arial" w:hAnsi="Arial" w:cs="Arial"/>
                <w:b w:val="1"/>
                <w:sz w:val="16"/>
                <w:szCs w:val="16"/>
                <w:lang w:val="en-GB" w:bidi="en-GB" w:eastAsia="en-GB"/>
              </w:rPr>
              <w:t>Minimum patient cases</w:t>
            </w:r>
          </w:p>
        </w:tc>
      </w:tr>
      <w:tr>
        <w:trPr>
          <w:trHeight w:hRule="atLeast" w:val="574"/>
        </w:trPr>
        <w:tc>
          <w:tcPr>
            <w:tcW w:w="3972" w:type="dxa"/>
            <w:gridSpan w:val="3"/>
            <w:vMerge w:val="continue"/>
            <w:tcBorders>
              <w:left w:val="single" w:sz="4" w:space="0" w:shadow="0" w:frame="0"/>
              <w:right w:val="single" w:sz="4" w:space="0" w:shadow="0" w:frame="0"/>
            </w:tcBorders>
            <w:vAlign w:val="center"/>
          </w:tcPr>
          <w:p>
            <w:pPr>
              <w:rPr>
                <w:rFonts w:ascii="Arial" w:hAnsi="Arial" w:cs="Arial"/>
                <w:b w:val="1"/>
                <w:bCs w:val="1"/>
                <w:color w:val="000000"/>
                <w:sz w:val="16"/>
                <w:szCs w:val="16"/>
                <w:lang w:val="en-GB" w:bidi="en-GB" w:eastAsia="en-GB"/>
              </w:rPr>
            </w:pPr>
          </w:p>
        </w:tc>
        <w:tc>
          <w:tcPr>
            <w:tcW w:w="993" w:type="dxa"/>
            <w:vMerge w:val="continue"/>
            <w:tcBorders>
              <w:left w:val="nil"/>
              <w:right w:val="single" w:sz="4" w:space="0" w:shadow="0" w:frame="0"/>
            </w:tcBorders>
            <w:textDirection w:val="btLr"/>
            <w:vAlign w:val="center"/>
          </w:tcPr>
          <w:p>
            <w:pPr>
              <w:jc w:val="center"/>
              <w:rPr>
                <w:rFonts w:ascii="Arial" w:hAnsi="Arial" w:cs="Arial"/>
                <w:b w:val="1"/>
                <w:bCs w:val="1"/>
                <w:sz w:val="16"/>
                <w:szCs w:val="16"/>
                <w:lang w:val="en-GB" w:bidi="en-GB" w:eastAsia="en-GB"/>
              </w:rPr>
            </w:pPr>
          </w:p>
        </w:tc>
        <w:tc>
          <w:tcPr>
            <w:tcW w:w="1131" w:type="dxa"/>
            <w:tcBorders>
              <w:top w:val="single" w:sz="4" w:space="0" w:shadow="0" w:frame="0"/>
              <w:left w:val="nil"/>
              <w:right w:val="single" w:sz="4" w:space="0" w:shadow="0" w:frame="0"/>
            </w:tcBorders>
            <w:vAlign w:val="center"/>
          </w:tcPr>
          <w:p>
            <w:pPr>
              <w:jc w:val="center"/>
              <w:rPr>
                <w:rFonts w:ascii="Arial" w:hAnsi="Arial" w:cs="Arial"/>
                <w:b w:val="1"/>
                <w:bCs w:val="1"/>
                <w:sz w:val="16"/>
                <w:szCs w:val="16"/>
                <w:lang w:val="en-GB" w:bidi="en-GB" w:eastAsia="en-GB"/>
              </w:rPr>
            </w:pPr>
            <w:r>
              <w:rPr>
                <w:rFonts w:ascii="Arial" w:hAnsi="Arial" w:cs="Arial"/>
                <w:b w:val="1"/>
                <w:sz w:val="16"/>
                <w:lang w:val="en-GB" w:bidi="en-GB" w:eastAsia="en-GB"/>
              </w:rPr>
              <w:t>In</w:t>
            </w:r>
          </w:p>
        </w:tc>
        <w:tc>
          <w:tcPr>
            <w:tcW w:w="708" w:type="dxa"/>
            <w:tcBorders>
              <w:top w:val="single" w:sz="4" w:space="0" w:shadow="0" w:frame="0"/>
              <w:left w:val="nil"/>
              <w:right w:val="single" w:sz="4" w:space="0" w:shadow="0" w:frame="0"/>
            </w:tcBorders>
            <w:vAlign w:val="center"/>
          </w:tcPr>
          <w:p>
            <w:pPr>
              <w:jc w:val="center"/>
              <w:rPr>
                <w:rFonts w:ascii="Arial" w:hAnsi="Arial" w:cs="Arial"/>
                <w:b w:val="1"/>
                <w:sz w:val="16"/>
                <w:szCs w:val="16"/>
                <w:lang w:val="en-GB" w:bidi="en-GB" w:eastAsia="en-GB"/>
              </w:rPr>
            </w:pPr>
            <w:r>
              <w:rPr>
                <w:rFonts w:ascii="Arial" w:hAnsi="Arial" w:cs="Arial"/>
                <w:b w:val="1"/>
                <w:sz w:val="16"/>
                <w:lang w:val="en-GB" w:bidi="en-GB" w:eastAsia="en-GB"/>
              </w:rPr>
              <w:t>C</w:t>
            </w:r>
          </w:p>
        </w:tc>
        <w:tc>
          <w:tcPr>
            <w:tcW w:w="709" w:type="dxa"/>
            <w:tcBorders>
              <w:top w:val="single" w:sz="4" w:space="0" w:shadow="0" w:frame="0"/>
              <w:left w:val="nil"/>
              <w:right w:val="single" w:sz="4" w:space="0" w:shadow="0" w:frame="0"/>
            </w:tcBorders>
            <w:vAlign w:val="center"/>
          </w:tcPr>
          <w:p>
            <w:pPr>
              <w:jc w:val="center"/>
              <w:rPr>
                <w:rFonts w:ascii="Arial" w:hAnsi="Arial" w:cs="Arial"/>
                <w:b w:val="1"/>
                <w:sz w:val="16"/>
                <w:szCs w:val="16"/>
                <w:lang w:val="en-GB" w:bidi="en-GB" w:eastAsia="en-GB"/>
              </w:rPr>
            </w:pPr>
            <w:r>
              <w:rPr>
                <w:rFonts w:ascii="Arial" w:hAnsi="Arial" w:cs="Arial"/>
                <w:b w:val="1"/>
                <w:sz w:val="16"/>
                <w:lang w:val="en-GB" w:bidi="en-GB" w:eastAsia="en-GB"/>
              </w:rPr>
              <w:t>M</w:t>
            </w:r>
          </w:p>
        </w:tc>
        <w:tc>
          <w:tcPr>
            <w:tcW w:w="709" w:type="dxa"/>
            <w:tcBorders>
              <w:top w:val="single" w:sz="4" w:space="0" w:shadow="0" w:frame="0"/>
              <w:left w:val="nil"/>
              <w:right w:val="single" w:sz="4" w:space="0" w:shadow="0" w:frame="0"/>
            </w:tcBorders>
            <w:vAlign w:val="center"/>
          </w:tcPr>
          <w:p>
            <w:pPr>
              <w:jc w:val="center"/>
              <w:rPr>
                <w:rFonts w:ascii="Arial" w:hAnsi="Arial" w:cs="Arial"/>
                <w:b w:val="1"/>
                <w:sz w:val="16"/>
                <w:szCs w:val="16"/>
                <w:lang w:val="en-GB" w:bidi="en-GB" w:eastAsia="en-GB"/>
              </w:rPr>
            </w:pPr>
            <w:r>
              <w:rPr>
                <w:rFonts w:ascii="Arial" w:hAnsi="Arial" w:cs="Arial"/>
                <w:b w:val="1"/>
                <w:sz w:val="16"/>
                <w:lang w:val="en-GB" w:bidi="en-GB" w:eastAsia="en-GB"/>
              </w:rPr>
              <w:t>F</w:t>
            </w:r>
          </w:p>
        </w:tc>
        <w:tc>
          <w:tcPr>
            <w:tcW w:w="709" w:type="dxa"/>
            <w:tcBorders>
              <w:top w:val="single" w:sz="4" w:space="0" w:shadow="0" w:frame="0"/>
              <w:left w:val="nil"/>
              <w:right w:val="single" w:sz="4" w:space="0" w:shadow="0" w:frame="0"/>
            </w:tcBorders>
            <w:vAlign w:val="center"/>
          </w:tcPr>
          <w:p>
            <w:pPr>
              <w:jc w:val="center"/>
              <w:rPr>
                <w:rFonts w:ascii="Arial" w:hAnsi="Arial" w:cs="Arial"/>
                <w:b w:val="1"/>
                <w:sz w:val="16"/>
                <w:szCs w:val="16"/>
                <w:lang w:val="en-GB" w:bidi="en-GB" w:eastAsia="en-GB"/>
              </w:rPr>
            </w:pPr>
            <w:r>
              <w:rPr>
                <w:rFonts w:ascii="Arial" w:hAnsi="Arial" w:cs="Arial"/>
                <w:b w:val="1"/>
                <w:sz w:val="16"/>
                <w:lang w:val="en-GB" w:bidi="en-GB" w:eastAsia="en-GB"/>
              </w:rPr>
              <w:t>T</w:t>
            </w:r>
          </w:p>
        </w:tc>
      </w:tr>
      <w:tr>
        <w:trPr>
          <w:trHeight w:hRule="atLeast" w:val="282"/>
        </w:trPr>
        <w:tc>
          <w:tcPr>
            <w:tcW w:w="363" w:type="dxa"/>
            <w:tcBorders>
              <w:top w:val="single" w:sz="4" w:space="0" w:shadow="0" w:frame="0"/>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lang w:val="en-GB" w:bidi="en-GB" w:eastAsia="en-GB"/>
              </w:rPr>
              <w:t>1</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Colon</w:t>
            </w:r>
          </w:p>
        </w:tc>
        <w:tc>
          <w:tcPr>
            <w:tcW w:w="993"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65,390</w:t>
            </w:r>
          </w:p>
        </w:tc>
        <w:tc>
          <w:tcPr>
            <w:tcW w:w="1131"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strike w:val="1"/>
                <w:sz w:val="16"/>
                <w:lang w:val="en-GB" w:bidi="en-GB" w:eastAsia="en-GB"/>
              </w:rPr>
            </w:pPr>
            <w:r>
              <w:rPr>
                <w:rFonts w:ascii="Arial" w:hAnsi="Arial" w:cs="Arial"/>
                <w:strike w:val="1"/>
                <w:sz w:val="16"/>
                <w:highlight w:val="green"/>
                <w:lang w:val="en-GB" w:bidi="en-GB" w:eastAsia="en-GB"/>
              </w:rPr>
              <w:t>16.27%</w:t>
            </w:r>
          </w:p>
          <w:p>
            <w:pPr>
              <w:jc w:val="center"/>
              <w:rPr>
                <w:rFonts w:ascii="Arial" w:hAnsi="Arial" w:cs="Arial"/>
                <w:sz w:val="16"/>
                <w:szCs w:val="16"/>
                <w:lang w:val="en-GB" w:bidi="en-GB" w:eastAsia="en-GB"/>
              </w:rPr>
            </w:pPr>
            <w:r>
              <w:rPr>
                <w:rFonts w:ascii="Arial" w:hAnsi="Arial" w:cs="Arial"/>
                <w:sz w:val="16"/>
                <w:szCs w:val="16"/>
                <w:highlight w:val="green"/>
                <w:lang w:val="en-GB" w:bidi="en-GB" w:eastAsia="en-GB"/>
              </w:rPr>
              <w:t>16.09%</w:t>
            </w:r>
          </w:p>
        </w:tc>
        <w:tc>
          <w:tcPr>
            <w:tcW w:w="708"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50</w:t>
            </w:r>
          </w:p>
        </w:tc>
        <w:tc>
          <w:tcPr>
            <w:tcW w:w="709" w:type="dxa"/>
            <w:tcBorders>
              <w:top w:val="single" w:sz="4" w:space="0" w:shadow="0" w:frame="0"/>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single" w:sz="4" w:space="0" w:shadow="0" w:frame="0"/>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25</w:t>
            </w:r>
          </w:p>
        </w:tc>
      </w:tr>
      <w:tr>
        <w:trPr>
          <w:trHeight w:hRule="atLeast" w:val="282"/>
        </w:trPr>
        <w:tc>
          <w:tcPr>
            <w:tcW w:w="363" w:type="dxa"/>
            <w:tcBorders>
              <w:top w:val="single" w:sz="4" w:space="0" w:shadow="0" w:frame="0"/>
              <w:left w:val="single" w:sz="4" w:space="0" w:shadow="0" w:frame="0"/>
              <w:bottom w:val="single" w:sz="4" w:space="0" w:shadow="0" w:frame="0"/>
              <w:right w:val="single" w:sz="4" w:space="0" w:shadow="0" w:frame="0"/>
            </w:tcBorders>
            <w:vAlign w:val="center"/>
          </w:tcPr>
          <w:p>
            <w:pPr>
              <w:jc w:val="center"/>
              <w:rPr>
                <w:rFonts w:ascii="Arial" w:hAnsi="Arial" w:cs="Arial"/>
                <w:color w:val="000000"/>
                <w:sz w:val="16"/>
                <w:lang w:val="en-GB" w:bidi="en-GB" w:eastAsia="en-GB"/>
              </w:rPr>
            </w:pPr>
            <w:r>
              <w:rPr>
                <w:rFonts w:ascii="Arial" w:hAnsi="Arial" w:cs="Arial"/>
                <w:color w:val="000000"/>
                <w:sz w:val="16"/>
                <w:lang w:val="en-GB" w:bidi="en-GB" w:eastAsia="en-GB"/>
              </w:rPr>
              <w:t>3</w:t>
            </w:r>
          </w:p>
        </w:tc>
        <w:tc>
          <w:tcPr>
            <w:tcW w:w="3609" w:type="dxa"/>
            <w:gridSpan w:val="2"/>
            <w:tcBorders>
              <w:top w:val="single" w:sz="4" w:space="0" w:shadow="0" w:frame="0"/>
              <w:left w:val="nil"/>
              <w:bottom w:val="single" w:sz="4" w:space="0" w:shadow="0" w:frame="0"/>
              <w:right w:val="single" w:sz="4" w:space="0" w:shadow="0" w:frame="0"/>
            </w:tcBorders>
            <w:vAlign w:val="center"/>
          </w:tcPr>
          <w:p>
            <w:pPr>
              <w:rPr>
                <w:rFonts w:ascii="Arial" w:hAnsi="Arial" w:cs="Arial"/>
                <w:b w:val="1"/>
                <w:color w:val="000000"/>
                <w:sz w:val="16"/>
                <w:lang w:val="en-GB" w:bidi="en-GB" w:eastAsia="en-GB"/>
              </w:rPr>
            </w:pPr>
            <w:r>
              <w:rPr>
                <w:rFonts w:ascii="Arial" w:hAnsi="Arial" w:cs="Arial"/>
                <w:b w:val="1"/>
                <w:color w:val="000000"/>
                <w:sz w:val="16"/>
                <w:lang w:val="en-GB" w:bidi="en-GB" w:eastAsia="en-GB"/>
              </w:rPr>
              <w:t xml:space="preserve">Anal Cancer </w:t>
            </w:r>
            <w:r>
              <w:rPr>
                <w:rFonts w:ascii="Arial" w:hAnsi="Arial" w:cs="Arial"/>
                <w:color w:val="000000"/>
                <w:sz w:val="16"/>
                <w:szCs w:val="16"/>
                <w:vertAlign w:val="superscript"/>
              </w:rPr>
              <w:t>7)</w:t>
            </w:r>
          </w:p>
        </w:tc>
        <w:tc>
          <w:tcPr>
            <w:tcW w:w="993" w:type="dxa"/>
            <w:tcBorders>
              <w:top w:val="single" w:sz="4" w:space="0" w:shadow="0" w:frame="0"/>
              <w:left w:val="nil"/>
              <w:bottom w:val="single" w:sz="4" w:space="0" w:shadow="0" w:frame="0"/>
              <w:right w:val="single" w:sz="4" w:space="0" w:shadow="0" w:frame="0"/>
            </w:tcBorders>
            <w:vAlign w:val="center"/>
          </w:tcPr>
          <w:p>
            <w:pPr>
              <w:jc w:val="center"/>
              <w:rPr>
                <w:rFonts w:ascii="Arial" w:hAnsi="Arial" w:cs="Arial"/>
                <w:strike w:val="1"/>
                <w:sz w:val="16"/>
                <w:szCs w:val="16"/>
                <w:highlight w:val="green"/>
                <w:vertAlign w:val="superscript"/>
                <w:lang w:val="en-GB" w:bidi="en-GB" w:eastAsia="en-GB"/>
              </w:rPr>
            </w:pPr>
            <w:r>
              <w:rPr>
                <w:rFonts w:ascii="Arial" w:hAnsi="Arial" w:cs="Arial"/>
                <w:strike w:val="1"/>
                <w:sz w:val="16"/>
                <w:szCs w:val="16"/>
                <w:highlight w:val="green"/>
                <w:lang w:val="en-GB" w:bidi="en-GB" w:eastAsia="en-GB"/>
              </w:rPr>
              <w:t xml:space="preserve">‘--- </w:t>
            </w:r>
            <w:r>
              <w:rPr>
                <w:rFonts w:ascii="Arial" w:hAnsi="Arial" w:cs="Arial"/>
                <w:strike w:val="1"/>
                <w:sz w:val="16"/>
                <w:szCs w:val="16"/>
                <w:highlight w:val="green"/>
                <w:vertAlign w:val="superscript"/>
                <w:lang w:val="en-GB" w:bidi="en-GB" w:eastAsia="en-GB"/>
              </w:rPr>
              <w:t>7)</w:t>
            </w:r>
          </w:p>
          <w:p>
            <w:pPr>
              <w:jc w:val="center"/>
              <w:rPr>
                <w:rFonts w:ascii="Arial" w:hAnsi="Arial" w:cs="Arial"/>
                <w:sz w:val="16"/>
                <w:highlight w:val="green"/>
                <w:lang w:val="en-GB" w:bidi="en-GB" w:eastAsia="en-GB"/>
              </w:rPr>
            </w:pPr>
            <w:r>
              <w:rPr>
                <w:rFonts w:ascii="Arial" w:hAnsi="Arial" w:cs="Arial"/>
                <w:sz w:val="16"/>
                <w:szCs w:val="16"/>
                <w:highlight w:val="green"/>
                <w:lang w:val="en-GB" w:bidi="en-GB" w:eastAsia="en-GB"/>
              </w:rPr>
              <w:t>2.570</w:t>
            </w:r>
          </w:p>
        </w:tc>
        <w:tc>
          <w:tcPr>
            <w:tcW w:w="1131" w:type="dxa"/>
            <w:tcBorders>
              <w:top w:val="single" w:sz="4" w:space="0" w:shadow="0" w:frame="0"/>
              <w:left w:val="nil"/>
              <w:bottom w:val="single" w:sz="4" w:space="0" w:shadow="0" w:frame="0"/>
              <w:right w:val="single" w:sz="4" w:space="0" w:shadow="0" w:frame="0"/>
            </w:tcBorders>
            <w:vAlign w:val="center"/>
          </w:tcPr>
          <w:p>
            <w:pPr>
              <w:jc w:val="center"/>
              <w:rPr>
                <w:rFonts w:ascii="Arial" w:hAnsi="Arial" w:cs="Arial"/>
                <w:strike w:val="1"/>
                <w:sz w:val="16"/>
                <w:szCs w:val="16"/>
                <w:highlight w:val="green"/>
                <w:vertAlign w:val="superscript"/>
                <w:lang w:val="en-GB" w:bidi="en-GB" w:eastAsia="en-GB"/>
              </w:rPr>
            </w:pPr>
            <w:r>
              <w:rPr>
                <w:rFonts w:ascii="Arial" w:hAnsi="Arial" w:cs="Arial"/>
                <w:strike w:val="1"/>
                <w:sz w:val="16"/>
                <w:szCs w:val="16"/>
                <w:highlight w:val="green"/>
                <w:lang w:val="en-GB" w:bidi="en-GB" w:eastAsia="en-GB"/>
              </w:rPr>
              <w:t xml:space="preserve">‘--- </w:t>
            </w:r>
            <w:r>
              <w:rPr>
                <w:rFonts w:ascii="Arial" w:hAnsi="Arial" w:cs="Arial"/>
                <w:strike w:val="1"/>
                <w:sz w:val="16"/>
                <w:szCs w:val="16"/>
                <w:highlight w:val="green"/>
                <w:vertAlign w:val="superscript"/>
                <w:lang w:val="en-GB" w:bidi="en-GB" w:eastAsia="en-GB"/>
              </w:rPr>
              <w:t>7)</w:t>
            </w:r>
          </w:p>
          <w:p>
            <w:pPr>
              <w:jc w:val="center"/>
              <w:rPr>
                <w:rFonts w:ascii="Arial" w:hAnsi="Arial" w:cs="Arial"/>
                <w:sz w:val="16"/>
                <w:highlight w:val="green"/>
                <w:lang w:val="en-GB" w:bidi="en-GB" w:eastAsia="en-GB"/>
              </w:rPr>
            </w:pPr>
            <w:r>
              <w:rPr>
                <w:rFonts w:ascii="Arial" w:hAnsi="Arial" w:cs="Arial"/>
                <w:sz w:val="16"/>
                <w:szCs w:val="16"/>
                <w:highlight w:val="green"/>
                <w:lang w:val="en-GB" w:bidi="en-GB" w:eastAsia="en-GB"/>
              </w:rPr>
              <w:t>0.63%</w:t>
            </w:r>
          </w:p>
        </w:tc>
        <w:tc>
          <w:tcPr>
            <w:tcW w:w="708" w:type="dxa"/>
            <w:tcBorders>
              <w:top w:val="single" w:sz="4" w:space="0" w:shadow="0" w:frame="0"/>
              <w:left w:val="single" w:sz="4" w:space="0" w:shadow="0" w:frame="0"/>
              <w:bottom w:val="single" w:sz="4" w:space="0" w:shadow="0" w:frame="0"/>
              <w:right w:val="single" w:sz="4" w:space="0" w:shadow="0" w:frame="0"/>
            </w:tcBorders>
            <w:shd w:val="clear" w:color="auto" w:fill="7F7F7F"/>
            <w:vAlign w:val="center"/>
          </w:tcPr>
          <w:p>
            <w:pPr>
              <w:jc w:val="center"/>
              <w:rPr>
                <w:rFonts w:ascii="Arial" w:hAnsi="Arial" w:cs="Arial"/>
                <w:sz w:val="16"/>
                <w:lang w:val="en-GB" w:bidi="en-GB" w:eastAsia="en-GB"/>
              </w:rPr>
            </w:pPr>
          </w:p>
        </w:tc>
        <w:tc>
          <w:tcPr>
            <w:tcW w:w="709" w:type="dxa"/>
            <w:tcBorders>
              <w:top w:val="single" w:sz="4" w:space="0" w:shadow="0" w:frame="0"/>
              <w:left w:val="single" w:sz="4" w:space="0" w:shadow="0" w:frame="0"/>
              <w:bottom w:val="single" w:sz="4" w:space="0" w:shadow="0" w:frame="0"/>
              <w:right w:val="single" w:sz="4" w:space="0" w:shadow="0" w:frame="0"/>
            </w:tcBorders>
            <w:shd w:val="clear" w:color="auto" w:fill="FFFFFF"/>
            <w:vAlign w:val="center"/>
          </w:tcPr>
          <w:p>
            <w:pPr>
              <w:jc w:val="center"/>
              <w:rPr>
                <w:rFonts w:ascii="Arial" w:hAnsi="Arial" w:cs="Arial"/>
                <w:color w:val="808080"/>
                <w:sz w:val="2"/>
                <w:lang w:val="en-GB" w:bidi="en-GB" w:eastAsia="en-GB"/>
              </w:rPr>
            </w:pPr>
            <w:r>
              <w:rPr>
                <w:rFonts w:ascii="Arial" w:hAnsi="Arial" w:cs="Arial"/>
                <w:sz w:val="16"/>
                <w:lang w:val="en-GB" w:bidi="en-GB" w:eastAsia="en-GB"/>
              </w:rPr>
              <w:t>12</w:t>
            </w:r>
          </w:p>
        </w:tc>
        <w:tc>
          <w:tcPr>
            <w:tcW w:w="709" w:type="dxa"/>
            <w:tcBorders>
              <w:top w:val="single" w:sz="4" w:space="0" w:shadow="0" w:frame="0"/>
              <w:left w:val="nil"/>
              <w:bottom w:val="single" w:sz="4" w:space="0" w:shadow="0" w:frame="0"/>
              <w:right w:val="single" w:sz="4" w:space="0" w:shadow="0" w:frame="0"/>
            </w:tcBorders>
            <w:shd w:val="clear" w:color="000000" w:fill="808080"/>
            <w:vAlign w:val="center"/>
          </w:tcPr>
          <w:p>
            <w:pPr>
              <w:jc w:val="center"/>
              <w:rPr>
                <w:rFonts w:ascii="Arial" w:hAnsi="Arial" w:cs="Arial"/>
                <w:color w:val="808080"/>
                <w:sz w:val="2"/>
                <w:lang w:val="en-GB" w:bidi="en-GB" w:eastAsia="en-GB"/>
              </w:rPr>
            </w:pPr>
          </w:p>
        </w:tc>
        <w:tc>
          <w:tcPr>
            <w:tcW w:w="709" w:type="dxa"/>
            <w:tcBorders>
              <w:top w:val="single" w:sz="4" w:space="0" w:shadow="0" w:frame="0"/>
              <w:left w:val="nil"/>
              <w:bottom w:val="single" w:sz="4" w:space="0" w:shadow="0" w:frame="0"/>
              <w:right w:val="single" w:sz="4" w:space="0" w:shadow="0" w:frame="0"/>
            </w:tcBorders>
            <w:shd w:val="clear" w:color="auto" w:fill="7F7F7F"/>
            <w:vAlign w:val="center"/>
          </w:tcPr>
          <w:p>
            <w:pPr>
              <w:jc w:val="center"/>
              <w:rPr>
                <w:rFonts w:ascii="Arial" w:hAnsi="Arial" w:cs="Arial"/>
                <w:sz w:val="16"/>
                <w:lang w:val="en-GB" w:bidi="en-GB" w:eastAsia="en-GB"/>
              </w:rPr>
            </w:pP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lang w:val="en-GB" w:bidi="en-GB" w:eastAsia="en-GB"/>
              </w:rPr>
              <w:t>3</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Pancreas</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14,960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3.72%</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3.68%</w:t>
            </w:r>
          </w:p>
        </w:tc>
        <w:tc>
          <w:tcPr>
            <w:tcW w:w="708" w:type="dxa"/>
            <w:tcBorders>
              <w:top w:val="single" w:sz="4" w:space="0" w:shadow="0" w:frame="0"/>
              <w:left w:val="single" w:sz="4" w:space="0" w:shadow="0" w:frame="0"/>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25</w:t>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969696"/>
                <w:sz w:val="2"/>
                <w:szCs w:val="2"/>
                <w:lang w:val="en-GB" w:bidi="en-GB" w:eastAsia="en-GB"/>
              </w:rPr>
            </w:pPr>
            <w:r>
              <w:rPr>
                <w:rFonts w:ascii="Arial" w:hAnsi="Arial" w:cs="Arial"/>
                <w:color w:val="969696"/>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13</w:t>
            </w: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lang w:val="en-GB" w:bidi="en-GB" w:eastAsia="en-GB"/>
              </w:rPr>
              <w:t>4</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 xml:space="preserve">Gastric </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15,870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3.95%</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3.91%</w:t>
            </w:r>
          </w:p>
        </w:tc>
        <w:tc>
          <w:tcPr>
            <w:tcW w:w="708" w:type="dxa"/>
            <w:tcBorders>
              <w:top w:val="single" w:sz="4" w:space="0" w:shadow="0" w:frame="0"/>
              <w:left w:val="single" w:sz="4" w:space="0" w:shadow="0" w:frame="0"/>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single" w:sz="4" w:space="0" w:shadow="0" w:frame="0"/>
              <w:left w:val="single" w:sz="4" w:space="0" w:shadow="0" w:frame="0"/>
              <w:bottom w:val="single" w:sz="4" w:space="0" w:shadow="0" w:frame="0"/>
              <w:right w:val="single" w:sz="4" w:space="0" w:shadow="0" w:frame="0"/>
            </w:tcBorders>
            <w:shd w:val="clear" w:color="000000" w:fill="auto"/>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30</w:t>
            </w: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hideMark/>
          </w:tcPr>
          <w:p>
            <w:pPr>
              <w:spacing w:before="40" w:beforeAutospacing="0" w:afterAutospacing="0"/>
              <w:jc w:val="center"/>
              <w:rPr>
                <w:rFonts w:ascii="Arial" w:hAnsi="Arial" w:cs="Arial"/>
                <w:strike w:val="1"/>
                <w:sz w:val="16"/>
                <w:szCs w:val="16"/>
                <w:highlight w:val="green"/>
                <w:lang w:val="en-GB" w:bidi="en-GB" w:eastAsia="en-GB"/>
              </w:rPr>
            </w:pPr>
            <w:r>
              <w:rPr>
                <w:rFonts w:ascii="Arial" w:hAnsi="Arial" w:cs="Arial"/>
                <w:strike w:val="1"/>
                <w:sz w:val="16"/>
                <w:highlight w:val="green"/>
                <w:lang w:val="en-GB" w:bidi="en-GB" w:eastAsia="en-GB"/>
              </w:rPr>
              <w:t xml:space="preserve">--- </w:t>
            </w:r>
            <w:r>
              <w:rPr>
                <w:rFonts w:ascii="Arial" w:hAnsi="Arial" w:cs="Arial"/>
                <w:strike w:val="1"/>
                <w:sz w:val="16"/>
                <w:highlight w:val="green"/>
                <w:vertAlign w:val="superscript"/>
                <w:lang w:val="en-GB" w:bidi="en-GB" w:eastAsia="en-GB"/>
              </w:rPr>
              <w:t>3)</w:t>
            </w:r>
          </w:p>
        </w:tc>
        <w:tc>
          <w:tcPr>
            <w:tcW w:w="709" w:type="dxa"/>
            <w:tcBorders>
              <w:top w:val="nil"/>
              <w:left w:val="nil"/>
              <w:bottom w:val="single" w:sz="4" w:space="0" w:shadow="0" w:frame="0"/>
              <w:right w:val="single" w:sz="4" w:space="0" w:shadow="0" w:frame="0"/>
            </w:tcBorders>
            <w:shd w:val="clear" w:color="auto" w:fill="FFFFFF"/>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15</w:t>
            </w: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lang w:val="en-GB" w:bidi="en-GB" w:eastAsia="en-GB"/>
              </w:rPr>
              <w:t>5</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strike w:val="1"/>
                <w:color w:val="000000"/>
                <w:sz w:val="16"/>
                <w:szCs w:val="16"/>
                <w:lang w:val="en-GB" w:bidi="en-GB" w:eastAsia="en-GB"/>
              </w:rPr>
            </w:pPr>
            <w:r>
              <w:rPr>
                <w:rFonts w:ascii="Arial" w:hAnsi="Arial" w:cs="Arial"/>
                <w:b w:val="1"/>
                <w:color w:val="000000"/>
                <w:sz w:val="16"/>
                <w:lang w:val="en-GB" w:bidi="en-GB" w:eastAsia="en-GB"/>
              </w:rPr>
              <w:t>Liver/ Bile</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highlight w:val="green"/>
              </w:rPr>
            </w:pPr>
            <w:r>
              <w:rPr>
                <w:rFonts w:ascii="Arial" w:hAnsi="Arial" w:cs="Arial"/>
                <w:sz w:val="16"/>
                <w:szCs w:val="16"/>
              </w:rPr>
              <w:t>9,520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color w:val="000000"/>
                <w:sz w:val="16"/>
                <w:szCs w:val="16"/>
                <w:highlight w:val="green"/>
              </w:rPr>
            </w:pPr>
            <w:r>
              <w:rPr>
                <w:rFonts w:ascii="Arial" w:hAnsi="Arial" w:cs="Arial"/>
                <w:strike w:val="1"/>
                <w:color w:val="000000"/>
                <w:sz w:val="16"/>
                <w:szCs w:val="16"/>
                <w:highlight w:val="green"/>
              </w:rPr>
              <w:t>2.37%</w:t>
            </w:r>
          </w:p>
          <w:p>
            <w:pPr>
              <w:jc w:val="center"/>
              <w:rPr>
                <w:rFonts w:ascii="Arial" w:hAnsi="Arial" w:cs="Arial"/>
                <w:sz w:val="16"/>
                <w:szCs w:val="16"/>
                <w:highlight w:val="green"/>
                <w:lang w:val="en-GB" w:bidi="en-GB" w:eastAsia="en-GB"/>
              </w:rPr>
            </w:pPr>
            <w:r>
              <w:rPr>
                <w:rFonts w:ascii="Arial" w:hAnsi="Arial" w:cs="Arial"/>
                <w:color w:val="000000"/>
                <w:sz w:val="16"/>
                <w:szCs w:val="16"/>
                <w:highlight w:val="green"/>
              </w:rPr>
              <w:t>2.34%</w:t>
            </w:r>
          </w:p>
        </w:tc>
        <w:tc>
          <w:tcPr>
            <w:tcW w:w="708" w:type="dxa"/>
            <w:tcBorders>
              <w:top w:val="single" w:sz="4" w:space="0" w:shadow="0" w:frame="0"/>
              <w:left w:val="single" w:sz="4" w:space="0" w:shadow="0" w:frame="0"/>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single" w:sz="4" w:space="0" w:shadow="0" w:frame="0"/>
              <w:left w:val="single" w:sz="4" w:space="0" w:shadow="0" w:frame="0"/>
              <w:bottom w:val="single" w:sz="4" w:space="0" w:shadow="0" w:frame="0"/>
              <w:right w:val="single" w:sz="4" w:space="0" w:shadow="0" w:frame="0"/>
            </w:tcBorders>
            <w:shd w:val="clear" w:color="000000" w:fill="auto"/>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40</w:t>
            </w: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hideMark/>
          </w:tcPr>
          <w:p>
            <w:pPr>
              <w:spacing w:before="40" w:beforeAutospacing="0" w:afterAutospacing="0"/>
              <w:jc w:val="center"/>
              <w:rPr>
                <w:rFonts w:ascii="Arial" w:hAnsi="Arial" w:cs="Arial"/>
                <w:strike w:val="1"/>
                <w:sz w:val="16"/>
                <w:szCs w:val="16"/>
                <w:highlight w:val="green"/>
                <w:lang w:val="en-GB" w:bidi="en-GB" w:eastAsia="en-GB"/>
              </w:rPr>
            </w:pPr>
            <w:r>
              <w:rPr>
                <w:rFonts w:ascii="Arial" w:hAnsi="Arial" w:cs="Arial"/>
                <w:strike w:val="1"/>
                <w:sz w:val="16"/>
                <w:highlight w:val="green"/>
                <w:lang w:val="en-GB" w:bidi="en-GB" w:eastAsia="en-GB"/>
              </w:rPr>
              <w:t xml:space="preserve">--- </w:t>
            </w:r>
            <w:r>
              <w:rPr>
                <w:rFonts w:ascii="Arial" w:hAnsi="Arial" w:cs="Arial"/>
                <w:strike w:val="1"/>
                <w:sz w:val="16"/>
                <w:highlight w:val="green"/>
                <w:vertAlign w:val="superscript"/>
                <w:lang w:val="en-GB" w:bidi="en-GB" w:eastAsia="en-GB"/>
              </w:rPr>
              <w:t>3)</w:t>
            </w:r>
          </w:p>
        </w:tc>
        <w:tc>
          <w:tcPr>
            <w:tcW w:w="709" w:type="dxa"/>
            <w:tcBorders>
              <w:top w:val="nil"/>
              <w:left w:val="nil"/>
              <w:bottom w:val="single" w:sz="4" w:space="0" w:shadow="0" w:frame="0"/>
              <w:right w:val="single" w:sz="4" w:space="0" w:shadow="0" w:frame="0"/>
            </w:tcBorders>
            <w:shd w:val="clear" w:color="auto" w:fill="FFFFFF"/>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20</w:t>
            </w: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lang w:val="en-GB" w:bidi="en-GB" w:eastAsia="en-GB"/>
              </w:rPr>
              <w:t>6</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Oesophagus</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6,180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1.54%</w:t>
            </w:r>
          </w:p>
          <w:p>
            <w:pPr>
              <w:jc w:val="center"/>
              <w:rPr>
                <w:rFonts w:ascii="Arial" w:hAnsi="Arial" w:cs="Arial"/>
                <w:sz w:val="16"/>
                <w:highlight w:val="green"/>
                <w:lang w:val="en-GB" w:bidi="en-GB" w:eastAsia="en-GB"/>
              </w:rPr>
            </w:pPr>
            <w:r>
              <w:rPr>
                <w:rFonts w:ascii="Arial" w:hAnsi="Arial" w:cs="Arial"/>
                <w:sz w:val="16"/>
                <w:highlight w:val="green"/>
                <w:lang w:val="en-GB" w:bidi="en-GB" w:eastAsia="en-GB"/>
              </w:rPr>
              <w:t>1.52%</w:t>
            </w:r>
          </w:p>
          <w:p>
            <w:pPr>
              <w:jc w:val="center"/>
              <w:rPr>
                <w:rFonts w:ascii="Arial" w:hAnsi="Arial" w:cs="Arial"/>
                <w:strike w:val="1"/>
                <w:sz w:val="16"/>
                <w:szCs w:val="16"/>
                <w:highlight w:val="green"/>
                <w:lang w:val="en-GB" w:bidi="en-GB" w:eastAsia="en-GB"/>
              </w:rPr>
            </w:pPr>
          </w:p>
        </w:tc>
        <w:tc>
          <w:tcPr>
            <w:tcW w:w="708" w:type="dxa"/>
            <w:tcBorders>
              <w:top w:val="single" w:sz="4" w:space="0" w:shadow="0" w:frame="0"/>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color w:val="808080"/>
                <w:sz w:val="2"/>
                <w:szCs w:val="2"/>
                <w:lang w:val="en-GB" w:bidi="en-GB" w:eastAsia="en-GB"/>
              </w:rPr>
            </w:pPr>
            <w:r>
              <w:rPr>
                <w:rFonts w:ascii="Arial" w:hAnsi="Arial" w:cs="Arial"/>
                <w:sz w:val="16"/>
                <w:szCs w:val="16"/>
                <w:highlight w:val="green"/>
                <w:lang w:val="en-GB" w:bidi="en-GB" w:eastAsia="en-GB"/>
              </w:rPr>
              <w:t>20</w:t>
            </w: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hideMark/>
          </w:tcPr>
          <w:p>
            <w:pPr>
              <w:jc w:val="center"/>
              <w:rPr>
                <w:rFonts w:ascii="Arial" w:hAnsi="Arial" w:cs="Arial"/>
                <w:sz w:val="16"/>
                <w:lang w:val="en-GB" w:bidi="en-GB" w:eastAsia="en-GB"/>
              </w:rPr>
            </w:pPr>
          </w:p>
        </w:tc>
        <w:tc>
          <w:tcPr>
            <w:tcW w:w="709" w:type="dxa"/>
            <w:tcBorders>
              <w:top w:val="nil"/>
              <w:left w:val="nil"/>
              <w:bottom w:val="single" w:sz="4" w:space="0" w:shadow="0" w:frame="0"/>
              <w:right w:val="single" w:sz="4" w:space="0" w:shadow="0" w:frame="0"/>
            </w:tcBorders>
            <w:shd w:val="clear" w:color="auto" w:fill="FFFFFF" w:themeFill="background1"/>
            <w:vAlign w:val="center"/>
            <w:hideMark/>
          </w:tcPr>
          <w:p>
            <w:pPr>
              <w:jc w:val="center"/>
              <w:rPr>
                <w:rFonts w:ascii="Arial" w:hAnsi="Arial" w:cs="Arial"/>
                <w:sz w:val="16"/>
                <w:lang w:val="en-GB" w:bidi="en-GB" w:eastAsia="en-GB"/>
              </w:rPr>
            </w:pPr>
            <w:r>
              <w:rPr>
                <w:rFonts w:ascii="Arial" w:hAnsi="Arial" w:cs="Arial"/>
                <w:sz w:val="16"/>
                <w:lang w:val="en-GB" w:bidi="en-GB" w:eastAsia="en-GB"/>
              </w:rPr>
              <w:t>10</w:t>
            </w:r>
          </w:p>
        </w:tc>
      </w:tr>
      <w:tr>
        <w:trPr>
          <w:trHeight w:hRule="atLeast" w:val="675"/>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lang w:val="en-GB" w:bidi="en-GB" w:eastAsia="en-GB"/>
              </w:rPr>
              <w:t>7</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color w:val="000000"/>
                <w:sz w:val="16"/>
                <w:szCs w:val="16"/>
                <w:lang w:val="en-GB" w:bidi="en-GB" w:eastAsia="en-GB"/>
              </w:rPr>
            </w:pPr>
            <w:r>
              <w:rPr>
                <w:rFonts w:ascii="Arial" w:hAnsi="Arial" w:cs="Arial"/>
                <w:b w:val="1"/>
                <w:color w:val="000000"/>
                <w:sz w:val="16"/>
                <w:lang w:val="en-GB" w:bidi="en-GB" w:eastAsia="en-GB"/>
              </w:rPr>
              <w:t>Other gastrointestinal tumours (S1)</w:t>
            </w:r>
            <w:r>
              <w:rPr>
                <w:rFonts w:ascii="Arial" w:hAnsi="Arial" w:cs="Arial"/>
                <w:color w:val="000000"/>
                <w:sz w:val="16"/>
                <w:szCs w:val="16"/>
                <w:lang w:val="en-GB" w:bidi="en-GB" w:eastAsia="en-GB"/>
              </w:rPr>
              <w:br w:type="textWrapping"/>
            </w:r>
            <w:r>
              <w:rPr>
                <w:rFonts w:ascii="Arial" w:hAnsi="Arial" w:cs="Arial"/>
                <w:color w:val="000000"/>
                <w:sz w:val="16"/>
                <w:lang w:val="en-GB" w:bidi="en-GB" w:eastAsia="en-GB"/>
              </w:rPr>
              <w:t xml:space="preserve">(Neuroendocrine tumours of the gastrointestinal tract, tumours of the small intestine, </w:t>
            </w:r>
            <w:r>
              <w:rPr>
                <w:rFonts w:ascii="Arial" w:hAnsi="Arial" w:cs="Arial"/>
                <w:color w:val="000000"/>
                <w:sz w:val="16"/>
                <w:highlight w:val="green"/>
                <w:lang w:val="en-GB" w:bidi="en-GB" w:eastAsia="en-GB"/>
              </w:rPr>
              <w:t>extrahepatic bile ducts</w:t>
            </w:r>
            <w:r>
              <w:rPr>
                <w:rFonts w:ascii="Arial" w:hAnsi="Arial" w:cs="Arial"/>
                <w:color w:val="000000"/>
                <w:sz w:val="16"/>
                <w:lang w:val="en-GB" w:bidi="en-GB" w:eastAsia="en-GB"/>
              </w:rPr>
              <w:t>)</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highlight w:val="green"/>
              </w:rPr>
            </w:pPr>
            <w:r>
              <w:rPr>
                <w:rFonts w:ascii="Arial" w:hAnsi="Arial" w:cs="Arial"/>
                <w:sz w:val="16"/>
                <w:szCs w:val="16"/>
              </w:rPr>
              <w:t>1,800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color w:val="000000"/>
                <w:sz w:val="16"/>
                <w:szCs w:val="16"/>
                <w:highlight w:val="green"/>
              </w:rPr>
            </w:pPr>
            <w:r>
              <w:rPr>
                <w:rFonts w:ascii="Arial" w:hAnsi="Arial" w:cs="Arial"/>
                <w:strike w:val="1"/>
                <w:color w:val="000000"/>
                <w:sz w:val="16"/>
                <w:szCs w:val="16"/>
                <w:highlight w:val="green"/>
              </w:rPr>
              <w:t>0.45%</w:t>
            </w:r>
          </w:p>
          <w:p>
            <w:pPr>
              <w:jc w:val="center"/>
              <w:rPr>
                <w:rFonts w:ascii="Arial" w:hAnsi="Arial" w:cs="Arial"/>
                <w:color w:val="000000"/>
                <w:sz w:val="16"/>
                <w:szCs w:val="16"/>
                <w:highlight w:val="green"/>
              </w:rPr>
            </w:pPr>
            <w:r>
              <w:rPr>
                <w:rFonts w:ascii="Arial" w:hAnsi="Arial" w:cs="Arial"/>
                <w:color w:val="000000"/>
                <w:sz w:val="16"/>
                <w:szCs w:val="16"/>
                <w:highlight w:val="green"/>
              </w:rPr>
              <w:t>0.44%</w:t>
            </w:r>
          </w:p>
          <w:p>
            <w:pPr>
              <w:jc w:val="center"/>
              <w:rPr>
                <w:rFonts w:ascii="Arial" w:hAnsi="Arial" w:cs="Arial"/>
                <w:strike w:val="1"/>
                <w:sz w:val="16"/>
                <w:szCs w:val="16"/>
                <w:highlight w:val="green"/>
                <w:lang w:val="en-GB" w:bidi="en-GB" w:eastAsia="en-GB"/>
              </w:rPr>
            </w:pPr>
          </w:p>
        </w:tc>
        <w:tc>
          <w:tcPr>
            <w:tcW w:w="708" w:type="dxa"/>
            <w:tcBorders>
              <w:top w:val="single" w:sz="4" w:space="0" w:shadow="0" w:frame="0"/>
              <w:left w:val="single" w:sz="4" w:space="0" w:shadow="0" w:frame="0"/>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single" w:sz="4" w:space="0" w:shadow="0" w:frame="0"/>
              <w:left w:val="single" w:sz="4" w:space="0" w:shadow="0" w:frame="0"/>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single" w:sz="4" w:space="0" w:shadow="0" w:frame="0"/>
              <w:left w:val="single" w:sz="4" w:space="0" w:shadow="0" w:frame="0"/>
              <w:bottom w:val="single" w:sz="4" w:space="0" w:shadow="0" w:frame="0"/>
              <w:right w:val="single" w:sz="4" w:space="0" w:shadow="0" w:frame="0"/>
            </w:tcBorders>
            <w:vAlign w:val="center"/>
            <w:hideMark/>
          </w:tcPr>
          <w:p>
            <w:pPr>
              <w:spacing w:before="40" w:beforeAutospacing="0" w:afterAutospacing="0"/>
              <w:jc w:val="center"/>
              <w:rPr>
                <w:rFonts w:ascii="Arial" w:hAnsi="Arial" w:cs="Arial"/>
                <w:sz w:val="16"/>
                <w:szCs w:val="16"/>
                <w:lang w:val="en-GB" w:bidi="en-GB" w:eastAsia="en-GB"/>
              </w:rPr>
            </w:pPr>
            <w:r>
              <w:rPr>
                <w:rFonts w:ascii="Arial" w:hAnsi="Arial" w:cs="Arial"/>
                <w:sz w:val="16"/>
                <w:lang w:val="en-GB" w:bidi="en-GB" w:eastAsia="en-GB"/>
              </w:rPr>
              <w:t xml:space="preserve">--- </w:t>
            </w:r>
            <w:r>
              <w:rPr>
                <w:rFonts w:ascii="Arial" w:hAnsi="Arial" w:cs="Arial"/>
                <w:sz w:val="16"/>
                <w:vertAlign w:val="superscript"/>
                <w:lang w:val="en-GB" w:bidi="en-GB" w:eastAsia="en-GB"/>
              </w:rPr>
              <w:t>3)</w:t>
            </w:r>
          </w:p>
        </w:tc>
        <w:tc>
          <w:tcPr>
            <w:tcW w:w="709" w:type="dxa"/>
            <w:tcBorders>
              <w:top w:val="single" w:sz="4" w:space="0" w:shadow="0" w:frame="0"/>
              <w:left w:val="single" w:sz="4" w:space="0" w:shadow="0" w:frame="0"/>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r>
      <w:tr>
        <w:trPr>
          <w:trHeight w:hRule="atLeast" w:val="645"/>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lang w:val="en-GB" w:bidi="en-GB" w:eastAsia="en-GB"/>
              </w:rPr>
              <w:t>8</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color w:val="000000"/>
                <w:sz w:val="16"/>
                <w:szCs w:val="16"/>
                <w:lang w:val="en-GB" w:bidi="en-GB" w:eastAsia="en-GB"/>
              </w:rPr>
            </w:pPr>
            <w:r>
              <w:rPr>
                <w:rFonts w:ascii="Arial" w:hAnsi="Arial" w:cs="Arial"/>
                <w:b w:val="1"/>
                <w:color w:val="000000"/>
                <w:sz w:val="16"/>
                <w:lang w:val="en-GB" w:bidi="en-GB" w:eastAsia="en-GB"/>
              </w:rPr>
              <w:t>Endocrine malignancies (S4)</w:t>
            </w:r>
            <w:r>
              <w:rPr>
                <w:rFonts w:ascii="Arial" w:hAnsi="Arial" w:cs="Arial"/>
                <w:color w:val="000000"/>
                <w:sz w:val="16"/>
                <w:szCs w:val="16"/>
                <w:lang w:val="en-GB" w:bidi="en-GB" w:eastAsia="en-GB"/>
              </w:rPr>
              <w:br w:type="textWrapping"/>
            </w:r>
            <w:r>
              <w:rPr>
                <w:rFonts w:ascii="Arial" w:hAnsi="Arial" w:cs="Arial"/>
                <w:color w:val="000000"/>
                <w:sz w:val="16"/>
                <w:lang w:val="en-GB" w:bidi="en-GB" w:eastAsia="en-GB"/>
              </w:rPr>
              <w:t>(incl. thyroid, adrenal gland, paraganglia, pituitary gland, parathyroid, neuroendocrine tumours)</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5,870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1.46%</w:t>
            </w:r>
          </w:p>
          <w:p>
            <w:pPr>
              <w:jc w:val="center"/>
              <w:rPr>
                <w:rFonts w:ascii="Arial" w:hAnsi="Arial" w:cs="Arial"/>
                <w:sz w:val="16"/>
                <w:szCs w:val="16"/>
                <w:highlight w:val="green"/>
                <w:lang w:val="en-GB" w:bidi="en-GB" w:eastAsia="en-GB"/>
              </w:rPr>
            </w:pPr>
            <w:r>
              <w:rPr>
                <w:rFonts w:ascii="Arial" w:hAnsi="Arial" w:cs="Arial"/>
                <w:sz w:val="16"/>
                <w:highlight w:val="green"/>
                <w:lang w:val="en-GB" w:bidi="en-GB" w:eastAsia="en-GB"/>
              </w:rPr>
              <w:t>1.44%</w:t>
            </w:r>
          </w:p>
        </w:tc>
        <w:tc>
          <w:tcPr>
            <w:tcW w:w="708" w:type="dxa"/>
            <w:tcBorders>
              <w:top w:val="single" w:sz="4" w:space="0" w:shadow="0" w:frame="0"/>
              <w:left w:val="single" w:sz="4" w:space="0" w:shadow="0" w:frame="0"/>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single" w:sz="4" w:space="0" w:shadow="0" w:frame="0"/>
              <w:left w:val="single" w:sz="4" w:space="0" w:shadow="0" w:frame="0"/>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single" w:sz="4" w:space="0" w:shadow="0" w:frame="0"/>
              <w:left w:val="single" w:sz="4" w:space="0" w:shadow="0" w:frame="0"/>
              <w:bottom w:val="single" w:sz="4" w:space="0" w:shadow="0" w:frame="0"/>
              <w:right w:val="single" w:sz="4" w:space="0" w:shadow="0" w:frame="0"/>
            </w:tcBorders>
            <w:vAlign w:val="center"/>
            <w:hideMark/>
          </w:tcPr>
          <w:p>
            <w:pPr>
              <w:spacing w:before="40" w:beforeAutospacing="0" w:afterAutospacing="0"/>
              <w:jc w:val="center"/>
              <w:rPr>
                <w:rFonts w:ascii="Arial" w:hAnsi="Arial" w:cs="Arial"/>
                <w:sz w:val="16"/>
                <w:szCs w:val="16"/>
                <w:lang w:val="en-GB" w:bidi="en-GB" w:eastAsia="en-GB"/>
              </w:rPr>
            </w:pPr>
            <w:r>
              <w:rPr>
                <w:rFonts w:ascii="Arial" w:hAnsi="Arial" w:cs="Arial"/>
                <w:sz w:val="16"/>
                <w:lang w:val="en-GB" w:bidi="en-GB" w:eastAsia="en-GB"/>
              </w:rPr>
              <w:t xml:space="preserve">--- </w:t>
            </w:r>
            <w:r>
              <w:rPr>
                <w:rFonts w:ascii="Arial" w:hAnsi="Arial" w:cs="Arial"/>
                <w:sz w:val="16"/>
                <w:vertAlign w:val="superscript"/>
                <w:lang w:val="en-GB" w:bidi="en-GB" w:eastAsia="en-GB"/>
              </w:rPr>
              <w:t>3)</w:t>
            </w:r>
          </w:p>
        </w:tc>
        <w:tc>
          <w:tcPr>
            <w:tcW w:w="709" w:type="dxa"/>
            <w:tcBorders>
              <w:top w:val="single" w:sz="4" w:space="0" w:shadow="0" w:frame="0"/>
              <w:left w:val="single" w:sz="4" w:space="0" w:shadow="0" w:frame="0"/>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r>
      <w:tr>
        <w:trPr>
          <w:trHeight w:hRule="atLeast" w:val="465"/>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szCs w:val="16"/>
                <w:lang w:val="en-GB" w:bidi="en-GB" w:eastAsia="en-GB"/>
              </w:rPr>
              <w:t>9</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strike w:val="1"/>
                <w:color w:val="000000"/>
                <w:sz w:val="16"/>
                <w:szCs w:val="16"/>
                <w:lang w:val="en-GB" w:bidi="en-GB" w:eastAsia="en-GB"/>
              </w:rPr>
            </w:pPr>
            <w:r>
              <w:rPr>
                <w:rFonts w:ascii="Arial" w:hAnsi="Arial" w:cs="Arial"/>
                <w:b w:val="1"/>
                <w:color w:val="000000"/>
                <w:sz w:val="16"/>
                <w:lang w:val="en-GB" w:bidi="en-GB" w:eastAsia="en-GB"/>
              </w:rPr>
              <w:t>Haematological systemic diseases</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32,830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8,17%</w:t>
            </w:r>
          </w:p>
          <w:p>
            <w:pPr>
              <w:jc w:val="center"/>
              <w:rPr>
                <w:rFonts w:ascii="Arial" w:hAnsi="Arial" w:cs="Arial"/>
                <w:sz w:val="16"/>
                <w:szCs w:val="16"/>
                <w:highlight w:val="green"/>
                <w:lang w:val="en-GB" w:bidi="en-GB" w:eastAsia="en-GB"/>
              </w:rPr>
            </w:pPr>
            <w:r>
              <w:rPr>
                <w:rFonts w:ascii="Arial" w:hAnsi="Arial" w:cs="Arial"/>
                <w:sz w:val="16"/>
                <w:highlight w:val="green"/>
                <w:lang w:val="en-GB" w:bidi="en-GB" w:eastAsia="en-GB"/>
              </w:rPr>
              <w:t>8.08%</w:t>
            </w:r>
          </w:p>
        </w:tc>
        <w:tc>
          <w:tcPr>
            <w:tcW w:w="708"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color w:val="808080"/>
                <w:sz w:val="2"/>
                <w:szCs w:val="2"/>
                <w:lang w:val="en-GB" w:bidi="en-GB" w:eastAsia="en-GB"/>
              </w:rPr>
            </w:pPr>
            <w:r>
              <w:rPr>
                <w:rFonts w:ascii="Arial" w:hAnsi="Arial" w:cs="Arial"/>
                <w:sz w:val="16"/>
                <w:szCs w:val="16"/>
                <w:lang w:val="en-GB" w:bidi="en-GB" w:eastAsia="en-GB"/>
              </w:rPr>
              <w:t xml:space="preserve">75 </w:t>
            </w:r>
            <w:r>
              <w:rPr>
                <w:rFonts w:ascii="Arial" w:hAnsi="Arial" w:cs="Arial"/>
                <w:sz w:val="16"/>
                <w:szCs w:val="16"/>
                <w:vertAlign w:val="superscript"/>
                <w:lang w:val="en-GB" w:bidi="en-GB" w:eastAsia="en-GB"/>
              </w:rPr>
              <w:t>5)</w:t>
            </w:r>
          </w:p>
        </w:tc>
        <w:tc>
          <w:tcPr>
            <w:tcW w:w="709" w:type="dxa"/>
            <w:tcBorders>
              <w:top w:val="single" w:sz="4" w:space="0" w:shadow="0" w:frame="0"/>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single" w:sz="4" w:space="0" w:shadow="0" w:frame="0"/>
              <w:left w:val="nil"/>
              <w:bottom w:val="single" w:sz="4" w:space="0" w:shadow="0" w:frame="0"/>
              <w:right w:val="single" w:sz="4" w:space="0" w:shadow="0" w:frame="0"/>
            </w:tcBorders>
            <w:shd w:val="clear" w:color="auto" w:fill="808080" w:themeFill="background1" w:themeFillShade="80"/>
            <w:vAlign w:val="center"/>
            <w:hideMark/>
          </w:tcPr>
          <w:p>
            <w:pPr>
              <w:spacing w:before="40" w:beforeAutospacing="0" w:afterAutospacing="0"/>
              <w:jc w:val="center"/>
              <w:rPr>
                <w:rFonts w:ascii="Arial" w:hAnsi="Arial" w:cs="Arial"/>
                <w:strike w:val="1"/>
                <w:sz w:val="16"/>
                <w:szCs w:val="16"/>
                <w:lang w:val="en-GB" w:bidi="en-GB" w:eastAsia="en-GB"/>
              </w:rPr>
            </w:pPr>
            <w:r>
              <w:rPr>
                <w:rFonts w:ascii="Arial" w:hAnsi="Arial" w:cs="Arial"/>
                <w:strike w:val="1"/>
                <w:sz w:val="16"/>
                <w:highlight w:val="green"/>
                <w:lang w:val="en-GB" w:bidi="en-GB" w:eastAsia="en-GB"/>
              </w:rPr>
              <w:t xml:space="preserve">--- </w:t>
            </w:r>
            <w:r>
              <w:rPr>
                <w:rFonts w:ascii="Arial" w:hAnsi="Arial" w:cs="Arial"/>
                <w:strike w:val="1"/>
                <w:sz w:val="16"/>
                <w:highlight w:val="green"/>
                <w:vertAlign w:val="superscript"/>
                <w:lang w:val="en-GB" w:bidi="en-GB" w:eastAsia="en-GB"/>
              </w:rPr>
              <w:t>3)</w:t>
            </w:r>
          </w:p>
        </w:tc>
        <w:tc>
          <w:tcPr>
            <w:tcW w:w="709"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color w:val="808080"/>
                <w:sz w:val="2"/>
                <w:szCs w:val="2"/>
                <w:lang w:val="en-GB" w:bidi="en-GB" w:eastAsia="en-GB"/>
              </w:rPr>
            </w:pPr>
            <w:r>
              <w:rPr>
                <w:rFonts w:ascii="Arial" w:hAnsi="Arial" w:cs="Arial"/>
                <w:sz w:val="16"/>
                <w:szCs w:val="16"/>
                <w:lang w:val="en-GB" w:bidi="en-GB" w:eastAsia="en-GB"/>
              </w:rPr>
              <w:t xml:space="preserve">38 </w:t>
            </w:r>
            <w:r>
              <w:rPr>
                <w:rFonts w:ascii="Arial" w:hAnsi="Arial" w:cs="Arial"/>
                <w:sz w:val="16"/>
                <w:szCs w:val="16"/>
                <w:vertAlign w:val="superscript"/>
                <w:lang w:val="en-GB" w:bidi="en-GB" w:eastAsia="en-GB"/>
              </w:rPr>
              <w:t>5</w:t>
            </w:r>
            <w:r>
              <w:rPr>
                <w:rFonts w:ascii="Arial" w:hAnsi="Arial" w:cs="Arial"/>
                <w:color w:val="808080"/>
                <w:sz w:val="2"/>
                <w:lang w:val="en-GB" w:bidi="en-GB" w:eastAsia="en-GB"/>
              </w:rPr>
              <w:t>X</w:t>
            </w: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szCs w:val="16"/>
                <w:lang w:val="en-GB" w:bidi="en-GB" w:eastAsia="en-GB"/>
              </w:rPr>
              <w:t>10</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Breast</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72,180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17.96%</w:t>
            </w:r>
          </w:p>
          <w:p>
            <w:pPr>
              <w:jc w:val="center"/>
              <w:rPr>
                <w:rFonts w:ascii="Arial" w:hAnsi="Arial" w:cs="Arial"/>
                <w:sz w:val="16"/>
                <w:szCs w:val="16"/>
                <w:highlight w:val="green"/>
                <w:lang w:val="en-GB" w:bidi="en-GB" w:eastAsia="en-GB"/>
              </w:rPr>
            </w:pPr>
            <w:r>
              <w:rPr>
                <w:rFonts w:ascii="Arial" w:hAnsi="Arial" w:cs="Arial"/>
                <w:sz w:val="16"/>
                <w:highlight w:val="green"/>
                <w:lang w:val="en-GB" w:bidi="en-GB" w:eastAsia="en-GB"/>
              </w:rPr>
              <w:t>17.77%</w:t>
            </w:r>
          </w:p>
        </w:tc>
        <w:tc>
          <w:tcPr>
            <w:tcW w:w="708"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100</w:t>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50</w:t>
            </w:r>
          </w:p>
        </w:tc>
      </w:tr>
      <w:tr>
        <w:trPr>
          <w:trHeight w:hRule="atLeast" w:val="675"/>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szCs w:val="16"/>
                <w:lang w:val="en-GB" w:bidi="en-GB" w:eastAsia="en-GB"/>
              </w:rPr>
              <w:t>11</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color w:val="000000"/>
                <w:sz w:val="16"/>
                <w:szCs w:val="16"/>
                <w:lang w:val="en-GB" w:bidi="en-GB" w:eastAsia="en-GB"/>
              </w:rPr>
            </w:pPr>
            <w:r>
              <w:rPr>
                <w:rFonts w:ascii="Arial" w:hAnsi="Arial" w:cs="Arial"/>
                <w:b w:val="1"/>
                <w:color w:val="000000"/>
                <w:sz w:val="16"/>
                <w:lang w:val="en-GB" w:bidi="en-GB" w:eastAsia="en-GB"/>
              </w:rPr>
              <w:t>Gynaecological tumours</w:t>
            </w:r>
            <w:r>
              <w:rPr>
                <w:rFonts w:ascii="Arial" w:hAnsi="Arial" w:cs="Arial"/>
                <w:color w:val="000000"/>
                <w:sz w:val="16"/>
                <w:szCs w:val="16"/>
                <w:lang w:val="en-GB" w:bidi="en-GB" w:eastAsia="en-GB"/>
              </w:rPr>
              <w:br w:type="textWrapping"/>
            </w:r>
            <w:r>
              <w:rPr>
                <w:rFonts w:ascii="Arial" w:hAnsi="Arial" w:cs="Arial"/>
                <w:color w:val="000000"/>
                <w:sz w:val="16"/>
                <w:lang w:val="en-GB" w:bidi="en-GB" w:eastAsia="en-GB"/>
              </w:rPr>
              <w:t xml:space="preserve">(cervix, uterus, ovaries incl. BOT, vulva, </w:t>
            </w:r>
            <w:r>
              <w:rPr>
                <w:rFonts w:ascii="Arial" w:hAnsi="Arial" w:cs="Arial"/>
                <w:color w:val="000000"/>
                <w:sz w:val="16"/>
                <w:szCs w:val="16"/>
                <w:lang w:val="en-GB" w:bidi="en-GB" w:eastAsia="en-GB"/>
              </w:rPr>
              <w:br w:type="textWrapping"/>
            </w:r>
            <w:r>
              <w:rPr>
                <w:rFonts w:ascii="Arial" w:hAnsi="Arial" w:cs="Arial"/>
                <w:color w:val="000000"/>
                <w:sz w:val="16"/>
                <w:lang w:val="en-GB" w:bidi="en-GB" w:eastAsia="en-GB"/>
              </w:rPr>
              <w:t xml:space="preserve">vaginal tumours, </w:t>
            </w:r>
            <w:r>
              <w:rPr>
                <w:rFonts w:ascii="Arial" w:hAnsi="Arial" w:cs="Arial"/>
                <w:color w:val="000000"/>
                <w:sz w:val="16"/>
                <w:highlight w:val="green"/>
                <w:lang w:val="en-GB" w:bidi="en-GB" w:eastAsia="en-GB"/>
              </w:rPr>
              <w:t>STIC</w:t>
            </w:r>
            <w:r>
              <w:rPr>
                <w:rFonts w:ascii="Arial" w:hAnsi="Arial" w:cs="Arial"/>
                <w:color w:val="000000"/>
                <w:sz w:val="16"/>
                <w:lang w:val="en-GB" w:bidi="en-GB" w:eastAsia="en-GB"/>
              </w:rPr>
              <w:t>)</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26,280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6.54%</w:t>
            </w:r>
          </w:p>
          <w:p>
            <w:pPr>
              <w:jc w:val="center"/>
              <w:rPr>
                <w:rFonts w:ascii="Arial" w:hAnsi="Arial" w:cs="Arial"/>
                <w:sz w:val="16"/>
                <w:szCs w:val="16"/>
                <w:highlight w:val="green"/>
                <w:lang w:val="en-GB" w:bidi="en-GB" w:eastAsia="en-GB"/>
              </w:rPr>
            </w:pPr>
            <w:r>
              <w:rPr>
                <w:rFonts w:ascii="Arial" w:hAnsi="Arial" w:cs="Arial"/>
                <w:sz w:val="16"/>
                <w:highlight w:val="green"/>
                <w:lang w:val="en-GB" w:bidi="en-GB" w:eastAsia="en-GB"/>
              </w:rPr>
              <w:t>6.47%</w:t>
            </w:r>
          </w:p>
        </w:tc>
        <w:tc>
          <w:tcPr>
            <w:tcW w:w="708"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50</w:t>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25</w:t>
            </w:r>
          </w:p>
        </w:tc>
      </w:tr>
      <w:tr>
        <w:trPr>
          <w:trHeight w:hRule="atLeast" w:val="450"/>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szCs w:val="16"/>
                <w:lang w:val="en-GB" w:bidi="en-GB" w:eastAsia="en-GB"/>
              </w:rPr>
              <w:t>12</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color w:val="000000"/>
                <w:sz w:val="16"/>
                <w:szCs w:val="16"/>
                <w:lang w:val="en-GB" w:bidi="en-GB" w:eastAsia="en-GB"/>
              </w:rPr>
            </w:pPr>
            <w:r>
              <w:rPr>
                <w:rFonts w:ascii="Arial" w:hAnsi="Arial" w:cs="Arial"/>
                <w:b w:val="1"/>
                <w:color w:val="000000"/>
                <w:sz w:val="16"/>
                <w:lang w:val="en-GB" w:bidi="en-GB" w:eastAsia="en-GB"/>
              </w:rPr>
              <w:t>Skin</w:t>
            </w:r>
            <w:r>
              <w:rPr>
                <w:rFonts w:ascii="Arial" w:hAnsi="Arial" w:cs="Arial"/>
                <w:color w:val="000000"/>
                <w:sz w:val="16"/>
                <w:szCs w:val="16"/>
                <w:lang w:val="en-GB" w:bidi="en-GB" w:eastAsia="en-GB"/>
              </w:rPr>
              <w:br w:type="textWrapping"/>
            </w:r>
            <w:r>
              <w:rPr>
                <w:rFonts w:ascii="Arial" w:hAnsi="Arial" w:cs="Arial"/>
                <w:color w:val="000000"/>
                <w:sz w:val="16"/>
                <w:lang w:val="en-GB" w:bidi="en-GB" w:eastAsia="en-GB"/>
              </w:rPr>
              <w:t>(invasive malignant melanoma)</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17,800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4.43%</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4.38%</w:t>
            </w:r>
          </w:p>
        </w:tc>
        <w:tc>
          <w:tcPr>
            <w:tcW w:w="708"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40</w:t>
            </w:r>
            <w:r>
              <w:rPr>
                <w:rFonts w:ascii="Arial" w:hAnsi="Arial" w:cs="Arial"/>
                <w:sz w:val="16"/>
                <w:szCs w:val="16"/>
                <w:lang w:val="en-GB" w:bidi="en-GB" w:eastAsia="en-GB"/>
              </w:rPr>
              <w:br w:type="textWrapping"/>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20</w:t>
            </w:r>
            <w:r>
              <w:rPr>
                <w:rFonts w:ascii="Arial" w:hAnsi="Arial" w:cs="Arial"/>
                <w:sz w:val="16"/>
                <w:szCs w:val="16"/>
                <w:lang w:val="en-GB" w:bidi="en-GB" w:eastAsia="en-GB"/>
              </w:rPr>
              <w:br w:type="textWrapping"/>
            </w: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color w:val="000000"/>
                <w:sz w:val="16"/>
                <w:szCs w:val="16"/>
                <w:lang w:val="en-GB" w:bidi="en-GB" w:eastAsia="en-GB"/>
              </w:rPr>
            </w:pPr>
            <w:r>
              <w:rPr>
                <w:rFonts w:ascii="Arial" w:hAnsi="Arial" w:cs="Arial"/>
                <w:color w:val="000000"/>
                <w:sz w:val="16"/>
                <w:lang w:val="en-GB" w:bidi="en-GB" w:eastAsia="en-GB"/>
              </w:rPr>
              <w:t>13</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Prostate</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63,440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15.79%</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15.61%</w:t>
            </w:r>
          </w:p>
        </w:tc>
        <w:tc>
          <w:tcPr>
            <w:tcW w:w="708"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100</w:t>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50</w:t>
            </w: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tcPr>
          <w:p>
            <w:pPr>
              <w:jc w:val="center"/>
              <w:rPr>
                <w:rFonts w:ascii="Arial" w:hAnsi="Arial" w:cs="Arial"/>
                <w:color w:val="000000"/>
                <w:sz w:val="16"/>
                <w:highlight w:val="green"/>
                <w:lang w:val="en-GB" w:bidi="en-GB" w:eastAsia="en-GB"/>
              </w:rPr>
            </w:pPr>
            <w:r>
              <w:rPr>
                <w:rFonts w:ascii="Arial" w:hAnsi="Arial" w:cs="Arial"/>
                <w:color w:val="000000"/>
                <w:sz w:val="16"/>
                <w:highlight w:val="green"/>
                <w:lang w:val="en-GB" w:bidi="en-GB" w:eastAsia="en-GB"/>
              </w:rPr>
              <w:t>14</w:t>
            </w:r>
          </w:p>
        </w:tc>
        <w:tc>
          <w:tcPr>
            <w:tcW w:w="3609" w:type="dxa"/>
            <w:gridSpan w:val="2"/>
            <w:tcBorders>
              <w:top w:val="single" w:sz="4" w:space="0" w:shadow="0" w:frame="0"/>
              <w:left w:val="nil"/>
              <w:bottom w:val="single" w:sz="4" w:space="0" w:shadow="0" w:frame="0"/>
              <w:right w:val="single" w:sz="4" w:space="0" w:shadow="0" w:frame="0"/>
            </w:tcBorders>
            <w:vAlign w:val="center"/>
          </w:tcPr>
          <w:p>
            <w:pPr>
              <w:rPr>
                <w:rFonts w:ascii="Arial" w:hAnsi="Arial" w:cs="Arial"/>
                <w:b w:val="1"/>
                <w:color w:val="000000"/>
                <w:sz w:val="16"/>
                <w:highlight w:val="green"/>
                <w:lang w:val="en-GB" w:bidi="en-GB" w:eastAsia="en-GB"/>
              </w:rPr>
            </w:pPr>
            <w:r>
              <w:rPr>
                <w:rFonts w:ascii="Arial" w:hAnsi="Arial" w:cs="Arial"/>
                <w:b w:val="1"/>
                <w:color w:val="000000"/>
                <w:sz w:val="16"/>
                <w:highlight w:val="green"/>
                <w:lang w:val="en-GB" w:bidi="en-GB" w:eastAsia="en-GB"/>
              </w:rPr>
              <w:t>Renal pelvis/ureter (S6)</w:t>
            </w:r>
          </w:p>
        </w:tc>
        <w:tc>
          <w:tcPr>
            <w:tcW w:w="993" w:type="dxa"/>
            <w:tcBorders>
              <w:top w:val="nil"/>
              <w:left w:val="nil"/>
              <w:bottom w:val="single" w:sz="4" w:space="0" w:shadow="0" w:frame="0"/>
              <w:right w:val="single" w:sz="4" w:space="0" w:shadow="0" w:frame="0"/>
            </w:tcBorders>
            <w:vAlign w:val="center"/>
          </w:tcPr>
          <w:p>
            <w:pPr>
              <w:jc w:val="center"/>
              <w:rPr>
                <w:rFonts w:ascii="Arial" w:hAnsi="Arial" w:cs="Arial"/>
                <w:sz w:val="16"/>
                <w:lang w:val="en-GB" w:bidi="en-GB" w:eastAsia="en-GB"/>
              </w:rPr>
            </w:pPr>
            <w:r>
              <w:rPr>
                <w:rFonts w:ascii="Arial" w:hAnsi="Arial" w:cs="Arial"/>
                <w:sz w:val="16"/>
                <w:highlight w:val="green"/>
                <w:lang w:val="en-GB" w:bidi="en-GB" w:eastAsia="en-GB"/>
              </w:rPr>
              <w:t>1.900</w:t>
            </w:r>
          </w:p>
        </w:tc>
        <w:tc>
          <w:tcPr>
            <w:tcW w:w="1131" w:type="dxa"/>
            <w:tcBorders>
              <w:top w:val="nil"/>
              <w:left w:val="nil"/>
              <w:bottom w:val="single" w:sz="4" w:space="0" w:shadow="0" w:frame="0"/>
              <w:right w:val="single" w:sz="4" w:space="0" w:shadow="0" w:frame="0"/>
            </w:tcBorders>
            <w:vAlign w:val="center"/>
          </w:tcPr>
          <w:p>
            <w:pPr>
              <w:jc w:val="center"/>
              <w:rPr>
                <w:rFonts w:ascii="Arial" w:hAnsi="Arial" w:cs="Arial"/>
                <w:sz w:val="16"/>
                <w:highlight w:val="green"/>
                <w:lang w:val="en-GB" w:bidi="en-GB" w:eastAsia="en-GB"/>
              </w:rPr>
            </w:pPr>
            <w:r>
              <w:rPr>
                <w:rFonts w:ascii="Arial" w:hAnsi="Arial" w:cs="Arial"/>
                <w:sz w:val="16"/>
                <w:highlight w:val="green"/>
                <w:lang w:val="en-GB" w:bidi="en-GB" w:eastAsia="en-GB"/>
              </w:rPr>
              <w:t>0.47%</w:t>
            </w:r>
          </w:p>
        </w:tc>
        <w:tc>
          <w:tcPr>
            <w:tcW w:w="708" w:type="dxa"/>
            <w:tcBorders>
              <w:top w:val="nil"/>
              <w:left w:val="nil"/>
              <w:bottom w:val="single" w:sz="4" w:space="0" w:shadow="0" w:frame="0"/>
              <w:right w:val="single" w:sz="4" w:space="0" w:shadow="0" w:frame="0"/>
            </w:tcBorders>
            <w:vAlign w:val="center"/>
          </w:tcPr>
          <w:p>
            <w:pPr>
              <w:jc w:val="center"/>
              <w:rPr>
                <w:rFonts w:ascii="Arial" w:hAnsi="Arial" w:cs="Arial"/>
                <w:sz w:val="16"/>
                <w:lang w:val="en-GB" w:bidi="en-GB" w:eastAsia="en-GB"/>
              </w:rPr>
            </w:pP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tcPr>
          <w:p>
            <w:pPr>
              <w:jc w:val="center"/>
              <w:rPr>
                <w:rFonts w:ascii="Arial" w:hAnsi="Arial" w:cs="Arial"/>
                <w:sz w:val="16"/>
                <w:szCs w:val="16"/>
              </w:rPr>
            </w:pPr>
          </w:p>
        </w:tc>
        <w:tc>
          <w:tcPr>
            <w:tcW w:w="709" w:type="dxa"/>
            <w:tcBorders>
              <w:top w:val="nil"/>
              <w:left w:val="nil"/>
              <w:bottom w:val="single" w:sz="4" w:space="0" w:shadow="0" w:frame="0"/>
              <w:right w:val="single" w:sz="4" w:space="0" w:shadow="0" w:frame="0"/>
            </w:tcBorders>
            <w:vAlign w:val="center"/>
          </w:tcPr>
          <w:p>
            <w:pPr>
              <w:jc w:val="center"/>
              <w:rPr>
                <w:rFonts w:ascii="Arial" w:hAnsi="Arial" w:cs="Arial"/>
                <w:sz w:val="16"/>
                <w:lang w:val="en-GB" w:bidi="en-GB" w:eastAsia="en-GB"/>
              </w:rPr>
            </w:pPr>
            <w:r>
              <w:rPr>
                <w:rFonts w:ascii="Arial" w:hAnsi="Arial" w:cs="Arial"/>
                <w:sz w:val="16"/>
                <w:highlight w:val="green"/>
                <w:lang w:val="en-GB" w:bidi="en-GB" w:eastAsia="en-GB"/>
              </w:rPr>
              <w:t xml:space="preserve">--- </w:t>
            </w:r>
            <w:r>
              <w:rPr>
                <w:rFonts w:ascii="Arial" w:hAnsi="Arial" w:cs="Arial"/>
                <w:sz w:val="16"/>
                <w:highlight w:val="green"/>
                <w:vertAlign w:val="superscript"/>
                <w:lang w:val="en-GB" w:bidi="en-GB" w:eastAsia="en-GB"/>
              </w:rPr>
              <w:t>3</w:t>
            </w:r>
          </w:p>
        </w:tc>
        <w:tc>
          <w:tcPr>
            <w:tcW w:w="709" w:type="dxa"/>
            <w:tcBorders>
              <w:top w:val="nil"/>
              <w:left w:val="nil"/>
              <w:bottom w:val="single" w:sz="4" w:space="0" w:shadow="0" w:frame="0"/>
              <w:right w:val="single" w:sz="4" w:space="0" w:shadow="0" w:frame="0"/>
            </w:tcBorders>
            <w:shd w:val="clear" w:color="auto" w:fill="7F7F7F"/>
            <w:vAlign w:val="center"/>
          </w:tcPr>
          <w:p>
            <w:pPr>
              <w:jc w:val="center"/>
              <w:rPr>
                <w:rFonts w:ascii="Arial" w:hAnsi="Arial" w:cs="Arial"/>
                <w:sz w:val="16"/>
                <w:lang w:val="en-GB" w:bidi="en-GB" w:eastAsia="en-GB"/>
              </w:rPr>
            </w:pP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14</w:t>
            </w:r>
          </w:p>
          <w:p>
            <w:pPr>
              <w:jc w:val="center"/>
              <w:rPr>
                <w:rFonts w:ascii="Arial" w:hAnsi="Arial" w:cs="Arial"/>
                <w:color w:val="000000"/>
                <w:sz w:val="16"/>
                <w:highlight w:val="green"/>
                <w:lang w:val="en-GB" w:bidi="en-GB" w:eastAsia="en-GB"/>
              </w:rPr>
            </w:pPr>
            <w:r>
              <w:rPr>
                <w:rFonts w:ascii="Arial" w:hAnsi="Arial" w:cs="Arial"/>
                <w:color w:val="000000"/>
                <w:sz w:val="16"/>
                <w:highlight w:val="green"/>
                <w:lang w:val="en-GB" w:bidi="en-GB" w:eastAsia="en-GB"/>
              </w:rPr>
              <w:t>15</w:t>
            </w:r>
          </w:p>
        </w:tc>
        <w:tc>
          <w:tcPr>
            <w:tcW w:w="3609" w:type="dxa"/>
            <w:gridSpan w:val="2"/>
            <w:tcBorders>
              <w:top w:val="single" w:sz="4" w:space="0" w:shadow="0" w:frame="0"/>
              <w:left w:val="nil"/>
              <w:bottom w:val="single" w:sz="4" w:space="0" w:shadow="0" w:frame="0"/>
              <w:right w:val="single" w:sz="4" w:space="0" w:shadow="0" w:frame="0"/>
            </w:tcBorders>
            <w:vAlign w:val="center"/>
          </w:tcPr>
          <w:p>
            <w:pPr>
              <w:rPr>
                <w:rFonts w:ascii="Arial" w:hAnsi="Arial" w:cs="Arial"/>
                <w:b w:val="1"/>
                <w:color w:val="000000"/>
                <w:sz w:val="16"/>
                <w:lang w:val="en-GB" w:bidi="en-GB" w:eastAsia="en-GB"/>
              </w:rPr>
            </w:pPr>
            <w:r>
              <w:rPr>
                <w:rFonts w:ascii="Arial" w:hAnsi="Arial" w:cs="Arial"/>
                <w:b w:val="1"/>
                <w:color w:val="000000"/>
                <w:sz w:val="16"/>
                <w:lang w:val="en-GB" w:bidi="en-GB" w:eastAsia="en-GB"/>
              </w:rPr>
              <w:t xml:space="preserve">Penis </w:t>
            </w:r>
            <w:r>
              <w:rPr>
                <w:rFonts w:ascii="Arial" w:hAnsi="Arial" w:cs="Arial"/>
                <w:b w:val="1"/>
                <w:strike w:val="1"/>
                <w:color w:val="000000"/>
                <w:sz w:val="16"/>
                <w:highlight w:val="green"/>
                <w:lang w:val="en-GB" w:bidi="en-GB" w:eastAsia="en-GB"/>
              </w:rPr>
              <w:t>(S6)</w:t>
            </w:r>
            <w:r>
              <w:rPr>
                <w:rFonts w:ascii="Arial" w:hAnsi="Arial" w:cs="Arial"/>
                <w:b w:val="1"/>
                <w:color w:val="000000"/>
                <w:sz w:val="16"/>
                <w:lang w:val="en-GB" w:bidi="en-GB" w:eastAsia="en-GB"/>
              </w:rPr>
              <w:t xml:space="preserve"> </w:t>
            </w:r>
            <w:r>
              <w:rPr>
                <w:rFonts w:ascii="Arial" w:hAnsi="Arial" w:cs="Arial"/>
                <w:color w:val="000000"/>
                <w:sz w:val="16"/>
                <w:szCs w:val="16"/>
                <w:vertAlign w:val="superscript"/>
              </w:rPr>
              <w:t>8)</w:t>
            </w:r>
          </w:p>
        </w:tc>
        <w:tc>
          <w:tcPr>
            <w:tcW w:w="993" w:type="dxa"/>
            <w:tcBorders>
              <w:top w:val="nil"/>
              <w:left w:val="nil"/>
              <w:bottom w:val="single" w:sz="4" w:space="0" w:shadow="0" w:frame="0"/>
              <w:right w:val="single" w:sz="4" w:space="0" w:shadow="0" w:frame="0"/>
            </w:tcBorders>
            <w:vAlign w:val="center"/>
          </w:tcPr>
          <w:p>
            <w:pPr>
              <w:jc w:val="center"/>
              <w:rPr>
                <w:rFonts w:ascii="Arial" w:hAnsi="Arial" w:cs="Arial"/>
                <w:sz w:val="16"/>
                <w:lang w:val="en-GB" w:bidi="en-GB" w:eastAsia="en-GB"/>
              </w:rPr>
            </w:pPr>
            <w:r>
              <w:rPr>
                <w:rFonts w:ascii="Arial" w:hAnsi="Arial" w:cs="Arial"/>
                <w:sz w:val="16"/>
                <w:lang w:val="en-GB" w:bidi="en-GB" w:eastAsia="en-GB"/>
              </w:rPr>
              <w:t>950</w:t>
            </w:r>
          </w:p>
        </w:tc>
        <w:tc>
          <w:tcPr>
            <w:tcW w:w="1131" w:type="dxa"/>
            <w:tcBorders>
              <w:top w:val="nil"/>
              <w:left w:val="nil"/>
              <w:bottom w:val="single" w:sz="4" w:space="0" w:shadow="0" w:frame="0"/>
              <w:right w:val="single" w:sz="4" w:space="0" w:shadow="0" w:frame="0"/>
            </w:tcBorders>
            <w:vAlign w:val="center"/>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0,24%</w:t>
            </w:r>
          </w:p>
          <w:p>
            <w:pPr>
              <w:jc w:val="center"/>
              <w:rPr>
                <w:rFonts w:ascii="Arial" w:hAnsi="Arial" w:cs="Arial"/>
                <w:sz w:val="16"/>
                <w:highlight w:val="green"/>
                <w:lang w:val="en-GB" w:bidi="en-GB" w:eastAsia="en-GB"/>
              </w:rPr>
            </w:pPr>
            <w:r>
              <w:rPr>
                <w:rFonts w:ascii="Arial" w:hAnsi="Arial" w:cs="Arial"/>
                <w:sz w:val="16"/>
                <w:highlight w:val="green"/>
                <w:lang w:val="en-GB" w:bidi="en-GB" w:eastAsia="en-GB"/>
              </w:rPr>
              <w:t>0.23%</w:t>
            </w:r>
          </w:p>
        </w:tc>
        <w:tc>
          <w:tcPr>
            <w:tcW w:w="708" w:type="dxa"/>
            <w:tcBorders>
              <w:top w:val="nil"/>
              <w:left w:val="nil"/>
              <w:bottom w:val="single" w:sz="4" w:space="0" w:shadow="0" w:frame="0"/>
              <w:right w:val="single" w:sz="4" w:space="0" w:shadow="0" w:frame="0"/>
            </w:tcBorders>
            <w:shd w:val="clear" w:color="auto" w:fill="7F7F7F"/>
            <w:vAlign w:val="center"/>
          </w:tcPr>
          <w:p>
            <w:pPr>
              <w:jc w:val="center"/>
              <w:rPr>
                <w:rFonts w:ascii="Arial" w:hAnsi="Arial" w:cs="Arial"/>
                <w:sz w:val="16"/>
                <w:lang w:val="en-GB" w:bidi="en-GB" w:eastAsia="en-GB"/>
              </w:rPr>
            </w:pPr>
          </w:p>
        </w:tc>
        <w:tc>
          <w:tcPr>
            <w:tcW w:w="709" w:type="dxa"/>
            <w:tcBorders>
              <w:top w:val="nil"/>
              <w:left w:val="nil"/>
              <w:bottom w:val="single" w:sz="4" w:space="0" w:shadow="0" w:frame="0"/>
              <w:right w:val="single" w:sz="4" w:space="0" w:shadow="0" w:frame="0"/>
            </w:tcBorders>
            <w:vAlign w:val="center"/>
          </w:tcPr>
          <w:p>
            <w:pPr>
              <w:jc w:val="center"/>
              <w:rPr>
                <w:rFonts w:ascii="Arial" w:hAnsi="Arial" w:cs="Arial"/>
                <w:color w:val="808080"/>
                <w:sz w:val="2"/>
                <w:lang w:val="en-GB" w:bidi="en-GB" w:eastAsia="en-GB"/>
              </w:rPr>
            </w:pPr>
            <w:r>
              <w:rPr>
                <w:rFonts w:ascii="Arial" w:hAnsi="Arial" w:cs="Arial"/>
                <w:sz w:val="16"/>
                <w:szCs w:val="16"/>
              </w:rPr>
              <w:t>8</w:t>
            </w: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tcPr>
          <w:p>
            <w:pPr>
              <w:jc w:val="center"/>
              <w:rPr>
                <w:rFonts w:ascii="Arial" w:hAnsi="Arial" w:cs="Arial"/>
                <w:strike w:val="1"/>
                <w:color w:val="808080"/>
                <w:sz w:val="2"/>
                <w:highlight w:val="green"/>
                <w:lang w:val="en-GB" w:bidi="en-GB" w:eastAsia="en-GB"/>
              </w:rPr>
            </w:pPr>
            <w:r>
              <w:rPr>
                <w:rFonts w:ascii="Arial" w:hAnsi="Arial" w:cs="Arial"/>
                <w:strike w:val="1"/>
                <w:sz w:val="16"/>
                <w:highlight w:val="green"/>
                <w:lang w:val="en-GB" w:bidi="en-GB" w:eastAsia="en-GB"/>
              </w:rPr>
              <w:t xml:space="preserve">--- </w:t>
            </w:r>
            <w:r>
              <w:rPr>
                <w:rFonts w:ascii="Arial" w:hAnsi="Arial" w:cs="Arial"/>
                <w:strike w:val="1"/>
                <w:sz w:val="16"/>
                <w:highlight w:val="green"/>
                <w:vertAlign w:val="superscript"/>
                <w:lang w:val="en-GB" w:bidi="en-GB" w:eastAsia="en-GB"/>
              </w:rPr>
              <w:t>3</w:t>
            </w:r>
          </w:p>
        </w:tc>
        <w:tc>
          <w:tcPr>
            <w:tcW w:w="709" w:type="dxa"/>
            <w:tcBorders>
              <w:top w:val="nil"/>
              <w:left w:val="nil"/>
              <w:bottom w:val="single" w:sz="4" w:space="0" w:shadow="0" w:frame="0"/>
              <w:right w:val="single" w:sz="4" w:space="0" w:shadow="0" w:frame="0"/>
            </w:tcBorders>
            <w:shd w:val="clear" w:color="auto" w:fill="7F7F7F"/>
            <w:vAlign w:val="center"/>
          </w:tcPr>
          <w:p>
            <w:pPr>
              <w:jc w:val="center"/>
              <w:rPr>
                <w:rFonts w:ascii="Arial" w:hAnsi="Arial" w:cs="Arial"/>
                <w:sz w:val="16"/>
                <w:lang w:val="en-GB" w:bidi="en-GB" w:eastAsia="en-GB"/>
              </w:rPr>
            </w:pP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15</w:t>
            </w:r>
          </w:p>
          <w:p>
            <w:pPr>
              <w:jc w:val="center"/>
              <w:rPr>
                <w:rFonts w:ascii="Arial" w:hAnsi="Arial" w:cs="Arial"/>
                <w:color w:val="000000"/>
                <w:sz w:val="16"/>
                <w:szCs w:val="16"/>
                <w:highlight w:val="green"/>
                <w:lang w:val="en-GB" w:bidi="en-GB" w:eastAsia="en-GB"/>
              </w:rPr>
            </w:pPr>
            <w:r>
              <w:rPr>
                <w:rFonts w:ascii="Arial" w:hAnsi="Arial" w:cs="Arial"/>
                <w:color w:val="000000"/>
                <w:sz w:val="16"/>
                <w:szCs w:val="16"/>
                <w:highlight w:val="green"/>
                <w:lang w:val="en-GB" w:bidi="en-GB" w:eastAsia="en-GB"/>
              </w:rPr>
              <w:t>16</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Testicles</w:t>
            </w:r>
          </w:p>
        </w:tc>
        <w:tc>
          <w:tcPr>
            <w:tcW w:w="993" w:type="dxa"/>
            <w:tcBorders>
              <w:top w:val="nil"/>
              <w:left w:val="nil"/>
              <w:bottom w:val="single" w:sz="4" w:space="0" w:shadow="0" w:frame="0"/>
              <w:right w:val="single" w:sz="4" w:space="0" w:shadow="0" w:frame="0"/>
            </w:tcBorders>
            <w:noWrap/>
            <w:vAlign w:val="center"/>
            <w:hideMark/>
          </w:tcPr>
          <w:p>
            <w:pPr>
              <w:jc w:val="center"/>
              <w:rPr>
                <w:rFonts w:ascii="Arial" w:hAnsi="Arial" w:cs="Arial"/>
                <w:color w:val="000000"/>
                <w:sz w:val="16"/>
                <w:szCs w:val="16"/>
                <w:lang w:val="en-GB" w:bidi="en-GB" w:eastAsia="en-GB"/>
              </w:rPr>
            </w:pPr>
            <w:r>
              <w:rPr>
                <w:rFonts w:ascii="Arial" w:hAnsi="Arial" w:cs="Arial"/>
                <w:sz w:val="16"/>
                <w:szCs w:val="16"/>
                <w:lang w:val="en-GB" w:bidi="en-GB" w:eastAsia="en-GB"/>
              </w:rPr>
              <w:t>4.710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color w:val="000000"/>
                <w:sz w:val="16"/>
                <w:szCs w:val="16"/>
                <w:highlight w:val="green"/>
                <w:lang w:val="en-GB" w:bidi="en-GB" w:eastAsia="en-GB"/>
              </w:rPr>
            </w:pPr>
            <w:r>
              <w:rPr>
                <w:rFonts w:ascii="Arial" w:hAnsi="Arial" w:cs="Arial"/>
                <w:strike w:val="1"/>
                <w:color w:val="000000"/>
                <w:sz w:val="16"/>
                <w:szCs w:val="16"/>
                <w:highlight w:val="green"/>
                <w:lang w:val="en-GB" w:bidi="en-GB" w:eastAsia="en-GB"/>
              </w:rPr>
              <w:t>1,17%</w:t>
            </w:r>
          </w:p>
          <w:p>
            <w:pPr>
              <w:jc w:val="center"/>
              <w:rPr>
                <w:rFonts w:ascii="Arial" w:hAnsi="Arial" w:cs="Arial"/>
                <w:sz w:val="16"/>
                <w:szCs w:val="16"/>
                <w:highlight w:val="green"/>
                <w:lang w:val="en-GB" w:bidi="en-GB" w:eastAsia="en-GB"/>
              </w:rPr>
            </w:pPr>
            <w:r>
              <w:rPr>
                <w:rFonts w:ascii="Arial" w:hAnsi="Arial" w:cs="Arial"/>
                <w:color w:val="000000"/>
                <w:sz w:val="16"/>
                <w:szCs w:val="16"/>
                <w:highlight w:val="green"/>
                <w:lang w:val="en-GB" w:bidi="en-GB" w:eastAsia="en-GB"/>
              </w:rPr>
              <w:t>1.16%</w:t>
            </w:r>
          </w:p>
        </w:tc>
        <w:tc>
          <w:tcPr>
            <w:tcW w:w="708"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shd w:val="clear" w:color="auto" w:fill="FFFFFF"/>
            <w:vAlign w:val="center"/>
            <w:hideMark/>
          </w:tcPr>
          <w:p>
            <w:pPr>
              <w:jc w:val="center"/>
              <w:rPr>
                <w:rFonts w:ascii="Arial" w:hAnsi="Arial" w:cs="Arial"/>
                <w:color w:val="808080"/>
                <w:sz w:val="16"/>
                <w:szCs w:val="16"/>
                <w:lang w:val="en-GB" w:bidi="en-GB" w:eastAsia="en-GB"/>
              </w:rPr>
            </w:pPr>
            <w:r>
              <w:rPr>
                <w:rFonts w:ascii="Arial" w:hAnsi="Arial" w:cs="Arial"/>
                <w:sz w:val="16"/>
                <w:lang w:val="en-GB" w:bidi="en-GB" w:eastAsia="en-GB"/>
              </w:rPr>
              <w:t>15</w:t>
            </w: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hideMark/>
          </w:tcPr>
          <w:p>
            <w:pPr>
              <w:spacing w:before="40" w:beforeAutospacing="0" w:afterAutospacing="0"/>
              <w:jc w:val="center"/>
              <w:rPr>
                <w:rFonts w:ascii="Arial" w:hAnsi="Arial" w:cs="Arial"/>
                <w:strike w:val="1"/>
                <w:sz w:val="16"/>
                <w:szCs w:val="16"/>
                <w:highlight w:val="green"/>
                <w:lang w:val="en-GB" w:bidi="en-GB" w:eastAsia="en-GB"/>
              </w:rPr>
            </w:pPr>
            <w:r>
              <w:rPr>
                <w:rFonts w:ascii="Arial" w:hAnsi="Arial" w:cs="Arial"/>
                <w:strike w:val="1"/>
                <w:sz w:val="16"/>
                <w:highlight w:val="green"/>
                <w:lang w:val="en-GB" w:bidi="en-GB" w:eastAsia="en-GB"/>
              </w:rPr>
              <w:t xml:space="preserve">--- </w:t>
            </w:r>
            <w:r>
              <w:rPr>
                <w:rFonts w:ascii="Arial" w:hAnsi="Arial" w:cs="Arial"/>
                <w:strike w:val="1"/>
                <w:sz w:val="16"/>
                <w:highlight w:val="green"/>
                <w:vertAlign w:val="superscript"/>
                <w:lang w:val="en-GB" w:bidi="en-GB" w:eastAsia="en-GB"/>
              </w:rPr>
              <w:t>3)</w:t>
            </w:r>
          </w:p>
        </w:tc>
        <w:tc>
          <w:tcPr>
            <w:tcW w:w="709" w:type="dxa"/>
            <w:tcBorders>
              <w:top w:val="nil"/>
              <w:left w:val="nil"/>
              <w:bottom w:val="single" w:sz="4" w:space="0" w:shadow="0" w:frame="0"/>
              <w:right w:val="single" w:sz="4" w:space="0" w:shadow="0" w:frame="0"/>
            </w:tcBorders>
            <w:shd w:val="clear" w:color="auto" w:fill="FFFFFF"/>
            <w:vAlign w:val="center"/>
            <w:hideMark/>
          </w:tcPr>
          <w:p>
            <w:pPr>
              <w:jc w:val="center"/>
              <w:rPr>
                <w:rFonts w:ascii="Arial" w:hAnsi="Arial" w:cs="Arial"/>
                <w:color w:val="808080"/>
                <w:sz w:val="16"/>
                <w:szCs w:val="16"/>
                <w:lang w:val="en-GB" w:bidi="en-GB" w:eastAsia="en-GB"/>
              </w:rPr>
            </w:pPr>
            <w:r>
              <w:rPr>
                <w:rFonts w:ascii="Arial" w:hAnsi="Arial" w:cs="Arial"/>
                <w:sz w:val="16"/>
                <w:lang w:val="en-GB" w:bidi="en-GB" w:eastAsia="en-GB"/>
              </w:rPr>
              <w:t>8</w:t>
            </w: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16</w:t>
            </w:r>
          </w:p>
          <w:p>
            <w:pPr>
              <w:jc w:val="center"/>
              <w:rPr>
                <w:rFonts w:ascii="Arial" w:hAnsi="Arial" w:cs="Arial"/>
                <w:color w:val="000000"/>
                <w:sz w:val="16"/>
                <w:szCs w:val="16"/>
                <w:highlight w:val="green"/>
                <w:lang w:val="en-GB" w:bidi="en-GB" w:eastAsia="en-GB"/>
              </w:rPr>
            </w:pPr>
            <w:r>
              <w:rPr>
                <w:rFonts w:ascii="Arial" w:hAnsi="Arial" w:cs="Arial"/>
                <w:color w:val="000000"/>
                <w:sz w:val="16"/>
                <w:szCs w:val="16"/>
                <w:highlight w:val="green"/>
                <w:lang w:val="en-GB" w:bidi="en-GB" w:eastAsia="en-GB"/>
              </w:rPr>
              <w:t>17</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 xml:space="preserve">Kidney </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14,500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3.61%</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3.57%</w:t>
            </w:r>
          </w:p>
        </w:tc>
        <w:tc>
          <w:tcPr>
            <w:tcW w:w="708"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2"/>
                <w:lang w:val="en-GB" w:bidi="en-GB" w:eastAsia="en-GB"/>
              </w:rPr>
            </w:pPr>
            <w:r>
              <w:rPr>
                <w:rFonts w:ascii="Arial" w:hAnsi="Arial" w:cs="Arial"/>
                <w:sz w:val="16"/>
                <w:lang w:val="en-GB" w:bidi="en-GB" w:eastAsia="en-GB"/>
              </w:rPr>
              <w:t xml:space="preserve">35 </w:t>
            </w:r>
            <w:r>
              <w:rPr>
                <w:rFonts w:ascii="Arial" w:hAnsi="Arial" w:cs="Arial"/>
                <w:sz w:val="16"/>
                <w:vertAlign w:val="superscript"/>
                <w:lang w:val="en-GB" w:bidi="en-GB" w:eastAsia="en-GB"/>
              </w:rPr>
              <w:t>4)</w:t>
            </w: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tcPr>
          <w:p>
            <w:pPr>
              <w:spacing w:before="40" w:beforeAutospacing="0" w:afterAutospacing="0"/>
              <w:jc w:val="center"/>
              <w:rPr>
                <w:rFonts w:ascii="Arial" w:hAnsi="Arial" w:cs="Arial"/>
                <w:sz w:val="16"/>
                <w:szCs w:val="16"/>
                <w:lang w:val="en-GB" w:bidi="en-GB" w:eastAsia="en-GB"/>
              </w:rPr>
            </w:pP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 xml:space="preserve">18 </w:t>
            </w:r>
            <w:r>
              <w:rPr>
                <w:rFonts w:ascii="Arial" w:hAnsi="Arial" w:cs="Arial"/>
                <w:sz w:val="16"/>
                <w:vertAlign w:val="superscript"/>
                <w:lang w:val="en-GB" w:bidi="en-GB" w:eastAsia="en-GB"/>
              </w:rPr>
              <w:t>4)</w:t>
            </w: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17</w:t>
            </w:r>
          </w:p>
          <w:p>
            <w:pPr>
              <w:jc w:val="center"/>
              <w:rPr>
                <w:rFonts w:ascii="Arial" w:hAnsi="Arial" w:cs="Arial"/>
                <w:color w:val="000000"/>
                <w:sz w:val="16"/>
                <w:szCs w:val="16"/>
                <w:highlight w:val="green"/>
                <w:lang w:val="en-GB" w:bidi="en-GB" w:eastAsia="en-GB"/>
              </w:rPr>
            </w:pPr>
            <w:r>
              <w:rPr>
                <w:rFonts w:ascii="Arial" w:hAnsi="Arial" w:cs="Arial"/>
                <w:color w:val="000000"/>
                <w:sz w:val="16"/>
                <w:szCs w:val="16"/>
                <w:highlight w:val="green"/>
                <w:lang w:val="en-GB" w:bidi="en-GB" w:eastAsia="en-GB"/>
              </w:rPr>
              <w:t>18</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 xml:space="preserve">Urinary bladder </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15,970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3.97%</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3.93%</w:t>
            </w:r>
          </w:p>
        </w:tc>
        <w:tc>
          <w:tcPr>
            <w:tcW w:w="708"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2"/>
                <w:lang w:val="en-GB" w:bidi="en-GB" w:eastAsia="en-GB"/>
              </w:rPr>
            </w:pPr>
            <w:r>
              <w:rPr>
                <w:rFonts w:ascii="Arial" w:hAnsi="Arial" w:cs="Arial"/>
                <w:sz w:val="16"/>
                <w:lang w:val="en-GB" w:bidi="en-GB" w:eastAsia="en-GB"/>
              </w:rPr>
              <w:t>50</w:t>
            </w: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tcPr>
          <w:p>
            <w:pPr>
              <w:spacing w:before="40" w:beforeAutospacing="0" w:afterAutospacing="0"/>
              <w:jc w:val="center"/>
              <w:rPr>
                <w:rFonts w:ascii="Arial" w:hAnsi="Arial" w:cs="Arial"/>
                <w:sz w:val="16"/>
                <w:szCs w:val="16"/>
                <w:lang w:val="en-GB" w:bidi="en-GB" w:eastAsia="en-GB"/>
              </w:rPr>
            </w:pP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25</w:t>
            </w:r>
          </w:p>
        </w:tc>
      </w:tr>
      <w:tr>
        <w:trPr>
          <w:trHeight w:hRule="atLeast" w:val="450"/>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18</w:t>
            </w:r>
          </w:p>
          <w:p>
            <w:pPr>
              <w:jc w:val="center"/>
              <w:rPr>
                <w:rFonts w:ascii="Arial" w:hAnsi="Arial" w:cs="Arial"/>
                <w:color w:val="000000"/>
                <w:sz w:val="16"/>
                <w:szCs w:val="16"/>
                <w:highlight w:val="green"/>
                <w:lang w:val="en-GB" w:bidi="en-GB" w:eastAsia="en-GB"/>
              </w:rPr>
            </w:pPr>
            <w:r>
              <w:rPr>
                <w:rFonts w:ascii="Arial" w:hAnsi="Arial" w:cs="Arial"/>
                <w:color w:val="000000"/>
                <w:sz w:val="16"/>
                <w:szCs w:val="16"/>
                <w:highlight w:val="green"/>
                <w:lang w:val="en-GB" w:bidi="en-GB" w:eastAsia="en-GB"/>
              </w:rPr>
              <w:t>19</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color w:val="000000"/>
                <w:sz w:val="16"/>
                <w:szCs w:val="16"/>
                <w:lang w:val="en-GB" w:bidi="en-GB" w:eastAsia="en-GB"/>
              </w:rPr>
            </w:pPr>
            <w:r>
              <w:rPr>
                <w:rFonts w:ascii="Arial" w:hAnsi="Arial" w:cs="Arial"/>
                <w:b w:val="1"/>
                <w:color w:val="000000"/>
                <w:sz w:val="16"/>
                <w:lang w:val="en-GB" w:bidi="en-GB" w:eastAsia="en-GB"/>
              </w:rPr>
              <w:t xml:space="preserve">Soft tissue sarcoma </w:t>
            </w:r>
            <w:r>
              <w:rPr>
                <w:rFonts w:ascii="Arial" w:hAnsi="Arial" w:cs="Arial"/>
                <w:color w:val="000000"/>
                <w:sz w:val="16"/>
                <w:szCs w:val="16"/>
                <w:lang w:val="en-GB" w:bidi="en-GB" w:eastAsia="en-GB"/>
              </w:rPr>
              <w:br w:type="textWrapping"/>
            </w:r>
            <w:r>
              <w:rPr>
                <w:rFonts w:ascii="Arial" w:hAnsi="Arial" w:cs="Arial"/>
                <w:color w:val="000000"/>
                <w:sz w:val="16"/>
                <w:lang w:val="en-GB" w:bidi="en-GB" w:eastAsia="en-GB"/>
              </w:rPr>
              <w:t>(incl. GIST)</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lang w:val="en-GB" w:bidi="en-GB" w:eastAsia="en-GB"/>
              </w:rPr>
            </w:pPr>
            <w:r>
              <w:rPr>
                <w:rFonts w:ascii="Arial" w:hAnsi="Arial" w:cs="Arial"/>
                <w:strike w:val="1"/>
                <w:sz w:val="16"/>
                <w:highlight w:val="green"/>
                <w:lang w:val="en-GB" w:bidi="en-GB" w:eastAsia="en-GB"/>
              </w:rPr>
              <w:t>5,900</w:t>
            </w:r>
          </w:p>
          <w:p>
            <w:pPr>
              <w:jc w:val="center"/>
              <w:rPr>
                <w:rFonts w:ascii="Arial" w:hAnsi="Arial" w:cs="Arial"/>
                <w:sz w:val="16"/>
                <w:szCs w:val="16"/>
                <w:lang w:val="en-GB" w:bidi="en-GB" w:eastAsia="en-GB"/>
              </w:rPr>
            </w:pPr>
            <w:r>
              <w:rPr>
                <w:rFonts w:ascii="Arial" w:hAnsi="Arial" w:cs="Arial"/>
                <w:sz w:val="16"/>
                <w:szCs w:val="16"/>
                <w:highlight w:val="green"/>
                <w:lang w:val="en-GB" w:bidi="en-GB" w:eastAsia="en-GB"/>
              </w:rPr>
              <w:t>6.430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1.47%</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1.58%</w:t>
            </w:r>
          </w:p>
        </w:tc>
        <w:tc>
          <w:tcPr>
            <w:tcW w:w="708"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shd w:val="clear" w:color="auto" w:fill="FFFFFF"/>
            <w:vAlign w:val="center"/>
            <w:hideMark/>
          </w:tcPr>
          <w:p>
            <w:pPr>
              <w:jc w:val="center"/>
              <w:rPr>
                <w:rFonts w:ascii="Arial" w:hAnsi="Arial" w:cs="Arial"/>
                <w:color w:val="808080"/>
                <w:sz w:val="2"/>
                <w:szCs w:val="2"/>
                <w:lang w:val="en-GB" w:bidi="en-GB" w:eastAsia="en-GB"/>
              </w:rPr>
            </w:pPr>
            <w:r>
              <w:rPr>
                <w:rFonts w:ascii="Arial" w:hAnsi="Arial" w:cs="Arial"/>
                <w:sz w:val="16"/>
                <w:lang w:val="en-GB" w:bidi="en-GB" w:eastAsia="en-GB"/>
              </w:rPr>
              <w:t xml:space="preserve">50 </w:t>
            </w:r>
            <w:r>
              <w:rPr>
                <w:rFonts w:ascii="Arial" w:hAnsi="Arial" w:cs="Arial"/>
                <w:sz w:val="16"/>
                <w:vertAlign w:val="superscript"/>
                <w:lang w:val="en-GB" w:bidi="en-GB" w:eastAsia="en-GB"/>
              </w:rPr>
              <w:t>4)</w:t>
            </w: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hideMark/>
          </w:tcPr>
          <w:p>
            <w:pPr>
              <w:spacing w:before="40" w:beforeAutospacing="0" w:afterAutospacing="0"/>
              <w:jc w:val="center"/>
              <w:rPr>
                <w:rFonts w:ascii="Arial" w:hAnsi="Arial" w:cs="Arial"/>
                <w:sz w:val="16"/>
                <w:szCs w:val="16"/>
                <w:lang w:val="en-GB" w:bidi="en-GB" w:eastAsia="en-GB"/>
              </w:rPr>
            </w:pPr>
          </w:p>
        </w:tc>
        <w:tc>
          <w:tcPr>
            <w:tcW w:w="709" w:type="dxa"/>
            <w:tcBorders>
              <w:top w:val="nil"/>
              <w:left w:val="nil"/>
              <w:bottom w:val="single" w:sz="4" w:space="0" w:shadow="0" w:frame="0"/>
              <w:right w:val="single" w:sz="4" w:space="0" w:shadow="0" w:frame="0"/>
            </w:tcBorders>
            <w:shd w:val="clear" w:color="auto" w:fill="FFFFFF"/>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 xml:space="preserve">25 </w:t>
            </w:r>
            <w:r>
              <w:rPr>
                <w:rFonts w:ascii="Arial" w:hAnsi="Arial" w:cs="Arial"/>
                <w:sz w:val="16"/>
                <w:vertAlign w:val="superscript"/>
                <w:lang w:val="en-GB" w:bidi="en-GB" w:eastAsia="en-GB"/>
              </w:rPr>
              <w:t>4)</w:t>
            </w:r>
          </w:p>
        </w:tc>
      </w:tr>
      <w:tr>
        <w:trPr>
          <w:trHeight w:hRule="atLeast" w:val="450"/>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19</w:t>
            </w:r>
          </w:p>
          <w:p>
            <w:pPr>
              <w:jc w:val="center"/>
              <w:rPr>
                <w:rFonts w:ascii="Arial" w:hAnsi="Arial" w:cs="Arial"/>
                <w:color w:val="000000"/>
                <w:sz w:val="16"/>
                <w:szCs w:val="16"/>
                <w:highlight w:val="green"/>
                <w:lang w:val="en-GB" w:bidi="en-GB" w:eastAsia="en-GB"/>
              </w:rPr>
            </w:pPr>
            <w:r>
              <w:rPr>
                <w:rFonts w:ascii="Arial" w:hAnsi="Arial" w:cs="Arial"/>
                <w:color w:val="000000"/>
                <w:sz w:val="16"/>
                <w:highlight w:val="green"/>
                <w:lang w:val="en-GB" w:bidi="en-GB" w:eastAsia="en-GB"/>
              </w:rPr>
              <w:t>20</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color w:val="000000"/>
                <w:sz w:val="16"/>
                <w:szCs w:val="16"/>
                <w:lang w:val="en-GB" w:bidi="en-GB" w:eastAsia="en-GB"/>
              </w:rPr>
            </w:pPr>
            <w:r>
              <w:rPr>
                <w:rFonts w:ascii="Arial" w:hAnsi="Arial" w:cs="Arial"/>
                <w:b w:val="1"/>
                <w:color w:val="000000"/>
                <w:sz w:val="16"/>
                <w:lang w:val="en-GB" w:bidi="en-GB" w:eastAsia="en-GB"/>
              </w:rPr>
              <w:t>Head/neck tumours</w:t>
            </w:r>
            <w:r>
              <w:rPr>
                <w:rFonts w:ascii="Arial" w:hAnsi="Arial" w:cs="Arial"/>
                <w:color w:val="000000"/>
                <w:sz w:val="16"/>
                <w:szCs w:val="16"/>
                <w:lang w:val="en-GB" w:bidi="en-GB" w:eastAsia="en-GB"/>
              </w:rPr>
              <w:br w:type="textWrapping"/>
            </w:r>
            <w:r>
              <w:rPr>
                <w:rFonts w:ascii="Arial" w:hAnsi="Arial" w:cs="Arial"/>
                <w:color w:val="000000"/>
                <w:sz w:val="16"/>
                <w:lang w:val="en-GB" w:bidi="en-GB" w:eastAsia="en-GB"/>
              </w:rPr>
              <w:t>(upper aerodigestive tract, oral cavity, throat, larynx, salivary glands)</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17,130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4.26%</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4.22%</w:t>
            </w:r>
          </w:p>
        </w:tc>
        <w:tc>
          <w:tcPr>
            <w:tcW w:w="708"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75</w:t>
            </w:r>
          </w:p>
        </w:tc>
        <w:tc>
          <w:tcPr>
            <w:tcW w:w="709" w:type="dxa"/>
            <w:tcBorders>
              <w:top w:val="nil"/>
              <w:left w:val="nil"/>
              <w:bottom w:val="single" w:sz="4" w:space="0" w:shadow="0" w:frame="0"/>
              <w:right w:val="single" w:sz="4" w:space="0" w:shadow="0" w:frame="0"/>
            </w:tcBorders>
            <w:shd w:val="clear" w:color="auto" w:fill="808080" w:themeFill="background1" w:themeFillShade="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37</w:t>
            </w:r>
          </w:p>
        </w:tc>
      </w:tr>
      <w:tr>
        <w:trPr>
          <w:trHeight w:hRule="atLeast" w:val="282"/>
        </w:trPr>
        <w:tc>
          <w:tcPr>
            <w:tcW w:w="363" w:type="dxa"/>
            <w:tcBorders>
              <w:top w:val="nil"/>
              <w:left w:val="single" w:sz="4" w:space="0" w:shadow="0" w:frame="0"/>
              <w:bottom w:val="single" w:sz="4" w:space="0" w:shadow="0" w:frame="0"/>
              <w:right w:val="single" w:sz="4" w:space="0" w:shadow="0" w:frame="0"/>
            </w:tcBorders>
            <w:vAlign w:val="center"/>
            <w:hideMark/>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20</w:t>
            </w:r>
          </w:p>
          <w:p>
            <w:pPr>
              <w:jc w:val="center"/>
              <w:rPr>
                <w:rFonts w:ascii="Arial" w:hAnsi="Arial" w:cs="Arial"/>
                <w:color w:val="000000"/>
                <w:sz w:val="16"/>
                <w:szCs w:val="16"/>
                <w:highlight w:val="green"/>
                <w:lang w:val="en-GB" w:bidi="en-GB" w:eastAsia="en-GB"/>
              </w:rPr>
            </w:pPr>
            <w:r>
              <w:rPr>
                <w:rFonts w:ascii="Arial" w:hAnsi="Arial" w:cs="Arial"/>
                <w:color w:val="000000"/>
                <w:sz w:val="16"/>
                <w:highlight w:val="green"/>
                <w:lang w:val="en-GB" w:bidi="en-GB" w:eastAsia="en-GB"/>
              </w:rPr>
              <w:t>21</w:t>
            </w:r>
          </w:p>
        </w:tc>
        <w:tc>
          <w:tcPr>
            <w:tcW w:w="3609" w:type="dxa"/>
            <w:gridSpan w:val="2"/>
            <w:tcBorders>
              <w:top w:val="single" w:sz="4" w:space="0" w:shadow="0" w:frame="0"/>
              <w:left w:val="nil"/>
              <w:bottom w:val="single" w:sz="4" w:space="0" w:shadow="0" w:frame="0"/>
              <w:right w:val="single" w:sz="4" w:space="0" w:shadow="0" w:frame="0"/>
            </w:tcBorders>
            <w:vAlign w:val="center"/>
            <w:hideMark/>
          </w:tcPr>
          <w:p>
            <w:pPr>
              <w:rPr>
                <w:rFonts w:ascii="Arial" w:hAnsi="Arial" w:cs="Arial"/>
                <w:b w:val="1"/>
                <w:bCs w:val="1"/>
                <w:color w:val="000000"/>
                <w:sz w:val="16"/>
                <w:szCs w:val="16"/>
                <w:lang w:val="en-GB" w:bidi="en-GB" w:eastAsia="en-GB"/>
              </w:rPr>
            </w:pPr>
            <w:r>
              <w:rPr>
                <w:rFonts w:ascii="Arial" w:hAnsi="Arial" w:cs="Arial"/>
                <w:b w:val="1"/>
                <w:color w:val="000000"/>
                <w:sz w:val="16"/>
                <w:lang w:val="en-GB" w:bidi="en-GB" w:eastAsia="en-GB"/>
              </w:rPr>
              <w:t>Neuro-oncological tumours</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10,000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2.49%</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2.46%</w:t>
            </w:r>
          </w:p>
        </w:tc>
        <w:tc>
          <w:tcPr>
            <w:tcW w:w="708"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100</w:t>
            </w:r>
          </w:p>
        </w:tc>
        <w:tc>
          <w:tcPr>
            <w:tcW w:w="709" w:type="dxa"/>
            <w:tcBorders>
              <w:top w:val="nil"/>
              <w:left w:val="nil"/>
              <w:bottom w:val="single" w:sz="4" w:space="0" w:shadow="0" w:frame="0"/>
              <w:right w:val="single" w:sz="4" w:space="0" w:shadow="0" w:frame="0"/>
            </w:tcBorders>
            <w:shd w:val="clear" w:color="000000" w:fill="808080"/>
            <w:vAlign w:val="center"/>
            <w:hideMark/>
          </w:tcPr>
          <w:p>
            <w:pPr>
              <w:jc w:val="center"/>
              <w:rPr>
                <w:rFonts w:ascii="Arial" w:hAnsi="Arial" w:cs="Arial"/>
                <w:color w:val="808080"/>
                <w:sz w:val="2"/>
                <w:szCs w:val="2"/>
                <w:lang w:val="en-GB" w:bidi="en-GB" w:eastAsia="en-GB"/>
              </w:rPr>
            </w:pPr>
            <w:r>
              <w:rPr>
                <w:rFonts w:ascii="Arial" w:hAnsi="Arial" w:cs="Arial"/>
                <w:color w:val="808080"/>
                <w:sz w:val="2"/>
                <w:lang w:val="en-GB" w:bidi="en-GB" w:eastAsia="en-GB"/>
              </w:rPr>
              <w:t>X</w:t>
            </w:r>
          </w:p>
        </w:tc>
        <w:tc>
          <w:tcPr>
            <w:tcW w:w="709" w:type="dxa"/>
            <w:tcBorders>
              <w:top w:val="nil"/>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50</w:t>
            </w:r>
          </w:p>
        </w:tc>
      </w:tr>
      <w:tr>
        <w:trPr>
          <w:trHeight w:hRule="atLeast" w:val="435"/>
        </w:trPr>
        <w:tc>
          <w:tcPr>
            <w:tcW w:w="363" w:type="dxa"/>
            <w:tcBorders>
              <w:top w:val="nil"/>
              <w:left w:val="nil"/>
              <w:bottom w:val="nil"/>
              <w:right w:val="nil"/>
            </w:tcBorders>
            <w:noWrap/>
            <w:vAlign w:val="center"/>
            <w:hideMark/>
          </w:tcPr>
          <w:p>
            <w:pPr>
              <w:rPr>
                <w:rFonts w:ascii="Arial" w:hAnsi="Arial" w:cs="Arial"/>
                <w:color w:val="000000"/>
                <w:sz w:val="22"/>
                <w:szCs w:val="22"/>
                <w:highlight w:val="green"/>
                <w:lang w:val="en-GB" w:bidi="en-GB" w:eastAsia="en-GB"/>
              </w:rPr>
            </w:pPr>
          </w:p>
        </w:tc>
        <w:tc>
          <w:tcPr>
            <w:tcW w:w="3609" w:type="dxa"/>
            <w:gridSpan w:val="2"/>
            <w:tcBorders>
              <w:top w:val="single" w:sz="4" w:space="0" w:shadow="0" w:frame="0"/>
              <w:left w:val="single" w:sz="4" w:space="0" w:shadow="0" w:frame="0"/>
              <w:bottom w:val="single" w:sz="4" w:space="0" w:shadow="0" w:frame="0"/>
              <w:right w:val="single" w:sz="4" w:space="0" w:shadow="0" w:frame="0"/>
            </w:tcBorders>
            <w:vAlign w:val="center"/>
            <w:hideMark/>
          </w:tcPr>
          <w:p>
            <w:pPr>
              <w:rPr>
                <w:rFonts w:ascii="Arial" w:hAnsi="Arial" w:cs="Arial"/>
                <w:b w:val="1"/>
                <w:bCs w:val="1"/>
                <w:sz w:val="16"/>
                <w:szCs w:val="16"/>
                <w:lang w:val="en-GB" w:bidi="en-GB" w:eastAsia="en-GB"/>
              </w:rPr>
            </w:pPr>
            <w:r>
              <w:rPr>
                <w:rFonts w:ascii="Arial" w:hAnsi="Arial" w:cs="Arial"/>
                <w:b w:val="1"/>
                <w:sz w:val="16"/>
                <w:lang w:val="en-GB" w:bidi="en-GB" w:eastAsia="en-GB"/>
              </w:rPr>
              <w:t>Total</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b w:val="1"/>
                <w:strike w:val="1"/>
                <w:sz w:val="16"/>
                <w:lang w:val="en-GB" w:bidi="en-GB" w:eastAsia="en-GB"/>
              </w:rPr>
            </w:pPr>
            <w:r>
              <w:rPr>
                <w:rFonts w:ascii="Arial" w:hAnsi="Arial" w:cs="Arial"/>
                <w:b w:val="1"/>
                <w:strike w:val="1"/>
                <w:sz w:val="16"/>
                <w:highlight w:val="green"/>
                <w:lang w:val="en-GB" w:bidi="en-GB" w:eastAsia="en-GB"/>
              </w:rPr>
              <w:t>401,810</w:t>
            </w:r>
          </w:p>
          <w:p>
            <w:pPr>
              <w:jc w:val="center"/>
              <w:rPr>
                <w:rFonts w:ascii="Arial" w:hAnsi="Arial" w:cs="Arial"/>
                <w:b w:val="1"/>
                <w:bCs w:val="1"/>
                <w:sz w:val="16"/>
                <w:szCs w:val="16"/>
                <w:lang w:val="en-GB" w:bidi="en-GB" w:eastAsia="en-GB"/>
              </w:rPr>
            </w:pPr>
            <w:r>
              <w:rPr>
                <w:rFonts w:ascii="Arial" w:hAnsi="Arial" w:cs="Arial"/>
                <w:b w:val="1"/>
                <w:bCs w:val="1"/>
                <w:sz w:val="16"/>
                <w:lang w:val="en-GB" w:bidi="en-GB" w:eastAsia="en-GB"/>
              </w:rPr>
              <w:t>406.280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b w:val="1"/>
                <w:bCs w:val="1"/>
                <w:sz w:val="16"/>
                <w:szCs w:val="16"/>
                <w:highlight w:val="green"/>
                <w:lang w:val="en-GB" w:bidi="en-GB" w:eastAsia="en-GB"/>
              </w:rPr>
            </w:pPr>
            <w:r>
              <w:rPr>
                <w:rFonts w:ascii="Arial" w:hAnsi="Arial" w:cs="Arial"/>
                <w:b w:val="1"/>
                <w:sz w:val="16"/>
                <w:highlight w:val="green"/>
                <w:lang w:val="en-GB" w:bidi="en-GB" w:eastAsia="en-GB"/>
              </w:rPr>
              <w:t>100%</w:t>
            </w:r>
          </w:p>
        </w:tc>
        <w:tc>
          <w:tcPr>
            <w:tcW w:w="708" w:type="dxa"/>
            <w:tcBorders>
              <w:top w:val="nil"/>
              <w:left w:val="nil"/>
              <w:bottom w:val="nil"/>
              <w:right w:val="nil"/>
            </w:tcBorders>
            <w:vAlign w:val="center"/>
            <w:hideMark/>
          </w:tcPr>
          <w:p>
            <w:pPr>
              <w:rPr>
                <w:rFonts w:ascii="Arial" w:hAnsi="Arial" w:cs="Arial"/>
                <w:lang w:val="en-GB" w:bidi="en-GB" w:eastAsia="en-GB"/>
              </w:rPr>
            </w:pPr>
          </w:p>
        </w:tc>
        <w:tc>
          <w:tcPr>
            <w:tcW w:w="709" w:type="dxa"/>
            <w:tcBorders>
              <w:top w:val="nil"/>
              <w:left w:val="nil"/>
              <w:bottom w:val="nil"/>
              <w:right w:val="nil"/>
            </w:tcBorders>
            <w:vAlign w:val="center"/>
            <w:hideMark/>
          </w:tcPr>
          <w:p>
            <w:pPr>
              <w:rPr>
                <w:rFonts w:ascii="Arial" w:hAnsi="Arial" w:cs="Arial"/>
                <w:lang w:val="en-GB" w:bidi="en-GB" w:eastAsia="en-GB"/>
              </w:rPr>
            </w:pPr>
          </w:p>
        </w:tc>
        <w:tc>
          <w:tcPr>
            <w:tcW w:w="709" w:type="dxa"/>
            <w:tcBorders>
              <w:top w:val="nil"/>
              <w:left w:val="nil"/>
              <w:bottom w:val="nil"/>
              <w:right w:val="nil"/>
            </w:tcBorders>
            <w:vAlign w:val="center"/>
            <w:hideMark/>
          </w:tcPr>
          <w:p>
            <w:pPr>
              <w:rPr>
                <w:rFonts w:ascii="Arial" w:hAnsi="Arial" w:cs="Arial"/>
                <w:lang w:val="en-GB" w:bidi="en-GB" w:eastAsia="en-GB"/>
              </w:rPr>
            </w:pPr>
          </w:p>
        </w:tc>
        <w:tc>
          <w:tcPr>
            <w:tcW w:w="709" w:type="dxa"/>
            <w:tcBorders>
              <w:top w:val="nil"/>
              <w:left w:val="nil"/>
              <w:bottom w:val="nil"/>
              <w:right w:val="nil"/>
            </w:tcBorders>
            <w:vAlign w:val="center"/>
            <w:hideMark/>
          </w:tcPr>
          <w:p>
            <w:pPr>
              <w:rPr>
                <w:rFonts w:ascii="Arial" w:hAnsi="Arial" w:cs="Arial"/>
                <w:lang w:val="en-GB" w:bidi="en-GB" w:eastAsia="en-GB"/>
              </w:rPr>
            </w:pPr>
          </w:p>
        </w:tc>
      </w:tr>
      <w:tr>
        <w:trPr>
          <w:trHeight w:hRule="atLeast" w:val="180"/>
        </w:trPr>
        <w:tc>
          <w:tcPr>
            <w:tcW w:w="363" w:type="dxa"/>
            <w:tcBorders>
              <w:top w:val="nil"/>
              <w:left w:val="nil"/>
              <w:bottom w:val="single" w:sz="4" w:space="0" w:shadow="0" w:frame="0"/>
              <w:right w:val="nil"/>
            </w:tcBorders>
            <w:noWrap/>
            <w:vAlign w:val="center"/>
            <w:hideMark/>
          </w:tcPr>
          <w:p>
            <w:pPr>
              <w:rPr>
                <w:rFonts w:ascii="Arial" w:hAnsi="Arial" w:cs="Arial"/>
                <w:color w:val="000000"/>
                <w:sz w:val="22"/>
                <w:szCs w:val="22"/>
                <w:highlight w:val="green"/>
                <w:lang w:val="en-GB" w:bidi="en-GB" w:eastAsia="en-GB"/>
              </w:rPr>
            </w:pPr>
          </w:p>
        </w:tc>
        <w:tc>
          <w:tcPr>
            <w:tcW w:w="1518" w:type="dxa"/>
            <w:tcBorders>
              <w:top w:val="nil"/>
              <w:left w:val="nil"/>
              <w:bottom w:val="nil"/>
              <w:right w:val="nil"/>
            </w:tcBorders>
            <w:vAlign w:val="center"/>
            <w:hideMark/>
          </w:tcPr>
          <w:p>
            <w:pPr>
              <w:rPr>
                <w:rFonts w:ascii="Arial" w:hAnsi="Arial" w:cs="Arial"/>
                <w:b w:val="1"/>
                <w:bCs w:val="1"/>
                <w:sz w:val="16"/>
                <w:szCs w:val="16"/>
                <w:lang w:val="en-GB" w:bidi="en-GB" w:eastAsia="en-GB"/>
              </w:rPr>
            </w:pPr>
          </w:p>
        </w:tc>
        <w:tc>
          <w:tcPr>
            <w:tcW w:w="2091" w:type="dxa"/>
            <w:tcBorders>
              <w:top w:val="nil"/>
              <w:left w:val="nil"/>
              <w:bottom w:val="nil"/>
              <w:right w:val="nil"/>
            </w:tcBorders>
            <w:vAlign w:val="center"/>
            <w:hideMark/>
          </w:tcPr>
          <w:p>
            <w:pPr>
              <w:rPr>
                <w:rFonts w:ascii="Arial" w:hAnsi="Arial" w:cs="Arial"/>
                <w:b w:val="1"/>
                <w:bCs w:val="1"/>
                <w:sz w:val="16"/>
                <w:szCs w:val="16"/>
                <w:lang w:val="en-GB" w:bidi="en-GB" w:eastAsia="en-GB"/>
              </w:rPr>
            </w:pPr>
          </w:p>
        </w:tc>
        <w:tc>
          <w:tcPr>
            <w:tcW w:w="993" w:type="dxa"/>
            <w:tcBorders>
              <w:top w:val="nil"/>
              <w:left w:val="nil"/>
              <w:bottom w:val="nil"/>
              <w:right w:val="nil"/>
            </w:tcBorders>
            <w:vAlign w:val="center"/>
            <w:hideMark/>
          </w:tcPr>
          <w:p>
            <w:pPr>
              <w:jc w:val="center"/>
              <w:rPr>
                <w:rFonts w:ascii="Arial" w:hAnsi="Arial" w:cs="Arial"/>
                <w:b w:val="1"/>
                <w:bCs w:val="1"/>
                <w:sz w:val="16"/>
                <w:szCs w:val="16"/>
                <w:lang w:val="en-GB" w:bidi="en-GB" w:eastAsia="en-GB"/>
              </w:rPr>
            </w:pPr>
          </w:p>
        </w:tc>
        <w:tc>
          <w:tcPr>
            <w:tcW w:w="1131" w:type="dxa"/>
            <w:tcBorders>
              <w:top w:val="nil"/>
              <w:left w:val="nil"/>
              <w:bottom w:val="nil"/>
              <w:right w:val="nil"/>
            </w:tcBorders>
            <w:vAlign w:val="center"/>
            <w:hideMark/>
          </w:tcPr>
          <w:p>
            <w:pPr>
              <w:jc w:val="center"/>
              <w:rPr>
                <w:rFonts w:ascii="Arial" w:hAnsi="Arial" w:cs="Arial"/>
                <w:b w:val="1"/>
                <w:bCs w:val="1"/>
                <w:strike w:val="1"/>
                <w:sz w:val="16"/>
                <w:szCs w:val="16"/>
                <w:highlight w:val="green"/>
                <w:lang w:val="en-GB" w:bidi="en-GB" w:eastAsia="en-GB"/>
              </w:rPr>
            </w:pPr>
          </w:p>
        </w:tc>
        <w:tc>
          <w:tcPr>
            <w:tcW w:w="708" w:type="dxa"/>
            <w:tcBorders>
              <w:top w:val="nil"/>
              <w:left w:val="nil"/>
              <w:bottom w:val="nil"/>
              <w:right w:val="nil"/>
            </w:tcBorders>
            <w:vAlign w:val="center"/>
            <w:hideMark/>
          </w:tcPr>
          <w:p>
            <w:pPr>
              <w:rPr>
                <w:rFonts w:ascii="Arial" w:hAnsi="Arial" w:cs="Arial"/>
                <w:lang w:val="en-GB" w:bidi="en-GB" w:eastAsia="en-GB"/>
              </w:rPr>
            </w:pPr>
          </w:p>
        </w:tc>
        <w:tc>
          <w:tcPr>
            <w:tcW w:w="709" w:type="dxa"/>
            <w:tcBorders>
              <w:top w:val="nil"/>
              <w:left w:val="nil"/>
              <w:bottom w:val="nil"/>
              <w:right w:val="nil"/>
            </w:tcBorders>
            <w:vAlign w:val="center"/>
            <w:hideMark/>
          </w:tcPr>
          <w:p>
            <w:pPr>
              <w:rPr>
                <w:rFonts w:ascii="Arial" w:hAnsi="Arial" w:cs="Arial"/>
                <w:lang w:val="en-GB" w:bidi="en-GB" w:eastAsia="en-GB"/>
              </w:rPr>
            </w:pPr>
          </w:p>
        </w:tc>
        <w:tc>
          <w:tcPr>
            <w:tcW w:w="709" w:type="dxa"/>
            <w:tcBorders>
              <w:top w:val="nil"/>
              <w:left w:val="nil"/>
              <w:bottom w:val="nil"/>
              <w:right w:val="nil"/>
            </w:tcBorders>
            <w:vAlign w:val="center"/>
            <w:hideMark/>
          </w:tcPr>
          <w:p>
            <w:pPr>
              <w:rPr>
                <w:rFonts w:ascii="Arial" w:hAnsi="Arial" w:cs="Arial"/>
                <w:lang w:val="en-GB" w:bidi="en-GB" w:eastAsia="en-GB"/>
              </w:rPr>
            </w:pPr>
          </w:p>
        </w:tc>
        <w:tc>
          <w:tcPr>
            <w:tcW w:w="709" w:type="dxa"/>
            <w:tcBorders>
              <w:top w:val="nil"/>
              <w:left w:val="nil"/>
              <w:bottom w:val="nil"/>
              <w:right w:val="nil"/>
            </w:tcBorders>
            <w:vAlign w:val="center"/>
            <w:hideMark/>
          </w:tcPr>
          <w:p>
            <w:pPr>
              <w:rPr>
                <w:rFonts w:ascii="Arial" w:hAnsi="Arial" w:cs="Arial"/>
                <w:lang w:val="en-GB" w:bidi="en-GB" w:eastAsia="en-GB"/>
              </w:rPr>
            </w:pPr>
          </w:p>
        </w:tc>
      </w:tr>
      <w:tr>
        <w:trPr>
          <w:trHeight w:hRule="atLeast" w:val="282"/>
        </w:trPr>
        <w:tc>
          <w:tcPr>
            <w:tcW w:w="363" w:type="dxa"/>
            <w:tcBorders>
              <w:top w:val="single" w:sz="4" w:space="0" w:shadow="0" w:frame="0"/>
              <w:left w:val="single" w:sz="4" w:space="0" w:shadow="0" w:frame="0"/>
              <w:bottom w:val="single" w:sz="4" w:space="0" w:shadow="0" w:frame="0"/>
              <w:right w:val="nil"/>
            </w:tcBorders>
            <w:vAlign w:val="center"/>
            <w:hideMark/>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21</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22</w:t>
            </w:r>
          </w:p>
        </w:tc>
        <w:tc>
          <w:tcPr>
            <w:tcW w:w="3609" w:type="dxa"/>
            <w:gridSpan w:val="2"/>
            <w:tcBorders>
              <w:top w:val="single" w:sz="4" w:space="0" w:shadow="0" w:frame="0"/>
              <w:left w:val="single" w:sz="4" w:space="0" w:shadow="0" w:frame="0"/>
              <w:bottom w:val="single" w:sz="4" w:space="0" w:shadow="0" w:frame="0"/>
              <w:right w:val="single" w:sz="4" w:space="0" w:shadow="0" w:frame="0"/>
            </w:tcBorders>
            <w:vAlign w:val="center"/>
            <w:hideMark/>
          </w:tcPr>
          <w:p>
            <w:pPr>
              <w:rPr>
                <w:rFonts w:ascii="Arial" w:hAnsi="Arial" w:cs="Arial"/>
                <w:b w:val="1"/>
                <w:bCs w:val="1"/>
                <w:sz w:val="16"/>
                <w:szCs w:val="16"/>
                <w:lang w:val="en-GB" w:bidi="en-GB" w:eastAsia="en-GB"/>
              </w:rPr>
            </w:pPr>
            <w:r>
              <w:rPr>
                <w:rFonts w:ascii="Arial" w:hAnsi="Arial" w:cs="Arial"/>
                <w:b w:val="1"/>
                <w:sz w:val="16"/>
                <w:lang w:val="en-GB" w:bidi="en-GB" w:eastAsia="en-GB"/>
              </w:rPr>
              <w:t>Lung</w:t>
            </w:r>
          </w:p>
        </w:tc>
        <w:tc>
          <w:tcPr>
            <w:tcW w:w="993"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49,530</w:t>
            </w:r>
          </w:p>
        </w:tc>
        <w:tc>
          <w:tcPr>
            <w:tcW w:w="1131"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12.33%</w:t>
            </w:r>
          </w:p>
          <w:p>
            <w:pPr>
              <w:jc w:val="center"/>
              <w:rPr>
                <w:rFonts w:ascii="Arial" w:hAnsi="Arial" w:cs="Arial"/>
                <w:sz w:val="16"/>
                <w:szCs w:val="16"/>
                <w:highlight w:val="green"/>
                <w:lang w:val="en-GB" w:bidi="en-GB" w:eastAsia="en-GB"/>
              </w:rPr>
            </w:pPr>
            <w:r>
              <w:rPr>
                <w:rFonts w:ascii="Arial" w:hAnsi="Arial" w:cs="Arial"/>
                <w:sz w:val="16"/>
                <w:highlight w:val="green"/>
                <w:lang w:val="en-GB" w:bidi="en-GB" w:eastAsia="en-GB"/>
              </w:rPr>
              <w:t>12.19%</w:t>
            </w:r>
          </w:p>
        </w:tc>
        <w:tc>
          <w:tcPr>
            <w:tcW w:w="708"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200</w:t>
            </w:r>
          </w:p>
        </w:tc>
        <w:tc>
          <w:tcPr>
            <w:tcW w:w="709" w:type="dxa"/>
            <w:tcBorders>
              <w:top w:val="single" w:sz="4" w:space="0" w:shadow="0" w:frame="0"/>
              <w:left w:val="nil"/>
              <w:bottom w:val="single" w:sz="4" w:space="0" w:shadow="0" w:frame="0"/>
              <w:right w:val="single" w:sz="4" w:space="0" w:shadow="0" w:frame="0"/>
            </w:tcBorders>
            <w:shd w:val="clear" w:color="000000" w:fill="808080"/>
            <w:vAlign w:val="center"/>
            <w:hideMark/>
          </w:tcPr>
          <w:p>
            <w:pPr>
              <w:jc w:val="center"/>
              <w:rPr>
                <w:rFonts w:ascii="Arial" w:hAnsi="Arial" w:cs="Arial"/>
                <w:sz w:val="2"/>
                <w:szCs w:val="2"/>
                <w:lang w:val="en-GB" w:bidi="en-GB" w:eastAsia="en-GB"/>
              </w:rPr>
            </w:pPr>
            <w:r>
              <w:rPr>
                <w:rFonts w:ascii="Arial" w:hAnsi="Arial" w:cs="Arial"/>
                <w:sz w:val="2"/>
                <w:lang w:val="en-GB" w:bidi="en-GB" w:eastAsia="en-GB"/>
              </w:rPr>
              <w:t>X</w:t>
            </w:r>
          </w:p>
        </w:tc>
        <w:tc>
          <w:tcPr>
            <w:tcW w:w="709" w:type="dxa"/>
            <w:tcBorders>
              <w:top w:val="single" w:sz="4" w:space="0" w:shadow="0" w:frame="0"/>
              <w:left w:val="nil"/>
              <w:bottom w:val="single" w:sz="4" w:space="0" w:shadow="0" w:frame="0"/>
              <w:right w:val="single" w:sz="4" w:space="0" w:shadow="0" w:frame="0"/>
            </w:tcBorders>
            <w:shd w:val="clear" w:color="000000" w:fill="808080"/>
            <w:vAlign w:val="center"/>
            <w:hideMark/>
          </w:tcPr>
          <w:p>
            <w:pPr>
              <w:jc w:val="center"/>
              <w:rPr>
                <w:rFonts w:ascii="Arial" w:hAnsi="Arial" w:cs="Arial"/>
                <w:sz w:val="2"/>
                <w:szCs w:val="2"/>
                <w:lang w:val="en-GB" w:bidi="en-GB" w:eastAsia="en-GB"/>
              </w:rPr>
            </w:pPr>
            <w:r>
              <w:rPr>
                <w:rFonts w:ascii="Arial" w:hAnsi="Arial" w:cs="Arial"/>
                <w:sz w:val="2"/>
                <w:lang w:val="en-GB" w:bidi="en-GB" w:eastAsia="en-GB"/>
              </w:rPr>
              <w:t>X</w:t>
            </w:r>
          </w:p>
        </w:tc>
        <w:tc>
          <w:tcPr>
            <w:tcW w:w="709" w:type="dxa"/>
            <w:tcBorders>
              <w:top w:val="single" w:sz="4" w:space="0" w:shadow="0" w:frame="0"/>
              <w:left w:val="nil"/>
              <w:bottom w:val="single" w:sz="4" w:space="0" w:shadow="0" w:frame="0"/>
              <w:right w:val="single" w:sz="4" w:space="0" w:shadow="0" w:frame="0"/>
            </w:tcBorders>
            <w:vAlign w:val="center"/>
            <w:hideMark/>
          </w:tcPr>
          <w:p>
            <w:pPr>
              <w:jc w:val="center"/>
              <w:rPr>
                <w:rFonts w:ascii="Arial" w:hAnsi="Arial" w:cs="Arial"/>
                <w:sz w:val="16"/>
                <w:szCs w:val="16"/>
                <w:lang w:val="en-GB" w:bidi="en-GB" w:eastAsia="en-GB"/>
              </w:rPr>
            </w:pPr>
            <w:r>
              <w:rPr>
                <w:rFonts w:ascii="Arial" w:hAnsi="Arial" w:cs="Arial"/>
                <w:sz w:val="16"/>
                <w:lang w:val="en-GB" w:bidi="en-GB" w:eastAsia="en-GB"/>
              </w:rPr>
              <w:t>100</w:t>
            </w:r>
          </w:p>
        </w:tc>
      </w:tr>
      <w:tr>
        <w:trPr>
          <w:trHeight w:hRule="atLeast" w:val="282"/>
        </w:trPr>
        <w:tc>
          <w:tcPr>
            <w:tcW w:w="363" w:type="dxa"/>
            <w:tcBorders>
              <w:top w:val="single" w:sz="4" w:space="0" w:shadow="0" w:frame="0"/>
              <w:left w:val="single" w:sz="4" w:space="0" w:shadow="0" w:frame="0"/>
              <w:bottom w:val="single" w:sz="4" w:space="0" w:shadow="0" w:frame="0"/>
              <w:right w:val="nil"/>
            </w:tcBorders>
            <w:vAlign w:val="center"/>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22</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23</w:t>
            </w:r>
          </w:p>
        </w:tc>
        <w:tc>
          <w:tcPr>
            <w:tcW w:w="3609" w:type="dxa"/>
            <w:gridSpan w:val="2"/>
            <w:tcBorders>
              <w:top w:val="single" w:sz="4" w:space="0" w:shadow="0" w:frame="0"/>
              <w:left w:val="single" w:sz="4" w:space="0" w:shadow="0" w:frame="0"/>
              <w:bottom w:val="single" w:sz="4" w:space="0" w:shadow="0" w:frame="0"/>
              <w:right w:val="single" w:sz="4" w:space="0" w:shadow="0" w:frame="0"/>
            </w:tcBorders>
            <w:vAlign w:val="center"/>
          </w:tcPr>
          <w:p>
            <w:pPr>
              <w:rPr>
                <w:rFonts w:ascii="Arial" w:hAnsi="Arial" w:cs="Arial"/>
                <w:b w:val="1"/>
                <w:sz w:val="16"/>
                <w:lang w:val="en-GB" w:bidi="en-GB" w:eastAsia="en-GB"/>
              </w:rPr>
            </w:pPr>
            <w:r>
              <w:rPr>
                <w:rFonts w:ascii="Arial" w:hAnsi="Arial" w:cs="Arial"/>
                <w:b w:val="1"/>
                <w:sz w:val="16"/>
                <w:lang w:val="en-GB" w:bidi="en-GB" w:eastAsia="en-GB"/>
              </w:rPr>
              <w:t>Mesothelioma</w:t>
            </w:r>
          </w:p>
        </w:tc>
        <w:tc>
          <w:tcPr>
            <w:tcW w:w="993" w:type="dxa"/>
            <w:tcBorders>
              <w:top w:val="single" w:sz="4" w:space="0" w:shadow="0" w:frame="0"/>
              <w:left w:val="nil"/>
              <w:bottom w:val="single" w:sz="4" w:space="0" w:shadow="0" w:frame="0"/>
              <w:right w:val="single" w:sz="4" w:space="0" w:shadow="0" w:frame="0"/>
            </w:tcBorders>
            <w:vAlign w:val="center"/>
          </w:tcPr>
          <w:p>
            <w:pPr>
              <w:jc w:val="center"/>
              <w:rPr>
                <w:rFonts w:ascii="Arial" w:hAnsi="Arial" w:cs="Arial"/>
                <w:sz w:val="16"/>
                <w:lang w:val="en-GB" w:bidi="en-GB" w:eastAsia="en-GB"/>
              </w:rPr>
            </w:pPr>
            <w:r>
              <w:rPr>
                <w:rFonts w:ascii="Arial" w:hAnsi="Arial" w:cs="Arial"/>
                <w:sz w:val="16"/>
                <w:lang w:val="en-GB" w:bidi="en-GB" w:eastAsia="en-GB"/>
              </w:rPr>
              <w:t>1,600</w:t>
            </w:r>
          </w:p>
        </w:tc>
        <w:tc>
          <w:tcPr>
            <w:tcW w:w="1131" w:type="dxa"/>
            <w:tcBorders>
              <w:top w:val="single" w:sz="4" w:space="0" w:shadow="0" w:frame="0"/>
              <w:left w:val="nil"/>
              <w:bottom w:val="single" w:sz="4" w:space="0" w:shadow="0" w:frame="0"/>
              <w:right w:val="single" w:sz="4" w:space="0" w:shadow="0" w:frame="0"/>
            </w:tcBorders>
            <w:vAlign w:val="center"/>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0.35%</w:t>
            </w:r>
          </w:p>
          <w:p>
            <w:pPr>
              <w:jc w:val="center"/>
              <w:rPr>
                <w:rFonts w:ascii="Arial" w:hAnsi="Arial" w:cs="Arial"/>
                <w:sz w:val="16"/>
                <w:highlight w:val="green"/>
                <w:lang w:val="en-GB" w:bidi="en-GB" w:eastAsia="en-GB"/>
              </w:rPr>
            </w:pPr>
            <w:r>
              <w:rPr>
                <w:rFonts w:ascii="Arial" w:hAnsi="Arial" w:cs="Arial"/>
                <w:sz w:val="16"/>
                <w:highlight w:val="green"/>
                <w:lang w:val="en-GB" w:bidi="en-GB" w:eastAsia="en-GB"/>
              </w:rPr>
              <w:t>0.39%</w:t>
            </w:r>
          </w:p>
        </w:tc>
        <w:tc>
          <w:tcPr>
            <w:tcW w:w="708" w:type="dxa"/>
            <w:tcBorders>
              <w:top w:val="single" w:sz="4" w:space="0" w:shadow="0" w:frame="0"/>
              <w:left w:val="nil"/>
              <w:bottom w:val="single" w:sz="4" w:space="0" w:shadow="0" w:frame="0"/>
              <w:right w:val="single" w:sz="4" w:space="0" w:shadow="0" w:frame="0"/>
            </w:tcBorders>
            <w:shd w:val="clear" w:color="auto" w:fill="7F7F7F"/>
            <w:vAlign w:val="center"/>
          </w:tcPr>
          <w:p>
            <w:pPr>
              <w:jc w:val="center"/>
              <w:rPr>
                <w:rFonts w:ascii="Arial" w:hAnsi="Arial" w:cs="Arial"/>
                <w:sz w:val="16"/>
                <w:lang w:val="en-GB" w:bidi="en-GB" w:eastAsia="en-GB"/>
              </w:rPr>
            </w:pPr>
          </w:p>
        </w:tc>
        <w:tc>
          <w:tcPr>
            <w:tcW w:w="709" w:type="dxa"/>
            <w:tcBorders>
              <w:top w:val="single" w:sz="4" w:space="0" w:shadow="0" w:frame="0"/>
              <w:left w:val="nil"/>
              <w:bottom w:val="single" w:sz="4" w:space="0" w:shadow="0" w:frame="0"/>
              <w:right w:val="single" w:sz="4" w:space="0" w:shadow="0" w:frame="0"/>
            </w:tcBorders>
            <w:shd w:val="clear" w:color="auto" w:fill="FFFFFF"/>
            <w:vAlign w:val="center"/>
          </w:tcPr>
          <w:p>
            <w:pPr>
              <w:jc w:val="center"/>
              <w:rPr>
                <w:rFonts w:ascii="Arial" w:hAnsi="Arial" w:cs="Arial"/>
                <w:sz w:val="16"/>
                <w:szCs w:val="16"/>
                <w:lang w:val="en-GB" w:bidi="en-GB" w:eastAsia="en-GB"/>
              </w:rPr>
            </w:pPr>
            <w:r>
              <w:rPr>
                <w:rFonts w:ascii="Arial" w:hAnsi="Arial" w:cs="Arial"/>
                <w:sz w:val="16"/>
                <w:szCs w:val="16"/>
                <w:lang w:val="en-GB" w:bidi="en-GB" w:eastAsia="en-GB"/>
              </w:rPr>
              <w:t xml:space="preserve">12 </w:t>
            </w:r>
            <w:r>
              <w:rPr>
                <w:rFonts w:ascii="Arial" w:hAnsi="Arial" w:cs="Arial"/>
                <w:sz w:val="16"/>
                <w:szCs w:val="16"/>
                <w:vertAlign w:val="superscript"/>
                <w:lang w:val="en-GB" w:bidi="en-GB" w:eastAsia="en-GB"/>
              </w:rPr>
              <w:t>6)</w:t>
            </w:r>
          </w:p>
        </w:tc>
        <w:tc>
          <w:tcPr>
            <w:tcW w:w="709" w:type="dxa"/>
            <w:tcBorders>
              <w:top w:val="single" w:sz="4" w:space="0" w:shadow="0" w:frame="0"/>
              <w:left w:val="nil"/>
              <w:bottom w:val="single" w:sz="4" w:space="0" w:shadow="0" w:frame="0"/>
              <w:right w:val="single" w:sz="4" w:space="0" w:shadow="0" w:frame="0"/>
            </w:tcBorders>
            <w:shd w:val="clear" w:color="auto" w:fill="7F7F7F"/>
            <w:vAlign w:val="center"/>
          </w:tcPr>
          <w:p>
            <w:pPr>
              <w:jc w:val="center"/>
              <w:rPr>
                <w:rFonts w:ascii="Arial" w:hAnsi="Arial" w:cs="Arial"/>
                <w:sz w:val="2"/>
                <w:lang w:val="en-GB" w:bidi="en-GB" w:eastAsia="en-GB"/>
              </w:rPr>
            </w:pPr>
          </w:p>
        </w:tc>
        <w:tc>
          <w:tcPr>
            <w:tcW w:w="709" w:type="dxa"/>
            <w:tcBorders>
              <w:top w:val="single" w:sz="4" w:space="0" w:shadow="0" w:frame="0"/>
              <w:left w:val="nil"/>
              <w:bottom w:val="single" w:sz="4" w:space="0" w:shadow="0" w:frame="0"/>
              <w:right w:val="single" w:sz="4" w:space="0" w:shadow="0" w:frame="0"/>
            </w:tcBorders>
            <w:shd w:val="clear" w:color="auto" w:fill="7F7F7F"/>
            <w:vAlign w:val="center"/>
          </w:tcPr>
          <w:p>
            <w:pPr>
              <w:jc w:val="center"/>
              <w:rPr>
                <w:rFonts w:ascii="Arial" w:hAnsi="Arial" w:cs="Arial"/>
                <w:sz w:val="16"/>
                <w:lang w:val="en-GB" w:bidi="en-GB" w:eastAsia="en-GB"/>
              </w:rPr>
            </w:pPr>
          </w:p>
        </w:tc>
      </w:tr>
      <w:tr>
        <w:trPr>
          <w:trHeight w:hRule="atLeast" w:val="282"/>
        </w:trPr>
        <w:tc>
          <w:tcPr>
            <w:tcW w:w="363" w:type="dxa"/>
            <w:tcBorders>
              <w:top w:val="single" w:sz="4" w:space="0" w:shadow="0" w:frame="0"/>
              <w:left w:val="single" w:sz="4" w:space="0" w:shadow="0" w:frame="0"/>
              <w:bottom w:val="single" w:sz="4" w:space="0" w:shadow="0" w:frame="0"/>
              <w:right w:val="nil"/>
            </w:tcBorders>
            <w:vAlign w:val="center"/>
          </w:tcPr>
          <w:p>
            <w:pPr>
              <w:jc w:val="center"/>
              <w:rPr>
                <w:rFonts w:ascii="Arial" w:hAnsi="Arial" w:cs="Arial"/>
                <w:strike w:val="1"/>
                <w:sz w:val="16"/>
                <w:szCs w:val="16"/>
                <w:highlight w:val="green"/>
                <w:lang w:val="en-GB" w:bidi="en-GB" w:eastAsia="en-GB"/>
              </w:rPr>
            </w:pPr>
            <w:r>
              <w:rPr>
                <w:rFonts w:ascii="Arial" w:hAnsi="Arial" w:cs="Arial"/>
                <w:strike w:val="1"/>
                <w:sz w:val="16"/>
                <w:szCs w:val="16"/>
                <w:highlight w:val="green"/>
                <w:lang w:val="en-GB" w:bidi="en-GB" w:eastAsia="en-GB"/>
              </w:rPr>
              <w:t>23</w:t>
            </w:r>
          </w:p>
          <w:p>
            <w:pPr>
              <w:jc w:val="center"/>
              <w:rPr>
                <w:rFonts w:ascii="Arial" w:hAnsi="Arial" w:cs="Arial"/>
                <w:sz w:val="16"/>
                <w:szCs w:val="16"/>
                <w:highlight w:val="green"/>
                <w:lang w:val="en-GB" w:bidi="en-GB" w:eastAsia="en-GB"/>
              </w:rPr>
            </w:pPr>
            <w:r>
              <w:rPr>
                <w:rFonts w:ascii="Arial" w:hAnsi="Arial" w:cs="Arial"/>
                <w:sz w:val="16"/>
                <w:szCs w:val="16"/>
                <w:highlight w:val="green"/>
                <w:lang w:val="en-GB" w:bidi="en-GB" w:eastAsia="en-GB"/>
              </w:rPr>
              <w:t>24</w:t>
            </w:r>
          </w:p>
        </w:tc>
        <w:tc>
          <w:tcPr>
            <w:tcW w:w="3609" w:type="dxa"/>
            <w:gridSpan w:val="2"/>
            <w:tcBorders>
              <w:top w:val="single" w:sz="4" w:space="0" w:shadow="0" w:frame="0"/>
              <w:left w:val="single" w:sz="4" w:space="0" w:shadow="0" w:frame="0"/>
              <w:bottom w:val="single" w:sz="4" w:space="0" w:shadow="0" w:frame="0"/>
              <w:right w:val="single" w:sz="4" w:space="0" w:shadow="0" w:frame="0"/>
            </w:tcBorders>
            <w:vAlign w:val="center"/>
          </w:tcPr>
          <w:p>
            <w:pPr>
              <w:rPr>
                <w:rFonts w:ascii="Arial" w:hAnsi="Arial" w:cs="Arial"/>
                <w:b w:val="1"/>
                <w:bCs w:val="1"/>
                <w:sz w:val="16"/>
                <w:szCs w:val="16"/>
                <w:lang w:val="en-GB" w:bidi="en-GB" w:eastAsia="en-GB"/>
              </w:rPr>
            </w:pPr>
            <w:r>
              <w:rPr>
                <w:rFonts w:ascii="Arial" w:hAnsi="Arial" w:cs="Arial"/>
                <w:b w:val="1"/>
                <w:sz w:val="16"/>
                <w:lang w:val="en-GB" w:bidi="en-GB" w:eastAsia="en-GB"/>
              </w:rPr>
              <w:t>Paediatric oncology</w:t>
            </w:r>
          </w:p>
        </w:tc>
        <w:tc>
          <w:tcPr>
            <w:tcW w:w="993" w:type="dxa"/>
            <w:tcBorders>
              <w:top w:val="single" w:sz="4" w:space="0" w:shadow="0" w:frame="0"/>
              <w:left w:val="nil"/>
              <w:bottom w:val="single" w:sz="4" w:space="0" w:shadow="0" w:frame="0"/>
              <w:right w:val="single" w:sz="4" w:space="0" w:shadow="0" w:frame="0"/>
            </w:tcBorders>
            <w:vAlign w:val="center"/>
          </w:tcPr>
          <w:p>
            <w:pPr>
              <w:jc w:val="center"/>
              <w:rPr>
                <w:rFonts w:ascii="Arial" w:hAnsi="Arial" w:cs="Arial"/>
                <w:sz w:val="16"/>
                <w:szCs w:val="16"/>
                <w:lang w:val="en-GB" w:bidi="en-GB" w:eastAsia="en-GB"/>
              </w:rPr>
            </w:pPr>
            <w:r>
              <w:rPr>
                <w:rFonts w:ascii="Arial" w:hAnsi="Arial" w:cs="Arial"/>
                <w:sz w:val="16"/>
                <w:lang w:val="en-GB" w:bidi="en-GB" w:eastAsia="en-GB"/>
              </w:rPr>
              <w:t>2,170</w:t>
            </w:r>
          </w:p>
        </w:tc>
        <w:tc>
          <w:tcPr>
            <w:tcW w:w="1131" w:type="dxa"/>
            <w:tcBorders>
              <w:top w:val="single" w:sz="4" w:space="0" w:shadow="0" w:frame="0"/>
              <w:left w:val="nil"/>
              <w:bottom w:val="single" w:sz="4" w:space="0" w:shadow="0" w:frame="0"/>
              <w:right w:val="single" w:sz="4" w:space="0" w:shadow="0" w:frame="0"/>
            </w:tcBorders>
            <w:vAlign w:val="center"/>
          </w:tcPr>
          <w:p>
            <w:pPr>
              <w:jc w:val="center"/>
              <w:rPr>
                <w:rFonts w:ascii="Arial" w:hAnsi="Arial" w:cs="Arial"/>
                <w:strike w:val="1"/>
                <w:sz w:val="16"/>
                <w:highlight w:val="green"/>
                <w:lang w:val="en-GB" w:bidi="en-GB" w:eastAsia="en-GB"/>
              </w:rPr>
            </w:pPr>
            <w:r>
              <w:rPr>
                <w:rFonts w:ascii="Arial" w:hAnsi="Arial" w:cs="Arial"/>
                <w:strike w:val="1"/>
                <w:sz w:val="16"/>
                <w:highlight w:val="green"/>
                <w:lang w:val="en-GB" w:bidi="en-GB" w:eastAsia="en-GB"/>
              </w:rPr>
              <w:t>0.54%</w:t>
            </w:r>
          </w:p>
          <w:p>
            <w:pPr>
              <w:jc w:val="center"/>
              <w:rPr>
                <w:rFonts w:ascii="Arial" w:hAnsi="Arial" w:cs="Arial"/>
                <w:sz w:val="16"/>
                <w:szCs w:val="16"/>
                <w:highlight w:val="green"/>
                <w:lang w:val="en-GB" w:bidi="en-GB" w:eastAsia="en-GB"/>
              </w:rPr>
            </w:pPr>
            <w:r>
              <w:rPr>
                <w:rFonts w:ascii="Arial" w:hAnsi="Arial" w:cs="Arial"/>
                <w:sz w:val="16"/>
                <w:highlight w:val="green"/>
                <w:lang w:val="en-GB" w:bidi="en-GB" w:eastAsia="en-GB"/>
              </w:rPr>
              <w:t>0.53%</w:t>
            </w:r>
          </w:p>
        </w:tc>
        <w:tc>
          <w:tcPr>
            <w:tcW w:w="708" w:type="dxa"/>
            <w:tcBorders>
              <w:top w:val="single" w:sz="4" w:space="0" w:shadow="0" w:frame="0"/>
              <w:left w:val="nil"/>
              <w:bottom w:val="single" w:sz="4" w:space="0" w:shadow="0" w:frame="0"/>
              <w:right w:val="single" w:sz="4" w:space="0" w:shadow="0" w:frame="0"/>
            </w:tcBorders>
            <w:shd w:val="clear" w:color="auto" w:fill="808080"/>
            <w:vAlign w:val="center"/>
          </w:tcPr>
          <w:p>
            <w:pPr>
              <w:jc w:val="center"/>
              <w:rPr>
                <w:rFonts w:ascii="Arial" w:hAnsi="Arial" w:cs="Arial"/>
                <w:sz w:val="16"/>
                <w:szCs w:val="16"/>
                <w:lang w:val="en-GB" w:bidi="en-GB" w:eastAsia="en-GB"/>
              </w:rPr>
            </w:pPr>
          </w:p>
        </w:tc>
        <w:tc>
          <w:tcPr>
            <w:tcW w:w="709" w:type="dxa"/>
            <w:tcBorders>
              <w:top w:val="single" w:sz="4" w:space="0" w:shadow="0" w:frame="0"/>
              <w:left w:val="nil"/>
              <w:bottom w:val="single" w:sz="4" w:space="0" w:shadow="0" w:frame="0"/>
              <w:right w:val="single" w:sz="4" w:space="0" w:shadow="0" w:frame="0"/>
            </w:tcBorders>
            <w:vAlign w:val="center"/>
          </w:tcPr>
          <w:p>
            <w:pPr>
              <w:jc w:val="center"/>
              <w:rPr>
                <w:rFonts w:ascii="Arial" w:hAnsi="Arial" w:cs="Arial"/>
                <w:sz w:val="2"/>
                <w:szCs w:val="2"/>
                <w:lang w:val="en-GB" w:bidi="en-GB" w:eastAsia="en-GB"/>
              </w:rPr>
            </w:pPr>
            <w:r>
              <w:rPr>
                <w:rFonts w:ascii="Arial" w:hAnsi="Arial" w:cs="Arial"/>
                <w:sz w:val="16"/>
                <w:lang w:val="en-GB" w:bidi="en-GB" w:eastAsia="en-GB"/>
              </w:rPr>
              <w:t xml:space="preserve">30 </w:t>
            </w:r>
            <w:r>
              <w:rPr>
                <w:rFonts w:ascii="Arial" w:hAnsi="Arial" w:cs="Arial"/>
                <w:sz w:val="16"/>
                <w:vertAlign w:val="superscript"/>
                <w:lang w:val="en-GB" w:bidi="en-GB" w:eastAsia="en-GB"/>
              </w:rPr>
              <w:t>4)</w:t>
            </w:r>
          </w:p>
        </w:tc>
        <w:tc>
          <w:tcPr>
            <w:tcW w:w="709" w:type="dxa"/>
            <w:tcBorders>
              <w:top w:val="single" w:sz="4" w:space="0" w:shadow="0" w:frame="0"/>
              <w:left w:val="nil"/>
              <w:bottom w:val="single" w:sz="4" w:space="0" w:shadow="0" w:frame="0"/>
              <w:right w:val="single" w:sz="4" w:space="0" w:shadow="0" w:frame="0"/>
            </w:tcBorders>
            <w:shd w:val="clear" w:color="auto" w:fill="808080" w:themeFill="background1" w:themeFillShade="80"/>
            <w:vAlign w:val="center"/>
          </w:tcPr>
          <w:p>
            <w:pPr>
              <w:jc w:val="center"/>
              <w:rPr>
                <w:rFonts w:ascii="Arial" w:hAnsi="Arial" w:cs="Arial"/>
                <w:sz w:val="2"/>
                <w:szCs w:val="2"/>
                <w:lang w:val="en-GB" w:bidi="en-GB" w:eastAsia="en-GB"/>
              </w:rPr>
            </w:pPr>
          </w:p>
        </w:tc>
        <w:tc>
          <w:tcPr>
            <w:tcW w:w="709" w:type="dxa"/>
            <w:tcBorders>
              <w:top w:val="single" w:sz="4" w:space="0" w:shadow="0" w:frame="0"/>
              <w:left w:val="nil"/>
              <w:bottom w:val="single" w:sz="4" w:space="0" w:shadow="0" w:frame="0"/>
              <w:right w:val="single" w:sz="4" w:space="0" w:shadow="0" w:frame="0"/>
            </w:tcBorders>
            <w:vAlign w:val="center"/>
          </w:tcPr>
          <w:p>
            <w:pPr>
              <w:jc w:val="center"/>
              <w:rPr>
                <w:rFonts w:ascii="Arial" w:hAnsi="Arial" w:cs="Arial"/>
                <w:sz w:val="16"/>
                <w:szCs w:val="16"/>
                <w:lang w:val="en-GB" w:bidi="en-GB" w:eastAsia="en-GB"/>
              </w:rPr>
            </w:pPr>
            <w:r>
              <w:rPr>
                <w:rFonts w:ascii="Arial" w:hAnsi="Arial" w:cs="Arial"/>
                <w:sz w:val="16"/>
                <w:lang w:val="en-GB" w:bidi="en-GB" w:eastAsia="en-GB"/>
              </w:rPr>
              <w:t xml:space="preserve">15 </w:t>
            </w:r>
            <w:r>
              <w:rPr>
                <w:rFonts w:ascii="Arial" w:hAnsi="Arial" w:cs="Arial"/>
                <w:sz w:val="16"/>
                <w:vertAlign w:val="superscript"/>
                <w:lang w:val="en-GB" w:bidi="en-GB" w:eastAsia="en-GB"/>
              </w:rPr>
              <w:t>4)</w:t>
            </w:r>
          </w:p>
        </w:tc>
      </w:tr>
      <w:tr>
        <w:trPr>
          <w:trHeight w:hRule="atLeast" w:val="465"/>
        </w:trPr>
        <w:tc>
          <w:tcPr>
            <w:tcW w:w="363" w:type="dxa"/>
            <w:tcBorders>
              <w:top w:val="single" w:sz="4" w:space="0" w:shadow="0" w:frame="0"/>
              <w:left w:val="nil"/>
              <w:bottom w:val="nil"/>
              <w:right w:val="nil"/>
            </w:tcBorders>
            <w:noWrap/>
            <w:vAlign w:val="center"/>
            <w:hideMark/>
          </w:tcPr>
          <w:p>
            <w:pPr>
              <w:rPr>
                <w:rFonts w:ascii="Arial" w:hAnsi="Arial" w:cs="Arial"/>
                <w:sz w:val="22"/>
                <w:szCs w:val="22"/>
                <w:lang w:val="en-GB" w:bidi="en-GB" w:eastAsia="en-GB"/>
              </w:rPr>
            </w:pPr>
          </w:p>
        </w:tc>
        <w:tc>
          <w:tcPr>
            <w:tcW w:w="3609" w:type="dxa"/>
            <w:gridSpan w:val="2"/>
            <w:tcBorders>
              <w:top w:val="single" w:sz="4" w:space="0" w:shadow="0" w:frame="0"/>
              <w:left w:val="single" w:sz="4" w:space="0" w:shadow="0" w:frame="0"/>
              <w:bottom w:val="single" w:sz="4" w:space="0" w:shadow="0" w:frame="0"/>
              <w:right w:val="single" w:sz="4" w:space="0" w:shadow="0" w:frame="0"/>
            </w:tcBorders>
            <w:vAlign w:val="center"/>
            <w:hideMark/>
          </w:tcPr>
          <w:p>
            <w:pPr>
              <w:rPr>
                <w:rFonts w:ascii="Arial" w:hAnsi="Arial" w:cs="Arial"/>
                <w:b w:val="1"/>
                <w:sz w:val="16"/>
                <w:lang w:val="en-GB" w:bidi="en-GB" w:eastAsia="en-GB"/>
              </w:rPr>
            </w:pPr>
            <w:r>
              <w:rPr>
                <w:rFonts w:ascii="Arial" w:hAnsi="Arial" w:cs="Arial"/>
                <w:b w:val="1"/>
                <w:sz w:val="16"/>
                <w:lang w:val="en-GB" w:bidi="en-GB" w:eastAsia="en-GB"/>
              </w:rPr>
              <w:t>Total with lung mesothelioma /</w:t>
            </w:r>
          </w:p>
          <w:p>
            <w:pPr>
              <w:rPr>
                <w:rFonts w:ascii="Arial" w:hAnsi="Arial" w:cs="Arial"/>
                <w:b w:val="1"/>
                <w:bCs w:val="1"/>
                <w:sz w:val="16"/>
                <w:szCs w:val="16"/>
                <w:lang w:val="en-GB" w:bidi="en-GB" w:eastAsia="en-GB"/>
              </w:rPr>
            </w:pPr>
            <w:r>
              <w:rPr>
                <w:rFonts w:ascii="Arial" w:hAnsi="Arial" w:cs="Arial"/>
                <w:b w:val="1"/>
                <w:sz w:val="16"/>
                <w:lang w:val="en-GB" w:bidi="en-GB" w:eastAsia="en-GB"/>
              </w:rPr>
              <w:t>pediatric oncology</w:t>
            </w:r>
          </w:p>
        </w:tc>
        <w:tc>
          <w:tcPr>
            <w:tcW w:w="993" w:type="dxa"/>
            <w:tcBorders>
              <w:top w:val="nil"/>
              <w:left w:val="nil"/>
              <w:bottom w:val="single" w:sz="4" w:space="0" w:shadow="0" w:frame="0"/>
              <w:right w:val="single" w:sz="4" w:space="0" w:shadow="0" w:frame="0"/>
            </w:tcBorders>
            <w:vAlign w:val="center"/>
            <w:hideMark/>
          </w:tcPr>
          <w:p>
            <w:pPr>
              <w:jc w:val="center"/>
              <w:rPr>
                <w:rFonts w:ascii="Arial" w:hAnsi="Arial" w:cs="Arial"/>
                <w:b w:val="1"/>
                <w:bCs w:val="1"/>
                <w:strike w:val="1"/>
                <w:sz w:val="16"/>
                <w:szCs w:val="16"/>
                <w:highlight w:val="green"/>
                <w:lang w:val="en-GB" w:bidi="en-GB" w:eastAsia="en-GB"/>
              </w:rPr>
            </w:pPr>
            <w:r>
              <w:rPr>
                <w:rFonts w:ascii="Arial" w:hAnsi="Arial" w:cs="Arial"/>
                <w:b w:val="1"/>
                <w:bCs w:val="1"/>
                <w:strike w:val="1"/>
                <w:sz w:val="16"/>
                <w:szCs w:val="16"/>
                <w:highlight w:val="green"/>
                <w:lang w:val="en-GB" w:bidi="en-GB" w:eastAsia="en-GB"/>
              </w:rPr>
              <w:t>455.110</w:t>
            </w:r>
          </w:p>
          <w:p>
            <w:pPr>
              <w:jc w:val="center"/>
              <w:rPr>
                <w:rFonts w:ascii="Arial" w:hAnsi="Arial" w:cs="Arial"/>
                <w:b w:val="1"/>
                <w:bCs w:val="1"/>
                <w:sz w:val="16"/>
                <w:szCs w:val="16"/>
                <w:highlight w:val="cyan"/>
                <w:lang w:val="en-GB" w:bidi="en-GB" w:eastAsia="en-GB"/>
              </w:rPr>
            </w:pPr>
            <w:r>
              <w:rPr>
                <w:rFonts w:ascii="Arial" w:hAnsi="Arial" w:cs="Arial"/>
                <w:b w:val="1"/>
                <w:bCs w:val="1"/>
                <w:sz w:val="16"/>
                <w:szCs w:val="16"/>
                <w:highlight w:val="green"/>
                <w:lang w:val="en-GB" w:bidi="en-GB" w:eastAsia="en-GB"/>
              </w:rPr>
              <w:t>459.580</w:t>
            </w:r>
          </w:p>
        </w:tc>
        <w:tc>
          <w:tcPr>
            <w:tcW w:w="1131" w:type="dxa"/>
            <w:tcBorders>
              <w:top w:val="nil"/>
              <w:left w:val="nil"/>
              <w:bottom w:val="single" w:sz="4" w:space="0" w:shadow="0" w:frame="0"/>
              <w:right w:val="single" w:sz="4" w:space="0" w:shadow="0" w:frame="0"/>
            </w:tcBorders>
            <w:vAlign w:val="center"/>
            <w:hideMark/>
          </w:tcPr>
          <w:p>
            <w:pPr>
              <w:jc w:val="center"/>
              <w:rPr>
                <w:rFonts w:ascii="Arial" w:hAnsi="Arial" w:cs="Arial"/>
                <w:b w:val="1"/>
                <w:bCs w:val="1"/>
                <w:strike w:val="1"/>
                <w:sz w:val="16"/>
                <w:szCs w:val="16"/>
                <w:highlight w:val="green"/>
                <w:lang w:val="en-GB" w:bidi="en-GB" w:eastAsia="en-GB"/>
              </w:rPr>
            </w:pPr>
            <w:r>
              <w:rPr>
                <w:rFonts w:ascii="Arial" w:hAnsi="Arial" w:cs="Arial"/>
                <w:b w:val="1"/>
                <w:bCs w:val="1"/>
                <w:strike w:val="1"/>
                <w:sz w:val="16"/>
                <w:szCs w:val="16"/>
                <w:highlight w:val="green"/>
                <w:lang w:val="en-GB" w:bidi="en-GB" w:eastAsia="en-GB"/>
              </w:rPr>
              <w:t>113.22%</w:t>
            </w:r>
          </w:p>
          <w:p>
            <w:pPr>
              <w:jc w:val="center"/>
              <w:rPr>
                <w:rFonts w:ascii="Arial" w:hAnsi="Arial" w:cs="Arial"/>
                <w:b w:val="1"/>
                <w:bCs w:val="1"/>
                <w:sz w:val="16"/>
                <w:szCs w:val="16"/>
                <w:highlight w:val="green"/>
                <w:lang w:val="en-GB" w:bidi="en-GB" w:eastAsia="en-GB"/>
              </w:rPr>
            </w:pPr>
            <w:r>
              <w:rPr>
                <w:rFonts w:ascii="Arial" w:hAnsi="Arial" w:cs="Arial"/>
                <w:b w:val="1"/>
                <w:bCs w:val="1"/>
                <w:sz w:val="16"/>
                <w:szCs w:val="16"/>
                <w:highlight w:val="green"/>
                <w:lang w:val="en-GB" w:bidi="en-GB" w:eastAsia="en-GB"/>
              </w:rPr>
              <w:t>113.08%</w:t>
            </w:r>
          </w:p>
        </w:tc>
        <w:tc>
          <w:tcPr>
            <w:tcW w:w="708" w:type="dxa"/>
            <w:tcBorders>
              <w:top w:val="nil"/>
              <w:left w:val="nil"/>
              <w:bottom w:val="nil"/>
              <w:right w:val="nil"/>
            </w:tcBorders>
            <w:noWrap/>
            <w:vAlign w:val="center"/>
            <w:hideMark/>
          </w:tcPr>
          <w:p>
            <w:pPr>
              <w:rPr>
                <w:rFonts w:ascii="Arial" w:hAnsi="Arial" w:cs="Arial"/>
                <w:lang w:val="en-GB" w:bidi="en-GB" w:eastAsia="en-GB"/>
              </w:rPr>
            </w:pPr>
          </w:p>
        </w:tc>
        <w:tc>
          <w:tcPr>
            <w:tcW w:w="709" w:type="dxa"/>
            <w:tcBorders>
              <w:top w:val="nil"/>
              <w:left w:val="nil"/>
              <w:bottom w:val="nil"/>
              <w:right w:val="nil"/>
            </w:tcBorders>
            <w:noWrap/>
            <w:vAlign w:val="center"/>
            <w:hideMark/>
          </w:tcPr>
          <w:p>
            <w:pPr>
              <w:rPr>
                <w:rFonts w:ascii="Arial" w:hAnsi="Arial" w:cs="Arial"/>
                <w:lang w:val="en-GB" w:bidi="en-GB" w:eastAsia="en-GB"/>
              </w:rPr>
            </w:pPr>
          </w:p>
        </w:tc>
        <w:tc>
          <w:tcPr>
            <w:tcW w:w="709" w:type="dxa"/>
            <w:tcBorders>
              <w:top w:val="nil"/>
              <w:left w:val="nil"/>
              <w:bottom w:val="nil"/>
              <w:right w:val="nil"/>
            </w:tcBorders>
            <w:noWrap/>
            <w:vAlign w:val="center"/>
            <w:hideMark/>
          </w:tcPr>
          <w:p>
            <w:pPr>
              <w:rPr>
                <w:rFonts w:ascii="Arial" w:hAnsi="Arial" w:cs="Arial"/>
                <w:lang w:val="en-GB" w:bidi="en-GB" w:eastAsia="en-GB"/>
              </w:rPr>
            </w:pPr>
          </w:p>
        </w:tc>
        <w:tc>
          <w:tcPr>
            <w:tcW w:w="709" w:type="dxa"/>
            <w:tcBorders>
              <w:top w:val="nil"/>
              <w:left w:val="nil"/>
              <w:bottom w:val="nil"/>
              <w:right w:val="nil"/>
            </w:tcBorders>
            <w:noWrap/>
            <w:vAlign w:val="center"/>
            <w:hideMark/>
          </w:tcPr>
          <w:p>
            <w:pPr>
              <w:rPr>
                <w:rFonts w:ascii="Arial" w:hAnsi="Arial" w:cs="Arial"/>
                <w:lang w:val="en-GB" w:bidi="en-GB" w:eastAsia="en-GB"/>
              </w:rPr>
            </w:pPr>
          </w:p>
        </w:tc>
      </w:tr>
    </w:tbl>
    <w:p>
      <w:pPr>
        <w:rPr>
          <w:rFonts w:ascii="Arial" w:hAnsi="Arial" w:cs="Arial"/>
          <w:b w:val="1"/>
          <w:lang w:val="en-GB" w:bidi="en-GB" w:eastAsia="en-GB"/>
        </w:rPr>
      </w:pPr>
    </w:p>
    <w:p>
      <w:pPr>
        <w:rPr>
          <w:rFonts w:ascii="Arial" w:hAnsi="Arial" w:cs="Arial"/>
          <w:sz w:val="16"/>
          <w:lang w:val="en-GB" w:bidi="en-GB" w:eastAsia="en-GB"/>
        </w:rPr>
      </w:pPr>
      <w:r>
        <w:rPr>
          <w:rFonts w:ascii="Arial" w:hAnsi="Arial" w:cs="Arial"/>
          <w:sz w:val="18"/>
          <w:szCs w:val="18"/>
          <w:vertAlign w:val="superscript"/>
          <w:lang w:val="en-GB"/>
        </w:rPr>
        <w:t>2)</w:t>
      </w:r>
      <w:r>
        <w:rPr>
          <w:rFonts w:ascii="Arial" w:hAnsi="Arial" w:cs="Arial"/>
          <w:sz w:val="18"/>
          <w:szCs w:val="18"/>
          <w:lang w:val="en-GB"/>
        </w:rPr>
        <w:t xml:space="preserve"> </w:t>
      </w:r>
      <w:r>
        <w:rPr>
          <w:rFonts w:ascii="Arial" w:hAnsi="Arial" w:cs="Arial"/>
          <w:sz w:val="16"/>
          <w:lang w:val="en-GB" w:bidi="en-GB" w:eastAsia="en-GB"/>
        </w:rPr>
        <w:t>Modified according to the incidences reported by the Robert Koch Institute (RKI) 2008</w:t>
      </w:r>
    </w:p>
    <w:p>
      <w:pPr>
        <w:rPr>
          <w:rFonts w:ascii="Arial" w:hAnsi="Arial" w:cs="Arial"/>
          <w:sz w:val="16"/>
          <w:lang w:val="en-GB" w:bidi="en-GB" w:eastAsia="en-GB"/>
        </w:rPr>
      </w:pPr>
      <w:r>
        <w:rPr>
          <w:rFonts w:ascii="Arial" w:hAnsi="Arial" w:cs="Arial"/>
          <w:sz w:val="18"/>
          <w:szCs w:val="18"/>
          <w:vertAlign w:val="superscript"/>
          <w:lang w:val="en-GB"/>
        </w:rPr>
        <w:t>3)</w:t>
      </w:r>
      <w:r>
        <w:rPr>
          <w:rFonts w:ascii="Arial" w:hAnsi="Arial" w:cs="Arial"/>
          <w:sz w:val="16"/>
          <w:szCs w:val="16"/>
          <w:vertAlign w:val="superscript"/>
          <w:lang w:val="en-GB"/>
        </w:rPr>
        <w:t xml:space="preserve"> </w:t>
      </w:r>
      <w:r>
        <w:rPr>
          <w:rFonts w:ascii="Arial" w:hAnsi="Arial" w:cs="Arial"/>
          <w:sz w:val="16"/>
          <w:szCs w:val="16"/>
          <w:lang w:val="en-GB"/>
        </w:rPr>
        <w:t xml:space="preserve"> </w:t>
      </w:r>
      <w:r>
        <w:rPr>
          <w:rFonts w:ascii="Arial" w:hAnsi="Arial" w:cs="Arial"/>
          <w:sz w:val="2"/>
          <w:lang w:val="en-GB" w:bidi="en-GB" w:eastAsia="en-GB"/>
        </w:rPr>
        <w:t>P</w:t>
      </w:r>
      <w:r>
        <w:rPr>
          <w:rFonts w:ascii="Arial" w:hAnsi="Arial" w:cs="Arial"/>
          <w:sz w:val="16"/>
          <w:lang w:val="en-GB" w:bidi="en-GB" w:eastAsia="en-GB"/>
        </w:rPr>
        <w:t>At the present time, no minimum requirements have been defined for the level of competence “S”.</w:t>
      </w:r>
    </w:p>
    <w:p>
      <w:pPr>
        <w:ind w:right="-354"/>
        <w:rPr>
          <w:rFonts w:ascii="Arial" w:hAnsi="Arial" w:cs="Arial"/>
          <w:sz w:val="16"/>
          <w:lang w:val="en-GB" w:bidi="en-GB" w:eastAsia="en-GB"/>
        </w:rPr>
      </w:pPr>
      <w:r>
        <w:rPr>
          <w:rFonts w:ascii="Arial" w:hAnsi="Arial" w:cs="Arial"/>
          <w:sz w:val="18"/>
          <w:szCs w:val="18"/>
          <w:vertAlign w:val="superscript"/>
          <w:lang w:val="en-GB"/>
        </w:rPr>
        <w:t>4)</w:t>
      </w:r>
      <w:r>
        <w:rPr>
          <w:rFonts w:ascii="Arial" w:hAnsi="Arial" w:cs="Arial"/>
          <w:sz w:val="16"/>
          <w:szCs w:val="16"/>
          <w:vertAlign w:val="superscript"/>
          <w:lang w:val="en-GB"/>
        </w:rPr>
        <w:t xml:space="preserve"> </w:t>
      </w:r>
      <w:r>
        <w:rPr>
          <w:rFonts w:ascii="Arial" w:hAnsi="Arial" w:cs="Arial"/>
          <w:sz w:val="16"/>
          <w:szCs w:val="16"/>
          <w:lang w:val="en-GB"/>
        </w:rPr>
        <w:t xml:space="preserve"> </w:t>
      </w:r>
      <w:r>
        <w:rPr>
          <w:rFonts w:ascii="Arial" w:hAnsi="Arial" w:cs="Arial"/>
          <w:sz w:val="16"/>
          <w:lang w:val="en-GB" w:bidi="en-GB" w:eastAsia="en-GB"/>
        </w:rPr>
        <w:t xml:space="preserve">Centre cases  (the share in % is only credited to the scope if the minimum target of the centre cases is reached or </w:t>
      </w:r>
    </w:p>
    <w:p>
      <w:pPr>
        <w:ind w:right="-354"/>
        <w:rPr>
          <w:rFonts w:ascii="Arial" w:hAnsi="Arial" w:cs="Arial"/>
          <w:sz w:val="16"/>
          <w:szCs w:val="16"/>
          <w:lang w:val="en-GB" w:bidi="en-GB" w:eastAsia="en-GB"/>
        </w:rPr>
      </w:pPr>
      <w:r>
        <w:rPr>
          <w:rFonts w:ascii="Arial" w:hAnsi="Arial" w:cs="Arial"/>
          <w:sz w:val="16"/>
          <w:lang w:val="en-GB" w:bidi="en-GB" w:eastAsia="en-GB"/>
        </w:rPr>
        <w:t>exceeded)</w:t>
      </w:r>
    </w:p>
    <w:p>
      <w:pPr>
        <w:ind w:right="-354"/>
        <w:rPr>
          <w:rFonts w:ascii="Arial" w:hAnsi="Arial" w:cs="Arial"/>
          <w:sz w:val="16"/>
          <w:szCs w:val="16"/>
          <w:lang w:val="en-GB" w:bidi="en-GB" w:eastAsia="en-GB"/>
        </w:rPr>
      </w:pPr>
      <w:r>
        <w:rPr>
          <w:rFonts w:ascii="Arial" w:hAnsi="Arial" w:cs="Arial"/>
          <w:sz w:val="18"/>
          <w:szCs w:val="18"/>
          <w:vertAlign w:val="superscript"/>
          <w:lang w:val="en-GB" w:bidi="en-GB" w:eastAsia="en-GB"/>
        </w:rPr>
        <w:t>5)</w:t>
      </w:r>
      <w:r>
        <w:rPr>
          <w:rFonts w:ascii="Arial" w:hAnsi="Arial" w:cs="Arial"/>
          <w:sz w:val="16"/>
          <w:szCs w:val="16"/>
          <w:vertAlign w:val="superscript"/>
          <w:lang w:val="en-GB" w:bidi="en-GB" w:eastAsia="en-GB"/>
        </w:rPr>
        <w:t xml:space="preserve"> </w:t>
      </w:r>
      <w:r>
        <w:rPr>
          <w:rFonts w:ascii="Arial" w:hAnsi="Arial" w:cs="Arial"/>
          <w:sz w:val="16"/>
          <w:szCs w:val="16"/>
          <w:lang w:val="en-GB" w:bidi="en-GB" w:eastAsia="en-GB"/>
        </w:rPr>
        <w:t xml:space="preserve"> Patient cases   (the share in % is only credited to the scope if the minimum target of patient cases is reached or exceeded).</w:t>
      </w:r>
    </w:p>
    <w:p>
      <w:pPr>
        <w:rPr>
          <w:rFonts w:ascii="Arial" w:hAnsi="Arial" w:cs="Arial"/>
          <w:sz w:val="16"/>
          <w:szCs w:val="16"/>
          <w:lang w:val="en-GB" w:bidi="en-GB" w:eastAsia="en-GB"/>
        </w:rPr>
      </w:pPr>
      <w:r>
        <w:rPr>
          <w:rFonts w:ascii="Arial" w:hAnsi="Arial" w:cs="Arial"/>
          <w:sz w:val="18"/>
          <w:szCs w:val="18"/>
          <w:vertAlign w:val="superscript"/>
          <w:lang w:val="en-GB" w:bidi="en-GB" w:eastAsia="en-GB"/>
        </w:rPr>
        <w:t xml:space="preserve">6) </w:t>
      </w:r>
      <w:r>
        <w:rPr>
          <w:rFonts w:ascii="Arial" w:hAnsi="Arial" w:cs="Arial"/>
          <w:sz w:val="16"/>
          <w:szCs w:val="16"/>
          <w:lang w:val="en-GB" w:bidi="en-GB" w:eastAsia="en-GB"/>
        </w:rPr>
        <w:t>The Mesothelioma entity is an addendum (A) to the Lung Cancer Center (not a module - M). The mesothelioma entity can only be selected in conjunction with a certified lung cancer center (stand-alone certification or in conjunction with an oncology center is not possible). The mesothelioma entity is not included in cell O53 because it is neither a center nor a module.</w:t>
      </w:r>
    </w:p>
    <w:p>
      <w:pPr>
        <w:rPr>
          <w:rFonts w:ascii="Arial" w:hAnsi="Arial" w:cs="Arial"/>
          <w:sz w:val="16"/>
          <w:szCs w:val="16"/>
          <w:lang w:val="en-GB" w:bidi="en-GB" w:eastAsia="en-GB"/>
        </w:rPr>
      </w:pPr>
      <w:r>
        <w:rPr>
          <w:rFonts w:ascii="Arial" w:hAnsi="Arial" w:cs="Arial"/>
          <w:sz w:val="18"/>
          <w:szCs w:val="18"/>
          <w:vertAlign w:val="superscript"/>
          <w:lang w:val="en-GB" w:bidi="en-GB" w:eastAsia="en-GB"/>
        </w:rPr>
        <w:t xml:space="preserve">7 </w:t>
      </w:r>
      <w:r>
        <w:rPr>
          <w:rFonts w:ascii="Arial" w:hAnsi="Arial" w:cs="Arial"/>
          <w:sz w:val="16"/>
          <w:szCs w:val="16"/>
          <w:lang w:val="en-GB" w:bidi="en-GB" w:eastAsia="en-GB"/>
        </w:rPr>
        <w:t>In order to be able to certify the anal cancer module, it is mandatory that a colorectal cancer centre be certified or be certified for the first time in parallel. Transit status is not possible for anal cancer</w:t>
      </w:r>
    </w:p>
    <w:p>
      <w:pPr>
        <w:rPr>
          <w:rFonts w:ascii="Arial" w:hAnsi="Arial" w:cs="Arial"/>
          <w:sz w:val="16"/>
          <w:szCs w:val="16"/>
          <w:lang w:val="en-GB" w:bidi="en-GB" w:eastAsia="en-GB"/>
        </w:rPr>
      </w:pPr>
      <w:r>
        <w:rPr>
          <w:rFonts w:ascii="Arial" w:hAnsi="Arial" w:cs="Arial"/>
          <w:sz w:val="18"/>
          <w:szCs w:val="18"/>
          <w:vertAlign w:val="superscript"/>
          <w:lang w:val="en-GB" w:bidi="en-GB" w:eastAsia="en-GB"/>
        </w:rPr>
        <w:t>8)</w:t>
      </w:r>
      <w:r>
        <w:rPr>
          <w:rFonts w:ascii="Arial" w:hAnsi="Arial" w:cs="Arial"/>
          <w:sz w:val="16"/>
          <w:szCs w:val="16"/>
          <w:lang w:val="en-GB" w:bidi="en-GB" w:eastAsia="en-GB"/>
        </w:rPr>
        <w:t xml:space="preserve"> In order to certify the Penis Cancers Module, a Prostate Cancer Centre must be certified or be initially certified at the same time. Transit status is not possible for Penis Cancer.</w:t>
      </w:r>
    </w:p>
    <w:p>
      <w:pPr>
        <w:rPr>
          <w:rFonts w:ascii="Arial" w:hAnsi="Arial" w:cs="Arial"/>
          <w:b w:val="1"/>
          <w:lang w:val="en-GB" w:bidi="en-GB" w:eastAsia="en-GB"/>
        </w:rPr>
      </w:pPr>
      <w:r>
        <w:rPr>
          <w:rFonts w:ascii="Arial" w:hAnsi="Arial" w:cs="Arial"/>
          <w:b w:val="1"/>
          <w:lang w:val="en-GB" w:bidi="en-GB" w:eastAsia="en-GB"/>
        </w:rPr>
        <w:br w:type="page"/>
      </w:r>
    </w:p>
    <w:p>
      <w:pPr>
        <w:rPr>
          <w:rFonts w:ascii="Arial" w:hAnsi="Arial" w:cs="Arial"/>
          <w:b w:val="1"/>
          <w:lang w:val="en-GB" w:bidi="en-GB" w:eastAsia="en-GB"/>
        </w:rPr>
      </w:pPr>
    </w:p>
    <w:p>
      <w:pPr>
        <w:rPr>
          <w:rFonts w:ascii="Arial" w:hAnsi="Arial" w:cs="Arial"/>
          <w:lang w:val="en-GB" w:bidi="en-GB" w:eastAsia="en-GB"/>
        </w:rPr>
      </w:pPr>
      <w:r>
        <w:rPr>
          <w:rFonts w:ascii="Arial" w:hAnsi="Arial" w:cs="Arial"/>
          <w:b w:val="1"/>
          <w:lang w:val="en-GB"/>
        </w:rPr>
        <w:t>Information on the</w:t>
      </w:r>
      <w:r>
        <w:rPr>
          <w:rFonts w:ascii="Arial" w:hAnsi="Arial" w:cs="Arial"/>
          <w:b w:val="1"/>
          <w:lang w:val="en-GB" w:bidi="en-GB" w:eastAsia="en-GB"/>
        </w:rPr>
        <w:t xml:space="preserve"> Oncology Centre (OC)</w:t>
      </w:r>
    </w:p>
    <w:p>
      <w:pPr>
        <w:rPr>
          <w:rFonts w:ascii="Arial" w:hAnsi="Arial" w:cs="Arial"/>
          <w:lang w:val="en-GB" w:bidi="en-GB" w:eastAsia="en-GB"/>
        </w:rPr>
      </w:pPr>
    </w:p>
    <w:p>
      <w:pPr>
        <w:tabs>
          <w:tab w:val="center" w:pos="4536" w:leader="none"/>
          <w:tab w:val="right" w:pos="9072" w:leader="none"/>
        </w:tabs>
        <w:rPr>
          <w:rFonts w:ascii="Arial" w:hAnsi="Arial" w:cs="Arial"/>
          <w:lang w:val="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5" w:name="_Hlk184140220" w:colFirst="0" w:colLast="1"/>
            <w:r>
              <w:rPr>
                <w:rFonts w:ascii="Arial" w:hAnsi="Arial" w:cs="Arial"/>
                <w:lang w:val="en-GB"/>
              </w:rPr>
              <w:t xml:space="preserve">Centre </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rPr>
              <w:t>Director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Coordinator of the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tabs>
          <w:tab w:val="center" w:pos="4536" w:leader="none"/>
          <w:tab w:val="right" w:pos="9072" w:leader="none"/>
        </w:tabs>
        <w:rPr>
          <w:rFonts w:ascii="Arial" w:hAnsi="Arial" w:cs="Arial"/>
          <w:lang w:val="en-GB"/>
        </w:rPr>
      </w:pPr>
      <w:bookmarkEnd w:id="5"/>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6" w:name="_Hlk184137067" w:colFirst="0" w:colLast="1"/>
            <w:r>
              <w:rPr>
                <w:rFonts w:ascii="Arial" w:hAnsi="Arial" w:cs="Arial"/>
                <w:lang w:val="en-GB"/>
              </w:rPr>
              <w:t>Clinical site 1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blCellSpacing w:w="15" w:type="dxa"/>
        </w:trPr>
        <w:tc>
          <w:tcPr>
            <w:tcW w:w="3270" w:type="dxa"/>
            <w:tcMar>
              <w:top w:w="0" w:type="dxa"/>
              <w:left w:w="70" w:type="dxa"/>
              <w:bottom w:w="0" w:type="dxa"/>
              <w:right w:w="70" w:type="dxa"/>
            </w:tcMar>
            <w:vAlign w:val="center"/>
            <w:hideMark/>
          </w:tcPr>
          <w:p>
            <w:pPr>
              <w:spacing w:before="57" w:after="57" w:beforeAutospacing="0" w:afterAutospacing="0"/>
            </w:pPr>
          </w:p>
        </w:tc>
        <w:tc>
          <w:tcPr>
            <w:tcW w:w="505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pPr>
          </w:p>
        </w:tc>
      </w:tr>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Clinical site 2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cs="Arial"/>
          <w:lang w:val="en-GB" w:bidi="en-GB" w:eastAsia="en-GB"/>
        </w:rPr>
      </w:pPr>
      <w:bookmarkEnd w:id="6"/>
    </w:p>
    <w:p>
      <w:pPr>
        <w:rPr>
          <w:rFonts w:ascii="Arial" w:hAnsi="Arial" w:cs="Arial"/>
          <w:lang w:val="en-GB"/>
        </w:rPr>
      </w:pPr>
    </w:p>
    <w:p>
      <w:pPr>
        <w:rPr>
          <w:rFonts w:ascii="Arial" w:hAnsi="Arial" w:cs="Arial"/>
          <w:lang w:val="en-GB"/>
        </w:rPr>
      </w:pPr>
      <w:bookmarkStart w:id="7" w:name="_Hlk184140235"/>
    </w:p>
    <w:p>
      <w:pPr>
        <w:outlineLvl w:val="0"/>
        <w:rPr>
          <w:rFonts w:ascii="Arial" w:hAnsi="Arial" w:cs="Arial"/>
          <w:lang w:val="en-GB"/>
        </w:rPr>
      </w:pPr>
      <w:r>
        <w:rPr>
          <w:rFonts w:ascii="Arial" w:hAnsi="Arial" w:cs="Arial"/>
          <w:b w:val="1"/>
          <w:lang w:val="en-GB"/>
        </w:rPr>
        <w:t xml:space="preserve">Network/main cooperation partners </w:t>
      </w:r>
    </w:p>
    <w:p>
      <w:pPr>
        <w:rPr>
          <w:rFonts w:ascii="Arial" w:hAnsi="Arial" w:cs="Arial"/>
          <w:lang w:val="en-GB"/>
        </w:rPr>
      </w:pPr>
    </w:p>
    <w:p>
      <w:pPr>
        <w:rPr>
          <w:rFonts w:ascii="Arial" w:hAnsi="Arial" w:cs="Arial"/>
          <w:lang w:val="en-GB"/>
        </w:rPr>
      </w:pPr>
      <w:r>
        <w:rPr>
          <w:rFonts w:ascii="Arial" w:hAnsi="Arial" w:cs="Arial"/>
          <w:lang w:val="en-GB"/>
        </w:rPr>
        <w:t xml:space="preserve">The (main) cooperation partners of Breast Cancer Centres are registered in a master data sheet with the certification agency OnkoZert. All information about this registration is published on </w:t>
      </w:r>
      <w:hyperlink xmlns:r="http://schemas.openxmlformats.org/officeDocument/2006/relationships" r:id="R4">
        <w:r>
          <w:rPr>
            <w:rFonts w:ascii="Arial" w:hAnsi="Arial" w:cs="Arial"/>
            <w:color w:val="0000FF"/>
            <w:u w:val="single"/>
            <w:lang w:val="en-GB"/>
          </w:rPr>
          <w:t>www.oncomap.de</w:t>
        </w:r>
      </w:hyperlink>
      <w:r>
        <w:rPr>
          <w:rFonts w:ascii="Arial" w:hAnsi="Arial" w:cs="Arial"/>
          <w:lang w:val="en-GB"/>
        </w:rPr>
        <w:t>. The Centre is obliged to report all new and also all no longer valid cooperations. Any other updates (e.g. changes to management, contact data.) must be indicated in the corrected master data sheet in the run-up to the annual surveillance audit. The master data sheet for the registration of cooperation partners can be obtained from OnkoZert.</w:t>
      </w:r>
    </w:p>
    <w:p>
      <w:pPr>
        <w:rPr>
          <w:rFonts w:ascii="Arial" w:hAnsi="Arial" w:cs="Arial"/>
          <w:lang w:val="en-GB" w:bidi="en-GB" w:eastAsia="en-GB"/>
        </w:rPr>
      </w:pPr>
      <w:bookmarkEnd w:id="7"/>
    </w:p>
    <w:p>
      <w:pPr>
        <w:rPr>
          <w:rFonts w:ascii="Arial" w:hAnsi="Arial" w:cs="Arial"/>
          <w:lang w:val="en-GB" w:bidi="en-GB" w:eastAsia="en-GB"/>
        </w:rPr>
      </w:pPr>
      <w:r>
        <w:rPr>
          <w:rFonts w:ascii="Arial" w:hAnsi="Arial" w:cs="Arial"/>
          <w:lang w:val="en-GB" w:bidi="en-GB" w:eastAsia="en-GB"/>
        </w:rPr>
        <w:br w:type="page"/>
      </w:r>
    </w:p>
    <w:p>
      <w:pPr>
        <w:rPr>
          <w:rFonts w:ascii="Arial" w:hAnsi="Arial" w:cs="Arial"/>
          <w:b w:val="1"/>
          <w:lang w:val="en-GB" w:bidi="en-GB" w:eastAsia="en-GB"/>
        </w:rPr>
      </w:pPr>
      <w:r>
        <w:rPr>
          <w:rFonts w:ascii="Arial" w:hAnsi="Arial" w:cs="Arial"/>
          <w:b w:val="1"/>
          <w:lang w:val="en-GB" w:bidi="en-GB" w:eastAsia="en-GB"/>
        </w:rPr>
        <w:t>Table of Contents</w:t>
      </w:r>
    </w:p>
    <w:p>
      <w:pPr>
        <w:rPr>
          <w:rFonts w:ascii="Arial" w:hAnsi="Arial" w:cs="Arial"/>
          <w:lang w:val="en-GB" w:bidi="en-GB" w:eastAsia="en-GB"/>
        </w:rPr>
      </w:pPr>
    </w:p>
    <w:p>
      <w:pPr>
        <w:numPr>
          <w:ilvl w:val="0"/>
          <w:numId w:val="2"/>
        </w:numPr>
        <w:tabs>
          <w:tab w:val="left" w:pos="5655" w:leader="none"/>
        </w:tabs>
        <w:rPr>
          <w:rFonts w:ascii="Arial" w:hAnsi="Arial" w:cs="Arial"/>
          <w:lang w:val="en-GB" w:bidi="en-GB" w:eastAsia="en-GB"/>
        </w:rPr>
      </w:pPr>
      <w:r>
        <w:rPr>
          <w:rFonts w:ascii="Arial" w:hAnsi="Arial" w:cs="Arial"/>
          <w:lang w:val="en-GB" w:bidi="en-GB" w:eastAsia="en-GB"/>
        </w:rPr>
        <w:t>General Information on the centre</w:t>
      </w:r>
    </w:p>
    <w:p>
      <w:pPr>
        <w:numPr>
          <w:ilvl w:val="1"/>
          <w:numId w:val="2"/>
        </w:numPr>
        <w:tabs>
          <w:tab w:val="left" w:pos="993" w:leader="none"/>
        </w:tabs>
        <w:spacing w:after="60" w:beforeAutospacing="0" w:afterAutospacing="0"/>
        <w:rPr>
          <w:rFonts w:ascii="Arial" w:hAnsi="Arial" w:cs="Arial"/>
          <w:lang w:val="en-GB" w:bidi="en-GB" w:eastAsia="en-GB"/>
        </w:rPr>
      </w:pPr>
      <w:r>
        <w:rPr>
          <w:rFonts w:ascii="Arial" w:hAnsi="Arial" w:cs="Arial"/>
          <w:lang w:val="en-GB" w:bidi="en-GB" w:eastAsia="en-GB"/>
        </w:rPr>
        <w:t xml:space="preserve"> Structure of the network</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Interdisciplinary cooperation</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 xml:space="preserve">Cooperation referrers and aftercare </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Psycho-oncology</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Social work and rehabilitation</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Patient involvement</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 xml:space="preserve">Study management </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Nursing care</w:t>
      </w:r>
    </w:p>
    <w:p>
      <w:pPr>
        <w:numPr>
          <w:ilvl w:val="1"/>
          <w:numId w:val="2"/>
        </w:numPr>
        <w:rPr>
          <w:rFonts w:ascii="Arial" w:hAnsi="Arial" w:cs="Arial"/>
          <w:lang w:val="en-GB" w:bidi="en-GB" w:eastAsia="en-GB"/>
        </w:rPr>
      </w:pPr>
      <w:r>
        <w:rPr>
          <w:rFonts w:ascii="Arial" w:hAnsi="Arial" w:cs="Arial"/>
          <w:lang w:val="en-GB" w:bidi="en-GB" w:eastAsia="en-GB"/>
        </w:rPr>
        <w:t>General service areas (pharmacy, nutrition counselling, speech therapy…)</w:t>
      </w:r>
    </w:p>
    <w:p>
      <w:pPr>
        <w:ind w:left="990"/>
        <w:rPr>
          <w:rFonts w:ascii="Arial" w:hAnsi="Arial" w:cs="Arial"/>
          <w:strike w:val="1"/>
          <w:lang w:val="en-GB" w:bidi="en-GB" w:eastAsia="en-GB"/>
        </w:rPr>
      </w:pPr>
    </w:p>
    <w:p>
      <w:pPr>
        <w:rPr>
          <w:rFonts w:ascii="Arial" w:hAnsi="Arial" w:cs="Arial"/>
          <w:lang w:val="en-GB" w:bidi="en-GB" w:eastAsia="en-GB"/>
        </w:rPr>
      </w:pPr>
    </w:p>
    <w:p>
      <w:pPr>
        <w:numPr>
          <w:ilvl w:val="0"/>
          <w:numId w:val="2"/>
        </w:numPr>
        <w:tabs>
          <w:tab w:val="left" w:pos="5655" w:leader="none"/>
        </w:tabs>
        <w:rPr>
          <w:rFonts w:ascii="Arial" w:hAnsi="Arial" w:cs="Arial"/>
          <w:lang w:val="en-GB" w:bidi="en-GB" w:eastAsia="en-GB"/>
        </w:rPr>
      </w:pPr>
      <w:r>
        <w:rPr>
          <w:rFonts w:ascii="Arial" w:hAnsi="Arial" w:cs="Arial"/>
          <w:lang w:val="en-GB" w:bidi="en-GB" w:eastAsia="en-GB"/>
        </w:rPr>
        <w:t>Organ-specific diagnostics</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Consulting hours</w:t>
      </w:r>
    </w:p>
    <w:p>
      <w:pPr>
        <w:numPr>
          <w:ilvl w:val="1"/>
          <w:numId w:val="2"/>
        </w:numPr>
        <w:rPr>
          <w:rFonts w:ascii="Arial" w:hAnsi="Arial" w:cs="Arial"/>
          <w:lang w:val="en-GB" w:bidi="en-GB" w:eastAsia="en-GB"/>
        </w:rPr>
      </w:pPr>
      <w:r>
        <w:rPr>
          <w:rFonts w:ascii="Arial" w:hAnsi="Arial" w:cs="Arial"/>
          <w:lang w:val="en-GB" w:bidi="en-GB" w:eastAsia="en-GB"/>
        </w:rPr>
        <w:t>Diagnostics</w:t>
      </w:r>
    </w:p>
    <w:p>
      <w:pPr>
        <w:rPr>
          <w:rFonts w:ascii="Arial" w:hAnsi="Arial" w:cs="Arial"/>
          <w:lang w:val="en-GB" w:bidi="en-GB" w:eastAsia="en-GB"/>
        </w:rPr>
      </w:pPr>
    </w:p>
    <w:p>
      <w:pPr>
        <w:numPr>
          <w:ilvl w:val="0"/>
          <w:numId w:val="2"/>
        </w:numPr>
        <w:tabs>
          <w:tab w:val="left" w:pos="5655" w:leader="none"/>
        </w:tabs>
        <w:rPr>
          <w:rFonts w:ascii="Arial" w:hAnsi="Arial" w:cs="Arial"/>
          <w:lang w:val="en-GB" w:bidi="en-GB" w:eastAsia="en-GB"/>
        </w:rPr>
      </w:pPr>
      <w:r>
        <w:rPr>
          <w:rFonts w:ascii="Arial" w:hAnsi="Arial" w:cs="Arial"/>
          <w:lang w:val="en-GB" w:bidi="en-GB" w:eastAsia="en-GB"/>
        </w:rPr>
        <w:t>Radiology</w:t>
      </w:r>
    </w:p>
    <w:p>
      <w:pPr>
        <w:rPr>
          <w:rFonts w:ascii="Arial" w:hAnsi="Arial" w:cs="Arial"/>
          <w:lang w:val="en-GB" w:bidi="en-GB" w:eastAsia="en-GB"/>
        </w:rPr>
      </w:pPr>
    </w:p>
    <w:p>
      <w:pPr>
        <w:numPr>
          <w:ilvl w:val="0"/>
          <w:numId w:val="2"/>
        </w:numPr>
        <w:tabs>
          <w:tab w:val="left" w:pos="5655" w:leader="none"/>
        </w:tabs>
        <w:rPr>
          <w:rFonts w:ascii="Arial" w:hAnsi="Arial" w:cs="Arial"/>
          <w:lang w:val="en-GB" w:bidi="en-GB" w:eastAsia="en-GB"/>
        </w:rPr>
      </w:pPr>
      <w:r>
        <w:rPr>
          <w:rFonts w:ascii="Arial" w:hAnsi="Arial" w:cs="Arial"/>
          <w:lang w:val="en-GB" w:bidi="en-GB" w:eastAsia="en-GB"/>
        </w:rPr>
        <w:t>Nuclear Medicine</w:t>
      </w:r>
    </w:p>
    <w:p>
      <w:pPr>
        <w:rPr>
          <w:rFonts w:ascii="Arial" w:hAnsi="Arial" w:cs="Arial"/>
          <w:lang w:val="en-GB" w:bidi="en-GB" w:eastAsia="en-GB"/>
        </w:rPr>
      </w:pPr>
    </w:p>
    <w:p>
      <w:pPr>
        <w:numPr>
          <w:ilvl w:val="0"/>
          <w:numId w:val="2"/>
        </w:numPr>
        <w:tabs>
          <w:tab w:val="left" w:pos="5655" w:leader="none"/>
        </w:tabs>
        <w:rPr>
          <w:rFonts w:ascii="Arial" w:hAnsi="Arial" w:cs="Arial"/>
          <w:lang w:val="en-GB" w:bidi="en-GB" w:eastAsia="en-GB"/>
        </w:rPr>
      </w:pPr>
      <w:r>
        <w:rPr>
          <w:rFonts w:ascii="Arial" w:hAnsi="Arial" w:cs="Arial"/>
          <w:lang w:val="en-GB" w:bidi="en-GB" w:eastAsia="en-GB"/>
        </w:rPr>
        <w:t>Surgical Oncology</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Cross-organ surgical therapy</w:t>
      </w:r>
    </w:p>
    <w:p>
      <w:pPr>
        <w:numPr>
          <w:ilvl w:val="1"/>
          <w:numId w:val="2"/>
        </w:numPr>
        <w:rPr>
          <w:rFonts w:ascii="Arial" w:hAnsi="Arial" w:cs="Arial"/>
          <w:lang w:val="en-GB" w:bidi="en-GB" w:eastAsia="en-GB"/>
        </w:rPr>
      </w:pPr>
      <w:r>
        <w:rPr>
          <w:rFonts w:ascii="Arial" w:hAnsi="Arial" w:cs="Arial"/>
          <w:lang w:val="en-GB" w:bidi="en-GB" w:eastAsia="en-GB"/>
        </w:rPr>
        <w:t>Organ-specific surgical therapy</w:t>
      </w:r>
    </w:p>
    <w:p>
      <w:pPr>
        <w:rPr>
          <w:rFonts w:ascii="Arial" w:hAnsi="Arial" w:cs="Arial"/>
          <w:lang w:val="en-GB" w:bidi="en-GB" w:eastAsia="en-GB"/>
        </w:rPr>
      </w:pPr>
    </w:p>
    <w:p>
      <w:pPr>
        <w:numPr>
          <w:ilvl w:val="0"/>
          <w:numId w:val="2"/>
        </w:numPr>
        <w:spacing w:after="60" w:beforeAutospacing="0" w:afterAutospacing="0"/>
        <w:rPr>
          <w:rFonts w:ascii="Arial" w:hAnsi="Arial" w:cs="Arial"/>
          <w:lang w:val="en-GB" w:bidi="en-GB" w:eastAsia="en-GB"/>
        </w:rPr>
      </w:pPr>
      <w:r>
        <w:rPr>
          <w:rFonts w:ascii="Arial" w:hAnsi="Arial" w:cs="Arial"/>
          <w:lang w:val="en-GB" w:bidi="en-GB" w:eastAsia="en-GB"/>
        </w:rPr>
        <w:t xml:space="preserve"> Medicinal oncology / systemic anticancer therapy</w:t>
      </w:r>
    </w:p>
    <w:p>
      <w:pPr>
        <w:numPr>
          <w:ilvl w:val="1"/>
          <w:numId w:val="2"/>
        </w:numPr>
        <w:spacing w:after="60" w:beforeAutospacing="0" w:afterAutospacing="0"/>
        <w:rPr>
          <w:rFonts w:ascii="Arial" w:hAnsi="Arial" w:cs="Arial"/>
          <w:lang w:val="en-GB" w:bidi="en-GB" w:eastAsia="en-GB"/>
        </w:rPr>
      </w:pPr>
      <w:r>
        <w:rPr>
          <w:rFonts w:ascii="Arial" w:hAnsi="Arial" w:cs="Arial"/>
          <w:lang w:val="en-GB" w:bidi="en-GB" w:eastAsia="en-GB"/>
        </w:rPr>
        <w:t>Haematology and oncology</w:t>
      </w:r>
    </w:p>
    <w:p>
      <w:pPr>
        <w:numPr>
          <w:ilvl w:val="1"/>
          <w:numId w:val="2"/>
        </w:numPr>
        <w:rPr>
          <w:rFonts w:ascii="Arial" w:hAnsi="Arial" w:cs="Arial"/>
          <w:lang w:val="en-GB" w:bidi="en-GB" w:eastAsia="en-GB"/>
        </w:rPr>
      </w:pPr>
      <w:r>
        <w:rPr>
          <w:rFonts w:ascii="Arial" w:hAnsi="Arial" w:cs="Arial"/>
          <w:lang w:val="en-GB" w:bidi="en-GB" w:eastAsia="en-GB"/>
        </w:rPr>
        <w:t xml:space="preserve"> Organ-specific systemic anticancer therapy</w:t>
      </w:r>
    </w:p>
    <w:p>
      <w:pPr>
        <w:rPr>
          <w:rFonts w:ascii="Arial" w:hAnsi="Arial" w:cs="Arial"/>
          <w:lang w:val="en-GB" w:bidi="en-GB" w:eastAsia="en-GB"/>
        </w:rPr>
      </w:pPr>
    </w:p>
    <w:p>
      <w:pPr>
        <w:numPr>
          <w:ilvl w:val="0"/>
          <w:numId w:val="2"/>
        </w:numPr>
        <w:tabs>
          <w:tab w:val="left" w:pos="5655" w:leader="none"/>
        </w:tabs>
        <w:rPr>
          <w:rFonts w:ascii="Arial" w:hAnsi="Arial" w:cs="Arial"/>
          <w:lang w:val="en-GB" w:bidi="en-GB" w:eastAsia="en-GB"/>
        </w:rPr>
      </w:pPr>
      <w:r>
        <w:rPr>
          <w:rFonts w:ascii="Arial" w:hAnsi="Arial" w:cs="Arial"/>
          <w:lang w:val="en-GB" w:bidi="en-GB" w:eastAsia="en-GB"/>
        </w:rPr>
        <w:t>Radio-oncology</w:t>
      </w:r>
    </w:p>
    <w:p>
      <w:pPr>
        <w:rPr>
          <w:rFonts w:ascii="Arial" w:hAnsi="Arial" w:cs="Arial"/>
          <w:lang w:val="en-GB" w:bidi="en-GB" w:eastAsia="en-GB"/>
        </w:rPr>
      </w:pPr>
    </w:p>
    <w:p>
      <w:pPr>
        <w:numPr>
          <w:ilvl w:val="0"/>
          <w:numId w:val="2"/>
        </w:numPr>
        <w:tabs>
          <w:tab w:val="left" w:pos="5655" w:leader="none"/>
        </w:tabs>
        <w:rPr>
          <w:rFonts w:ascii="Arial" w:hAnsi="Arial" w:cs="Arial"/>
          <w:lang w:val="en-GB" w:bidi="en-GB" w:eastAsia="en-GB"/>
        </w:rPr>
      </w:pPr>
      <w:r>
        <w:rPr>
          <w:rFonts w:ascii="Arial" w:hAnsi="Arial" w:cs="Arial"/>
          <w:lang w:val="en-GB" w:bidi="en-GB" w:eastAsia="en-GB"/>
        </w:rPr>
        <w:t>Pathology</w:t>
      </w:r>
    </w:p>
    <w:p>
      <w:pPr>
        <w:rPr>
          <w:rFonts w:ascii="Arial" w:hAnsi="Arial" w:cs="Arial"/>
          <w:lang w:val="en-GB" w:bidi="en-GB" w:eastAsia="en-GB"/>
        </w:rPr>
      </w:pPr>
    </w:p>
    <w:p>
      <w:pPr>
        <w:numPr>
          <w:ilvl w:val="0"/>
          <w:numId w:val="2"/>
        </w:numPr>
        <w:tabs>
          <w:tab w:val="left" w:pos="5655" w:leader="none"/>
        </w:tabs>
        <w:rPr>
          <w:rFonts w:ascii="Arial" w:hAnsi="Arial" w:cs="Arial"/>
          <w:lang w:val="en-GB" w:bidi="en-GB" w:eastAsia="en-GB"/>
        </w:rPr>
      </w:pPr>
      <w:r>
        <w:rPr>
          <w:rFonts w:ascii="Arial" w:hAnsi="Arial" w:cs="Arial"/>
          <w:lang w:val="en-GB" w:bidi="en-GB" w:eastAsia="en-GB"/>
        </w:rPr>
        <w:t>Palliative care and hospice care</w:t>
      </w:r>
    </w:p>
    <w:p>
      <w:pPr>
        <w:rPr>
          <w:rFonts w:ascii="Arial" w:hAnsi="Arial" w:cs="Arial"/>
          <w:lang w:val="en-GB" w:bidi="en-GB" w:eastAsia="en-GB"/>
        </w:rPr>
      </w:pPr>
    </w:p>
    <w:p>
      <w:pPr>
        <w:numPr>
          <w:ilvl w:val="0"/>
          <w:numId w:val="2"/>
        </w:numPr>
        <w:rPr>
          <w:rFonts w:ascii="Arial" w:hAnsi="Arial" w:cs="Arial"/>
          <w:lang w:val="en-GB" w:bidi="en-GB" w:eastAsia="en-GB"/>
        </w:rPr>
      </w:pPr>
      <w:r>
        <w:rPr>
          <w:rFonts w:ascii="Arial" w:hAnsi="Arial" w:cs="Arial"/>
          <w:lang w:val="en-GB" w:bidi="en-GB" w:eastAsia="en-GB"/>
        </w:rPr>
        <w:t>Tumour Documentation/ outcome quality</w:t>
      </w:r>
    </w:p>
    <w:p>
      <w:pPr>
        <w:pStyle w:val="P33"/>
        <w:rPr>
          <w:rFonts w:ascii="Arial" w:hAnsi="Arial" w:cs="Arial"/>
          <w:lang w:val="en-GB" w:bidi="en-GB" w:eastAsia="en-GB"/>
        </w:rPr>
      </w:pPr>
    </w:p>
    <w:p>
      <w:pPr>
        <w:numPr>
          <w:ilvl w:val="0"/>
          <w:numId w:val="2"/>
        </w:numPr>
        <w:rPr>
          <w:rFonts w:ascii="Arial" w:hAnsi="Arial" w:cs="Arial"/>
          <w:lang w:val="en-GB" w:bidi="en-GB" w:eastAsia="en-GB"/>
        </w:rPr>
      </w:pPr>
      <w:r>
        <w:rPr>
          <w:rFonts w:ascii="Arial" w:hAnsi="Arial" w:cs="Arial"/>
          <w:lang w:val="en-GB" w:bidi="en-GB" w:eastAsia="en-GB"/>
        </w:rPr>
        <w:t>Requirements for centres of excellence in oncology</w:t>
      </w:r>
    </w:p>
    <w:p>
      <w:pPr>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A</w:t>
        <w:tab/>
        <w:t>Development/ networking of oncological care</w:t>
      </w:r>
    </w:p>
    <w:p>
      <w:pPr>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B</w:t>
        <w:tab/>
        <w:t>Requirement to be met by comprehensive cancer centres</w:t>
      </w:r>
    </w:p>
    <w:p>
      <w:pPr>
        <w:rPr>
          <w:rFonts w:ascii="Arial" w:hAnsi="Arial" w:cs="Arial"/>
          <w:lang w:val="en-GB" w:bidi="en-GB" w:eastAsia="en-GB"/>
        </w:rPr>
      </w:pPr>
    </w:p>
    <w:p>
      <w:pPr>
        <w:rPr>
          <w:rFonts w:ascii="Arial" w:hAnsi="Arial" w:cs="Arial"/>
          <w:lang w:val="en-GB" w:bidi="en-GB" w:eastAsia="en-GB"/>
        </w:rPr>
      </w:pPr>
      <w:bookmarkStart w:id="8" w:name="_Hlk217920667"/>
      <w:r>
        <w:rPr>
          <w:rFonts w:ascii="Arial" w:hAnsi="Arial" w:cs="Arial"/>
          <w:lang w:val="en-GB" w:bidi="en-GB" w:eastAsia="en-GB"/>
        </w:rPr>
        <w:t>The table of contents is standardised for all certification systems of the German Cancer Society. The non-relevant chapters are marked as ‘Not documented’.</w:t>
      </w:r>
    </w:p>
    <w:p>
      <w:pPr>
        <w:rPr>
          <w:rFonts w:ascii="Arial" w:hAnsi="Arial" w:cs="Arial"/>
          <w:lang w:val="en-GB" w:bidi="en-GB" w:eastAsia="en-GB"/>
        </w:rPr>
      </w:pPr>
      <w:bookmarkEnd w:id="8"/>
    </w:p>
    <w:p>
      <w:pPr>
        <w:rPr>
          <w:rFonts w:ascii="Arial" w:hAnsi="Arial" w:cs="Arial"/>
          <w:lang w:val="en-GB" w:bidi="en-GB" w:eastAsia="en-GB"/>
        </w:rPr>
      </w:pPr>
      <w:r>
        <w:rPr>
          <w:rFonts w:ascii="Arial" w:hAnsi="Arial" w:cs="Arial"/>
          <w:lang w:val="en-GB" w:bidi="en-GB" w:eastAsia="en-GB"/>
        </w:rPr>
        <w:t>Annexes:</w:t>
      </w:r>
    </w:p>
    <w:p>
      <w:pPr>
        <w:pStyle w:val="P33"/>
        <w:numPr>
          <w:ilvl w:val="0"/>
          <w:numId w:val="15"/>
        </w:numPr>
        <w:rPr>
          <w:rFonts w:ascii="Arial" w:hAnsi="Arial" w:cs="Arial"/>
          <w:lang w:val="en-GB" w:bidi="en-GB" w:eastAsia="en-GB"/>
        </w:rPr>
      </w:pPr>
      <w:r>
        <w:rPr>
          <w:rFonts w:ascii="Arial" w:hAnsi="Arial" w:cs="Arial"/>
          <w:lang w:val="en-GB" w:bidi="en-GB" w:eastAsia="en-GB"/>
        </w:rPr>
        <w:t>List of Guidelines</w:t>
      </w:r>
    </w:p>
    <w:p>
      <w:pPr>
        <w:pStyle w:val="P33"/>
        <w:numPr>
          <w:ilvl w:val="0"/>
          <w:numId w:val="15"/>
        </w:numPr>
        <w:rPr>
          <w:rFonts w:ascii="Arial" w:hAnsi="Arial" w:cs="Arial"/>
          <w:lang w:val="en-GB" w:bidi="en-GB" w:eastAsia="en-GB"/>
        </w:rPr>
      </w:pPr>
      <w:r>
        <w:rPr>
          <w:rFonts w:ascii="Arial" w:hAnsi="Arial" w:cs="Arial"/>
          <w:lang w:val="en-GB" w:bidi="en-GB" w:eastAsia="en-GB"/>
        </w:rPr>
        <w:t>Study organigram/Study list</w:t>
      </w:r>
    </w:p>
    <w:p>
      <w:pPr>
        <w:pStyle w:val="P33"/>
        <w:numPr>
          <w:ilvl w:val="0"/>
          <w:numId w:val="15"/>
        </w:numPr>
        <w:rPr>
          <w:rFonts w:ascii="Arial" w:hAnsi="Arial" w:cs="Arial"/>
          <w:vanish w:val="1"/>
          <w:lang w:val="en-GB" w:bidi="en-GB" w:eastAsia="en-GB"/>
        </w:rPr>
      </w:pPr>
      <w:r>
        <w:rPr>
          <w:rFonts w:ascii="Arial" w:hAnsi="Arial" w:cs="Arial"/>
          <w:lang w:val="en-GB" w:bidi="en-GB" w:eastAsia="en-GB"/>
        </w:rPr>
        <w:t>Matrix tumour documentation</w:t>
      </w:r>
    </w:p>
    <w:p>
      <w:pPr>
        <w:ind w:hanging="283" w:left="566"/>
        <w:contextualSpacing w:val="1"/>
        <w:rPr>
          <w:rFonts w:ascii="Arial" w:hAnsi="Arial" w:cs="Arial"/>
          <w:lang w:val="en-GB" w:bidi="en-GB" w:eastAsia="en-GB"/>
        </w:rPr>
      </w:pPr>
    </w:p>
    <w:p>
      <w:pPr>
        <w:pStyle w:val="P33"/>
        <w:numPr>
          <w:ilvl w:val="0"/>
          <w:numId w:val="15"/>
        </w:numPr>
        <w:contextualSpacing w:val="1"/>
        <w:rPr>
          <w:rFonts w:ascii="Arial" w:hAnsi="Arial" w:cs="Arial"/>
          <w:lang w:val="en-GB" w:bidi="en-GB" w:eastAsia="en-GB"/>
        </w:rPr>
      </w:pPr>
      <w:r>
        <w:rPr>
          <w:rFonts w:ascii="Arial" w:hAnsi="Arial" w:cs="Arial"/>
          <w:lang w:val="en-GB" w:bidi="en-GB" w:eastAsia="en-GB"/>
        </w:rPr>
        <w:t xml:space="preserve">Mailing list/Scientific societies involved </w:t>
      </w:r>
    </w:p>
    <w:p>
      <w:pPr>
        <w:pStyle w:val="P33"/>
        <w:numPr>
          <w:ilvl w:val="0"/>
          <w:numId w:val="15"/>
        </w:numPr>
        <w:contextualSpacing w:val="1"/>
        <w:rPr>
          <w:rFonts w:ascii="Arial" w:hAnsi="Arial" w:cs="Arial"/>
          <w:lang w:val="en-GB" w:bidi="en-GB" w:eastAsia="en-GB"/>
        </w:rPr>
      </w:pPr>
      <w:r>
        <w:rPr>
          <w:rFonts w:ascii="Arial" w:hAnsi="Arial" w:cs="Arial"/>
          <w:lang w:val="en-GB" w:bidi="en-GB" w:eastAsia="en-GB"/>
        </w:rPr>
        <w:t>Data Sheet –</w:t>
      </w:r>
      <w:r>
        <w:rPr>
          <w:rFonts w:ascii="Arial" w:hAnsi="Arial" w:cs="Arial"/>
          <w:lang w:val="en-GB"/>
        </w:rPr>
        <w:t xml:space="preserve"> Certcalculator</w:t>
      </w:r>
    </w:p>
    <w:p>
      <w:pPr>
        <w:rPr>
          <w:rFonts w:ascii="Arial" w:hAnsi="Arial" w:cs="Arial"/>
          <w:lang w:val="en-GB" w:bidi="en-GB" w:eastAsia="en-GB"/>
        </w:rPr>
      </w:pPr>
      <w:r>
        <w:rPr>
          <w:rFonts w:ascii="Arial" w:hAnsi="Arial" w:cs="Arial"/>
          <w:lang w:val="en-GB" w:bidi="en-GB" w:eastAsia="en-GB"/>
        </w:rPr>
        <w:br w:type="page"/>
      </w:r>
    </w:p>
    <w:tbl>
      <w:tblPr>
        <w:tblW w:w="10031" w:type="dxa"/>
        <w:tblLayout w:type="fixed"/>
        <w:tblLook w:val="01E0"/>
      </w:tblPr>
      <w:tblGrid/>
      <w:tr>
        <w:trPr>
          <w:cantSplit/>
        </w:trPr>
        <w:tc>
          <w:tcPr>
            <w:tcW w:w="2376" w:type="dxa"/>
          </w:tcPr>
          <w:p>
            <w:pPr>
              <w:tabs>
                <w:tab w:val="left" w:pos="426" w:leader="none"/>
              </w:tabs>
              <w:spacing w:before="40" w:after="40" w:beforeAutospacing="0" w:afterAutospacing="0"/>
              <w:rPr>
                <w:rFonts w:ascii="Arial" w:hAnsi="Arial" w:cs="Arial"/>
                <w:sz w:val="16"/>
                <w:szCs w:val="16"/>
                <w:lang w:val="en-GB" w:bidi="en-GB" w:eastAsia="en-GB"/>
              </w:rPr>
            </w:pPr>
            <w:r>
              <w:rPr>
                <w:rFonts w:ascii="Arial" w:hAnsi="Arial" w:cs="Arial"/>
                <w:b w:val="1"/>
                <w:sz w:val="24"/>
                <w:lang w:val="en-GB" w:bidi="en-GB" w:eastAsia="en-GB"/>
              </w:rPr>
              <w:t>Centre matrix</w:t>
            </w:r>
          </w:p>
        </w:tc>
        <w:tc>
          <w:tcPr>
            <w:tcW w:w="7655" w:type="dxa"/>
            <w:vAlign w:val="center"/>
          </w:tcPr>
          <w:p>
            <w:pPr>
              <w:ind w:left="-57" w:right="-57"/>
              <w:jc w:val="center"/>
              <w:rPr>
                <w:rFonts w:ascii="Arial" w:hAnsi="Arial" w:cs="Arial"/>
                <w:sz w:val="16"/>
                <w:szCs w:val="16"/>
                <w:lang w:val="en-GB" w:bidi="en-GB" w:eastAsia="en-GB"/>
              </w:rPr>
            </w:pPr>
            <w:r>
              <w:rPr>
                <w:rFonts w:ascii="Arial" w:hAnsi="Arial" w:cs="Arial"/>
                <w:sz w:val="16"/>
                <w:lang w:val="en-GB" w:bidi="en-GB" w:eastAsia="en-GB"/>
              </w:rPr>
              <w:t>Organ Cancer Centres / Organ Groups</w:t>
            </w:r>
          </w:p>
        </w:tc>
      </w:tr>
    </w:tbl>
    <w:p>
      <w:pPr>
        <w:rPr>
          <w:rFonts w:ascii="Arial" w:hAnsi="Arial" w:cs="Arial"/>
          <w:sz w:val="8"/>
          <w:szCs w:val="8"/>
          <w:lang w:val="en-GB" w:bidi="en-GB" w:eastAsia="en-GB"/>
        </w:rPr>
      </w:pPr>
    </w:p>
    <w:p>
      <w:pPr>
        <w:rPr>
          <w:rFonts w:ascii="Arial" w:hAnsi="Arial" w:cs="Arial"/>
          <w:sz w:val="8"/>
          <w:szCs w:val="8"/>
          <w:lang w:val="en-GB" w:bidi="en-GB" w:eastAsia="en-GB"/>
        </w:rPr>
      </w:pPr>
    </w:p>
    <w:p>
      <w:pPr>
        <w:rPr>
          <w:rFonts w:ascii="Arial" w:hAnsi="Arial" w:cs="Arial"/>
          <w:sz w:val="16"/>
          <w:szCs w:val="16"/>
          <w:lang w:val="en-GB" w:bidi="en-GB" w:eastAsia="en-GB"/>
        </w:rPr>
      </w:pPr>
    </w:p>
    <w:tbl>
      <w:tblPr>
        <w:tblW w:w="5194" w:type="pct"/>
        <w:tblInd w:w="-147"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ayout w:type="fixed"/>
        <w:tblLook w:val="01E0"/>
      </w:tblPr>
      <w:tblGrid/>
      <w:tr>
        <w:trPr>
          <w:cantSplit/>
          <w:trHeight w:hRule="atLeast" w:val="2434"/>
        </w:trPr>
        <w:tc>
          <w:tcPr>
            <w:tcW w:w="2029" w:type="dxa"/>
            <w:vAlign w:val="center"/>
          </w:tcPr>
          <w:p>
            <w:pPr>
              <w:tabs>
                <w:tab w:val="left" w:pos="410" w:leader="none"/>
              </w:tabs>
              <w:spacing w:before="40" w:beforeAutospacing="0" w:afterAutospacing="0"/>
              <w:rPr>
                <w:rFonts w:ascii="Arial" w:hAnsi="Arial" w:cs="Arial"/>
                <w:sz w:val="16"/>
                <w:szCs w:val="16"/>
                <w:lang w:val="en-GB" w:bidi="en-GB" w:eastAsia="en-GB"/>
              </w:rPr>
            </w:pPr>
          </w:p>
        </w:tc>
        <w:tc>
          <w:tcPr>
            <w:tcW w:w="378"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Colon</w:t>
            </w:r>
          </w:p>
        </w:tc>
        <w:tc>
          <w:tcPr>
            <w:tcW w:w="379" w:type="dxa"/>
            <w:textDirection w:val="btLr"/>
          </w:tcPr>
          <w:p>
            <w:pPr>
              <w:ind w:left="-57" w:right="-57"/>
              <w:jc w:val="center"/>
              <w:rPr>
                <w:rFonts w:ascii="Arial" w:hAnsi="Arial" w:cs="Arial"/>
                <w:sz w:val="14"/>
                <w:lang w:val="en-GB" w:bidi="en-GB" w:eastAsia="en-GB"/>
              </w:rPr>
            </w:pPr>
            <w:r>
              <w:rPr>
                <w:rFonts w:ascii="Arial" w:hAnsi="Arial" w:cs="Arial"/>
                <w:sz w:val="14"/>
                <w:lang w:val="en-GB" w:bidi="en-GB" w:eastAsia="en-GB"/>
              </w:rPr>
              <w:t>Anal Cancer</w:t>
            </w:r>
          </w:p>
        </w:tc>
        <w:tc>
          <w:tcPr>
            <w:tcW w:w="379"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Pancreas</w:t>
            </w:r>
          </w:p>
        </w:tc>
        <w:tc>
          <w:tcPr>
            <w:tcW w:w="378"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Stomach</w:t>
            </w:r>
          </w:p>
        </w:tc>
        <w:tc>
          <w:tcPr>
            <w:tcW w:w="379" w:type="dxa"/>
            <w:textDirection w:val="btLr"/>
          </w:tcPr>
          <w:p>
            <w:pPr>
              <w:ind w:left="-57" w:right="-57"/>
              <w:jc w:val="center"/>
              <w:rPr>
                <w:rFonts w:ascii="Arial" w:hAnsi="Arial" w:cs="Arial"/>
                <w:strike w:val="1"/>
                <w:sz w:val="14"/>
                <w:szCs w:val="14"/>
                <w:highlight w:val="yellow"/>
                <w:lang w:val="en-GB" w:bidi="en-GB" w:eastAsia="en-GB"/>
              </w:rPr>
            </w:pPr>
            <w:r>
              <w:rPr>
                <w:rFonts w:ascii="Arial" w:hAnsi="Arial" w:cs="Arial"/>
                <w:sz w:val="14"/>
                <w:lang w:val="en-GB" w:bidi="en-GB" w:eastAsia="en-GB"/>
              </w:rPr>
              <w:t>Liver/Bile</w:t>
            </w:r>
          </w:p>
        </w:tc>
        <w:tc>
          <w:tcPr>
            <w:tcW w:w="377" w:type="dxa"/>
            <w:tcBorders>
              <w:right w:val="single" w:sz="4" w:space="0" w:shadow="0" w:frame="0"/>
            </w:tcBorders>
            <w:textDirection w:val="btLr"/>
            <w:vAlign w:val="center"/>
          </w:tcPr>
          <w:p>
            <w:pPr>
              <w:ind w:left="-57" w:right="-57"/>
              <w:jc w:val="center"/>
              <w:rPr>
                <w:rFonts w:ascii="Arial" w:hAnsi="Arial" w:cs="Arial"/>
                <w:sz w:val="14"/>
                <w:szCs w:val="14"/>
                <w:highlight w:val="yellow"/>
                <w:lang w:val="en-GB" w:bidi="en-GB" w:eastAsia="en-GB"/>
              </w:rPr>
            </w:pPr>
            <w:r>
              <w:rPr>
                <w:rFonts w:ascii="Arial" w:hAnsi="Arial" w:cs="Arial"/>
                <w:sz w:val="14"/>
                <w:lang w:val="en-GB" w:bidi="en-GB" w:eastAsia="en-GB"/>
              </w:rPr>
              <w:t>Oesophagus</w:t>
            </w:r>
          </w:p>
        </w:tc>
        <w:tc>
          <w:tcPr>
            <w:tcW w:w="378"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Other gastrointestinal tumours</w:t>
            </w:r>
          </w:p>
        </w:tc>
        <w:tc>
          <w:tcPr>
            <w:tcW w:w="378"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Endocrine malignancies</w:t>
            </w:r>
          </w:p>
        </w:tc>
        <w:tc>
          <w:tcPr>
            <w:tcW w:w="377"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Haematological neoplasms</w:t>
            </w:r>
          </w:p>
        </w:tc>
        <w:tc>
          <w:tcPr>
            <w:tcW w:w="378"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Breast</w:t>
            </w:r>
          </w:p>
        </w:tc>
        <w:tc>
          <w:tcPr>
            <w:tcW w:w="377"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Gynaecological tumours</w:t>
            </w:r>
          </w:p>
        </w:tc>
        <w:tc>
          <w:tcPr>
            <w:tcW w:w="378"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Skin</w:t>
            </w:r>
          </w:p>
        </w:tc>
        <w:tc>
          <w:tcPr>
            <w:tcW w:w="378"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Prostate</w:t>
            </w:r>
          </w:p>
        </w:tc>
        <w:tc>
          <w:tcPr>
            <w:tcW w:w="377" w:type="dxa"/>
            <w:textDirection w:val="btLr"/>
          </w:tcPr>
          <w:p>
            <w:pPr>
              <w:ind w:left="-57" w:right="-57"/>
              <w:jc w:val="center"/>
              <w:rPr>
                <w:rFonts w:ascii="Arial" w:hAnsi="Arial" w:cs="Arial"/>
                <w:sz w:val="14"/>
                <w:lang w:val="en-GB" w:bidi="en-GB" w:eastAsia="en-GB"/>
              </w:rPr>
            </w:pPr>
            <w:r>
              <w:rPr>
                <w:rFonts w:ascii="Arial" w:hAnsi="Arial" w:cs="Arial"/>
                <w:sz w:val="14"/>
                <w:lang w:val="en-GB" w:bidi="en-GB" w:eastAsia="en-GB"/>
              </w:rPr>
              <w:t>Testicles</w:t>
            </w:r>
          </w:p>
        </w:tc>
        <w:tc>
          <w:tcPr>
            <w:tcW w:w="377"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 Penis</w:t>
            </w:r>
          </w:p>
        </w:tc>
        <w:tc>
          <w:tcPr>
            <w:tcW w:w="378"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Kidneys</w:t>
            </w:r>
          </w:p>
        </w:tc>
        <w:tc>
          <w:tcPr>
            <w:tcW w:w="377"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Urinary bladder</w:t>
            </w:r>
          </w:p>
        </w:tc>
        <w:tc>
          <w:tcPr>
            <w:tcW w:w="378" w:type="dxa"/>
            <w:tcBorders>
              <w:right w:val="single" w:sz="4" w:space="0" w:shadow="0" w:frame="0"/>
            </w:tcBorders>
            <w:textDirection w:val="btLr"/>
          </w:tcPr>
          <w:p>
            <w:pPr>
              <w:ind w:left="-57" w:right="-57"/>
              <w:jc w:val="center"/>
              <w:rPr>
                <w:rFonts w:ascii="Arial" w:hAnsi="Arial" w:cs="Arial"/>
                <w:sz w:val="14"/>
                <w:szCs w:val="14"/>
                <w:lang w:val="en-GB" w:bidi="en-GB" w:eastAsia="en-GB"/>
              </w:rPr>
            </w:pPr>
            <w:r>
              <w:rPr>
                <w:rFonts w:ascii="Arial" w:hAnsi="Arial" w:cs="Arial"/>
                <w:sz w:val="14"/>
                <w:lang w:val="en-GB" w:bidi="en-GB" w:eastAsia="en-GB"/>
              </w:rPr>
              <w:t>Soft tissue sarcomas</w:t>
            </w:r>
          </w:p>
        </w:tc>
        <w:tc>
          <w:tcPr>
            <w:tcW w:w="384" w:type="dxa"/>
            <w:tcBorders>
              <w:right w:val="single" w:sz="4" w:space="0" w:shadow="0" w:frame="0"/>
            </w:tcBorders>
            <w:textDirection w:val="btLr"/>
          </w:tcPr>
          <w:p>
            <w:pPr>
              <w:ind w:left="-57" w:right="-57"/>
              <w:jc w:val="center"/>
              <w:rPr>
                <w:rFonts w:ascii="Arial" w:hAnsi="Arial" w:cs="Arial"/>
                <w:sz w:val="14"/>
                <w:szCs w:val="14"/>
                <w:lang w:val="en-GB" w:bidi="en-GB" w:eastAsia="en-GB"/>
              </w:rPr>
            </w:pPr>
            <w:r>
              <w:rPr>
                <w:rFonts w:ascii="Arial" w:hAnsi="Arial" w:cs="Arial"/>
                <w:sz w:val="14"/>
                <w:lang w:val="en-GB" w:bidi="en-GB" w:eastAsia="en-GB"/>
              </w:rPr>
              <w:t>Head/neck tumours</w:t>
            </w:r>
          </w:p>
        </w:tc>
        <w:tc>
          <w:tcPr>
            <w:tcW w:w="299"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Neuro-oncological tumours</w:t>
            </w:r>
          </w:p>
        </w:tc>
        <w:tc>
          <w:tcPr>
            <w:tcW w:w="322"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Lung/ Mesothelioma</w:t>
            </w:r>
          </w:p>
        </w:tc>
        <w:tc>
          <w:tcPr>
            <w:tcW w:w="378" w:type="dxa"/>
            <w:tcBorders>
              <w:right w:val="single" w:sz="4" w:space="0" w:shadow="0" w:frame="0"/>
            </w:tcBorders>
            <w:textDirection w:val="btLr"/>
            <w:vAlign w:val="center"/>
          </w:tcPr>
          <w:p>
            <w:pPr>
              <w:ind w:left="-57" w:right="-57"/>
              <w:jc w:val="center"/>
              <w:rPr>
                <w:rFonts w:ascii="Arial" w:hAnsi="Arial" w:cs="Arial"/>
                <w:sz w:val="14"/>
                <w:szCs w:val="14"/>
                <w:lang w:val="en-GB" w:bidi="en-GB" w:eastAsia="en-GB"/>
              </w:rPr>
            </w:pPr>
            <w:r>
              <w:rPr>
                <w:rFonts w:ascii="Arial" w:hAnsi="Arial" w:cs="Arial"/>
                <w:sz w:val="14"/>
                <w:lang w:val="en-GB" w:bidi="en-GB" w:eastAsia="en-GB"/>
              </w:rPr>
              <w:t>Paediatric oncology</w:t>
            </w:r>
          </w:p>
        </w:tc>
        <w:tc>
          <w:tcPr>
            <w:tcW w:w="378" w:type="dxa"/>
            <w:tcBorders>
              <w:right w:val="single" w:sz="4" w:space="0" w:shadow="0" w:frame="0"/>
            </w:tcBorders>
            <w:textDirection w:val="btLr"/>
          </w:tcPr>
          <w:p>
            <w:pPr>
              <w:ind w:left="-57" w:right="-57"/>
              <w:jc w:val="center"/>
              <w:rPr>
                <w:rFonts w:ascii="Arial" w:hAnsi="Arial" w:cs="Arial"/>
                <w:sz w:val="14"/>
                <w:lang w:val="en-GB" w:bidi="en-GB" w:eastAsia="en-GB"/>
              </w:rPr>
            </w:pPr>
            <w:r>
              <w:rPr>
                <w:rFonts w:ascii="Arial" w:hAnsi="Arial" w:cs="Arial"/>
                <w:sz w:val="14"/>
                <w:szCs w:val="14"/>
              </w:rPr>
              <w:t>FBREK</w:t>
            </w:r>
          </w:p>
        </w:tc>
      </w:tr>
      <w:tr>
        <w:trPr>
          <w:trHeight w:hRule="atLeast" w:val="57"/>
        </w:trPr>
        <w:tc>
          <w:tcPr>
            <w:tcW w:w="2029" w:type="dxa"/>
            <w:vAlign w:val="center"/>
          </w:tcPr>
          <w:p>
            <w:pPr>
              <w:tabs>
                <w:tab w:val="left" w:pos="410" w:leader="none"/>
              </w:tabs>
              <w:spacing w:before="40" w:beforeAutospacing="0" w:afterAutospacing="0"/>
              <w:rPr>
                <w:rFonts w:ascii="Arial" w:hAnsi="Arial" w:cs="Arial"/>
                <w:sz w:val="14"/>
                <w:szCs w:val="14"/>
                <w:lang w:val="en-GB" w:bidi="en-GB" w:eastAsia="en-GB"/>
              </w:rPr>
            </w:pPr>
            <w:r>
              <w:rPr>
                <w:rFonts w:ascii="Arial" w:hAnsi="Arial" w:cs="Arial"/>
                <w:sz w:val="14"/>
                <w:lang w:val="en-GB" w:bidi="en-GB" w:eastAsia="en-GB"/>
              </w:rPr>
              <w:t>Level of competence</w:t>
            </w: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9" w:type="dxa"/>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84" w:type="dxa"/>
            <w:tcBorders>
              <w:right w:val="single" w:sz="4" w:space="0" w:shadow="0" w:frame="0"/>
            </w:tcBorders>
            <w:vAlign w:val="center"/>
          </w:tcPr>
          <w:p>
            <w:pPr>
              <w:jc w:val="center"/>
              <w:rPr>
                <w:rFonts w:ascii="Arial" w:hAnsi="Arial" w:cs="Arial"/>
                <w:sz w:val="14"/>
                <w:szCs w:val="14"/>
                <w:lang w:val="en-GB" w:bidi="en-GB" w:eastAsia="en-GB"/>
              </w:rPr>
            </w:pPr>
          </w:p>
        </w:tc>
        <w:tc>
          <w:tcPr>
            <w:tcW w:w="299" w:type="dxa"/>
            <w:tcBorders>
              <w:right w:val="single" w:sz="4" w:space="0" w:shadow="0" w:frame="0"/>
            </w:tcBorders>
            <w:vAlign w:val="center"/>
          </w:tcPr>
          <w:p>
            <w:pPr>
              <w:jc w:val="center"/>
              <w:rPr>
                <w:rFonts w:ascii="Arial" w:hAnsi="Arial" w:cs="Arial"/>
                <w:sz w:val="14"/>
                <w:szCs w:val="14"/>
                <w:lang w:val="en-GB" w:bidi="en-GB" w:eastAsia="en-GB"/>
              </w:rPr>
            </w:pPr>
          </w:p>
        </w:tc>
        <w:tc>
          <w:tcPr>
            <w:tcW w:w="322"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Pr>
          <w:p>
            <w:pPr>
              <w:jc w:val="center"/>
              <w:rPr>
                <w:rFonts w:ascii="Arial" w:hAnsi="Arial" w:cs="Arial"/>
                <w:sz w:val="14"/>
                <w:szCs w:val="14"/>
                <w:lang w:val="en-GB" w:bidi="en-GB" w:eastAsia="en-GB"/>
              </w:rPr>
            </w:pPr>
          </w:p>
        </w:tc>
        <w:tc>
          <w:tcPr>
            <w:tcW w:w="378" w:type="dxa"/>
          </w:tcPr>
          <w:p>
            <w:pPr>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10" w:leader="none"/>
              </w:tabs>
              <w:spacing w:before="40" w:beforeAutospacing="0" w:afterAutospacing="0"/>
              <w:rPr>
                <w:rFonts w:ascii="Arial" w:hAnsi="Arial" w:cs="Arial"/>
                <w:sz w:val="14"/>
                <w:szCs w:val="14"/>
                <w:lang w:val="en-GB" w:bidi="en-GB" w:eastAsia="en-GB"/>
              </w:rPr>
            </w:pPr>
            <w:r>
              <w:rPr>
                <w:rFonts w:ascii="Arial" w:hAnsi="Arial" w:cs="Arial"/>
                <w:sz w:val="14"/>
                <w:lang w:val="en-GB" w:bidi="en-GB" w:eastAsia="en-GB"/>
              </w:rPr>
              <w:t>QM system</w:t>
            </w: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9" w:type="dxa"/>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84" w:type="dxa"/>
            <w:tcBorders>
              <w:right w:val="single" w:sz="4" w:space="0" w:shadow="0" w:frame="0"/>
            </w:tcBorders>
            <w:vAlign w:val="center"/>
          </w:tcPr>
          <w:p>
            <w:pPr>
              <w:jc w:val="center"/>
              <w:rPr>
                <w:rFonts w:ascii="Arial" w:hAnsi="Arial" w:cs="Arial"/>
                <w:sz w:val="14"/>
                <w:szCs w:val="14"/>
                <w:lang w:val="en-GB" w:bidi="en-GB" w:eastAsia="en-GB"/>
              </w:rPr>
            </w:pPr>
          </w:p>
        </w:tc>
        <w:tc>
          <w:tcPr>
            <w:tcW w:w="299" w:type="dxa"/>
            <w:tcBorders>
              <w:right w:val="single" w:sz="4" w:space="0" w:shadow="0" w:frame="0"/>
            </w:tcBorders>
            <w:vAlign w:val="center"/>
          </w:tcPr>
          <w:p>
            <w:pPr>
              <w:jc w:val="center"/>
              <w:rPr>
                <w:rFonts w:ascii="Arial" w:hAnsi="Arial" w:cs="Arial"/>
                <w:sz w:val="14"/>
                <w:szCs w:val="14"/>
                <w:lang w:val="en-GB" w:bidi="en-GB" w:eastAsia="en-GB"/>
              </w:rPr>
            </w:pPr>
          </w:p>
        </w:tc>
        <w:tc>
          <w:tcPr>
            <w:tcW w:w="322"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Pr>
          <w:p>
            <w:pPr>
              <w:jc w:val="center"/>
              <w:rPr>
                <w:rFonts w:ascii="Arial" w:hAnsi="Arial" w:cs="Arial"/>
                <w:sz w:val="14"/>
                <w:szCs w:val="14"/>
                <w:lang w:val="en-GB" w:bidi="en-GB" w:eastAsia="en-GB"/>
              </w:rPr>
            </w:pPr>
          </w:p>
        </w:tc>
        <w:tc>
          <w:tcPr>
            <w:tcW w:w="378" w:type="dxa"/>
          </w:tcPr>
          <w:p>
            <w:pPr>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10" w:leader="none"/>
              </w:tabs>
              <w:spacing w:before="40" w:beforeAutospacing="0" w:afterAutospacing="0"/>
              <w:rPr>
                <w:rFonts w:ascii="Arial" w:hAnsi="Arial" w:cs="Arial"/>
                <w:sz w:val="14"/>
                <w:szCs w:val="14"/>
                <w:lang w:val="en-GB" w:bidi="en-GB" w:eastAsia="en-GB"/>
              </w:rPr>
            </w:pPr>
            <w:r>
              <w:rPr>
                <w:rFonts w:ascii="Arial" w:hAnsi="Arial" w:cs="Arial"/>
                <w:sz w:val="14"/>
                <w:lang w:val="en-GB" w:bidi="en-GB" w:eastAsia="en-GB"/>
              </w:rPr>
              <w:t>1.1 Network structure</w:t>
            </w: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9" w:type="dxa"/>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84" w:type="dxa"/>
            <w:tcBorders>
              <w:right w:val="single" w:sz="4" w:space="0" w:shadow="0" w:frame="0"/>
            </w:tcBorders>
            <w:vAlign w:val="center"/>
          </w:tcPr>
          <w:p>
            <w:pPr>
              <w:jc w:val="center"/>
              <w:rPr>
                <w:rFonts w:ascii="Arial" w:hAnsi="Arial" w:cs="Arial"/>
                <w:sz w:val="14"/>
                <w:szCs w:val="14"/>
                <w:lang w:val="en-GB" w:bidi="en-GB" w:eastAsia="en-GB"/>
              </w:rPr>
            </w:pPr>
          </w:p>
        </w:tc>
        <w:tc>
          <w:tcPr>
            <w:tcW w:w="299" w:type="dxa"/>
            <w:tcBorders>
              <w:right w:val="single" w:sz="4" w:space="0" w:shadow="0" w:frame="0"/>
            </w:tcBorders>
            <w:vAlign w:val="center"/>
          </w:tcPr>
          <w:p>
            <w:pPr>
              <w:jc w:val="center"/>
              <w:rPr>
                <w:rFonts w:ascii="Arial" w:hAnsi="Arial" w:cs="Arial"/>
                <w:sz w:val="14"/>
                <w:szCs w:val="14"/>
                <w:lang w:val="en-GB" w:bidi="en-GB" w:eastAsia="en-GB"/>
              </w:rPr>
            </w:pPr>
          </w:p>
        </w:tc>
        <w:tc>
          <w:tcPr>
            <w:tcW w:w="322"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Pr>
          <w:p>
            <w:pPr>
              <w:jc w:val="center"/>
              <w:rPr>
                <w:rFonts w:ascii="Arial" w:hAnsi="Arial" w:cs="Arial"/>
                <w:sz w:val="14"/>
                <w:szCs w:val="14"/>
                <w:lang w:val="en-GB" w:bidi="en-GB" w:eastAsia="en-GB"/>
              </w:rPr>
            </w:pPr>
          </w:p>
        </w:tc>
        <w:tc>
          <w:tcPr>
            <w:tcW w:w="378" w:type="dxa"/>
          </w:tcPr>
          <w:p>
            <w:pPr>
              <w:jc w:val="center"/>
              <w:rPr>
                <w:rFonts w:ascii="Arial" w:hAnsi="Arial" w:cs="Arial"/>
                <w:sz w:val="14"/>
                <w:szCs w:val="14"/>
                <w:lang w:val="en-GB" w:bidi="en-GB" w:eastAsia="en-GB"/>
              </w:rPr>
            </w:pPr>
          </w:p>
        </w:tc>
      </w:tr>
      <w:tr>
        <w:trPr>
          <w:trHeight w:hRule="atLeast" w:val="295"/>
        </w:trPr>
        <w:tc>
          <w:tcPr>
            <w:tcW w:w="2029" w:type="dxa"/>
            <w:vAlign w:val="center"/>
          </w:tcPr>
          <w:p>
            <w:pPr>
              <w:tabs>
                <w:tab w:val="left" w:pos="410" w:leader="none"/>
              </w:tabs>
              <w:spacing w:before="40" w:beforeAutospacing="0" w:afterAutospacing="0"/>
              <w:ind w:hanging="284" w:left="284" w:right="-108"/>
              <w:rPr>
                <w:rFonts w:ascii="Arial" w:hAnsi="Arial" w:cs="Arial"/>
                <w:sz w:val="14"/>
                <w:szCs w:val="14"/>
                <w:lang w:val="en-GB" w:bidi="en-GB" w:eastAsia="en-GB"/>
              </w:rPr>
            </w:pPr>
            <w:r>
              <w:rPr>
                <w:rFonts w:ascii="Arial" w:hAnsi="Arial" w:cs="Arial"/>
                <w:sz w:val="14"/>
                <w:lang w:val="en-GB" w:bidi="en-GB" w:eastAsia="en-GB"/>
              </w:rPr>
              <w:t>1.2</w:t>
            </w:r>
            <w:r>
              <w:rPr>
                <w:rFonts w:ascii="Arial" w:hAnsi="Arial" w:cs="Arial"/>
                <w:lang w:val="en-GB" w:bidi="en-GB" w:eastAsia="en-GB"/>
              </w:rPr>
              <w:tab/>
            </w:r>
            <w:r>
              <w:rPr>
                <w:rFonts w:ascii="Arial" w:hAnsi="Arial" w:cs="Arial"/>
                <w:sz w:val="14"/>
                <w:lang w:val="en-GB" w:bidi="en-GB" w:eastAsia="en-GB"/>
              </w:rPr>
              <w:t>Interdisciplinary cooperation</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10"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1.3</w:t>
            </w:r>
            <w:r>
              <w:rPr>
                <w:rFonts w:ascii="Arial" w:hAnsi="Arial" w:cs="Arial"/>
                <w:lang w:val="en-GB" w:bidi="en-GB" w:eastAsia="en-GB"/>
              </w:rPr>
              <w:tab/>
            </w:r>
            <w:r>
              <w:rPr>
                <w:rFonts w:ascii="Arial" w:hAnsi="Arial" w:cs="Arial"/>
                <w:sz w:val="14"/>
                <w:lang w:val="en-GB" w:bidi="en-GB" w:eastAsia="en-GB"/>
              </w:rPr>
              <w:t>Cooperation with referring physicians and aftercare treatment</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10"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1.4</w:t>
            </w:r>
            <w:r>
              <w:rPr>
                <w:rFonts w:ascii="Arial" w:hAnsi="Arial" w:cs="Arial"/>
                <w:lang w:val="en-GB" w:bidi="en-GB" w:eastAsia="en-GB"/>
              </w:rPr>
              <w:tab/>
            </w:r>
            <w:r>
              <w:rPr>
                <w:rFonts w:ascii="Arial" w:hAnsi="Arial" w:cs="Arial"/>
                <w:sz w:val="14"/>
                <w:lang w:val="en-GB" w:bidi="en-GB" w:eastAsia="en-GB"/>
              </w:rPr>
              <w:t>Psycho-oncology</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10"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1.5</w:t>
            </w:r>
            <w:r>
              <w:rPr>
                <w:rFonts w:ascii="Arial" w:hAnsi="Arial" w:cs="Arial"/>
                <w:lang w:val="en-GB" w:bidi="en-GB" w:eastAsia="en-GB"/>
              </w:rPr>
              <w:tab/>
            </w:r>
            <w:r>
              <w:rPr>
                <w:rFonts w:ascii="Arial" w:hAnsi="Arial" w:cs="Arial"/>
                <w:sz w:val="14"/>
                <w:lang w:val="en-GB" w:bidi="en-GB" w:eastAsia="en-GB"/>
              </w:rPr>
              <w:t>Social work and rehabilitation</w:t>
            </w: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9" w:type="dxa"/>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77"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Borders>
              <w:right w:val="single" w:sz="4" w:space="0" w:shadow="0" w:frame="0"/>
            </w:tcBorders>
            <w:vAlign w:val="center"/>
          </w:tcPr>
          <w:p>
            <w:pPr>
              <w:jc w:val="center"/>
              <w:rPr>
                <w:rFonts w:ascii="Arial" w:hAnsi="Arial" w:cs="Arial"/>
                <w:sz w:val="14"/>
                <w:szCs w:val="14"/>
                <w:lang w:val="en-GB" w:bidi="en-GB" w:eastAsia="en-GB"/>
              </w:rPr>
            </w:pPr>
          </w:p>
        </w:tc>
        <w:tc>
          <w:tcPr>
            <w:tcW w:w="384" w:type="dxa"/>
            <w:tcBorders>
              <w:right w:val="single" w:sz="4" w:space="0" w:shadow="0" w:frame="0"/>
            </w:tcBorders>
            <w:vAlign w:val="center"/>
          </w:tcPr>
          <w:p>
            <w:pPr>
              <w:jc w:val="center"/>
              <w:rPr>
                <w:rFonts w:ascii="Arial" w:hAnsi="Arial" w:cs="Arial"/>
                <w:sz w:val="14"/>
                <w:szCs w:val="14"/>
                <w:lang w:val="en-GB" w:bidi="en-GB" w:eastAsia="en-GB"/>
              </w:rPr>
            </w:pPr>
          </w:p>
        </w:tc>
        <w:tc>
          <w:tcPr>
            <w:tcW w:w="299" w:type="dxa"/>
            <w:tcBorders>
              <w:right w:val="single" w:sz="4" w:space="0" w:shadow="0" w:frame="0"/>
            </w:tcBorders>
            <w:vAlign w:val="center"/>
          </w:tcPr>
          <w:p>
            <w:pPr>
              <w:jc w:val="center"/>
              <w:rPr>
                <w:rFonts w:ascii="Arial" w:hAnsi="Arial" w:cs="Arial"/>
                <w:sz w:val="14"/>
                <w:szCs w:val="14"/>
                <w:lang w:val="en-GB" w:bidi="en-GB" w:eastAsia="en-GB"/>
              </w:rPr>
            </w:pPr>
          </w:p>
        </w:tc>
        <w:tc>
          <w:tcPr>
            <w:tcW w:w="322" w:type="dxa"/>
            <w:tcBorders>
              <w:right w:val="single" w:sz="4" w:space="0" w:shadow="0" w:frame="0"/>
            </w:tcBorders>
            <w:vAlign w:val="center"/>
          </w:tcPr>
          <w:p>
            <w:pPr>
              <w:jc w:val="center"/>
              <w:rPr>
                <w:rFonts w:ascii="Arial" w:hAnsi="Arial" w:cs="Arial"/>
                <w:sz w:val="14"/>
                <w:szCs w:val="14"/>
                <w:lang w:val="en-GB" w:bidi="en-GB" w:eastAsia="en-GB"/>
              </w:rPr>
            </w:pPr>
          </w:p>
        </w:tc>
        <w:tc>
          <w:tcPr>
            <w:tcW w:w="378" w:type="dxa"/>
          </w:tcPr>
          <w:p>
            <w:pPr>
              <w:jc w:val="center"/>
              <w:rPr>
                <w:rFonts w:ascii="Arial" w:hAnsi="Arial" w:cs="Arial"/>
                <w:sz w:val="14"/>
                <w:szCs w:val="14"/>
                <w:lang w:val="en-GB" w:bidi="en-GB" w:eastAsia="en-GB"/>
              </w:rPr>
            </w:pPr>
          </w:p>
        </w:tc>
        <w:tc>
          <w:tcPr>
            <w:tcW w:w="378" w:type="dxa"/>
          </w:tcPr>
          <w:p>
            <w:pPr>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10"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1.6</w:t>
            </w:r>
            <w:r>
              <w:rPr>
                <w:rFonts w:ascii="Arial" w:hAnsi="Arial" w:cs="Arial"/>
                <w:lang w:val="en-GB" w:bidi="en-GB" w:eastAsia="en-GB"/>
              </w:rPr>
              <w:tab/>
            </w:r>
            <w:r>
              <w:rPr>
                <w:rFonts w:ascii="Arial" w:hAnsi="Arial" w:cs="Arial"/>
                <w:sz w:val="14"/>
                <w:lang w:val="en-GB" w:bidi="en-GB" w:eastAsia="en-GB"/>
              </w:rPr>
              <w:t>Patient survey</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10"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1.7</w:t>
            </w:r>
            <w:r>
              <w:rPr>
                <w:rFonts w:ascii="Arial" w:hAnsi="Arial" w:cs="Arial"/>
                <w:lang w:val="en-GB" w:bidi="en-GB" w:eastAsia="en-GB"/>
              </w:rPr>
              <w:tab/>
            </w:r>
            <w:r>
              <w:rPr>
                <w:rFonts w:ascii="Arial" w:hAnsi="Arial" w:cs="Arial"/>
                <w:sz w:val="14"/>
                <w:lang w:val="en-GB" w:bidi="en-GB" w:eastAsia="en-GB"/>
              </w:rPr>
              <w:t>Study management</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r>
      <w:tr>
        <w:trPr>
          <w:trHeight w:hRule="atLeast" w:val="57"/>
        </w:trPr>
        <w:tc>
          <w:tcPr>
            <w:tcW w:w="2029" w:type="dxa"/>
            <w:tcBorders>
              <w:bottom w:val="single" w:sz="4" w:space="0" w:shadow="0" w:frame="0"/>
            </w:tcBorders>
            <w:vAlign w:val="center"/>
          </w:tcPr>
          <w:p>
            <w:pPr>
              <w:tabs>
                <w:tab w:val="left" w:pos="410"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1.8</w:t>
            </w:r>
            <w:r>
              <w:rPr>
                <w:rFonts w:ascii="Arial" w:hAnsi="Arial" w:cs="Arial"/>
                <w:lang w:val="en-GB" w:bidi="en-GB" w:eastAsia="en-GB"/>
              </w:rPr>
              <w:tab/>
            </w:r>
            <w:r>
              <w:rPr>
                <w:rFonts w:ascii="Arial" w:hAnsi="Arial" w:cs="Arial"/>
                <w:sz w:val="14"/>
                <w:lang w:val="en-GB" w:bidi="en-GB" w:eastAsia="en-GB"/>
              </w:rPr>
              <w:t>Nursing care</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shd w:val="clear" w:color="auto" w:fill="A6A6A6" w:themeFill="background1" w:themeFillShade="A6"/>
          </w:tcPr>
          <w:p>
            <w:pPr>
              <w:ind w:left="-57" w:right="-57"/>
              <w:jc w:val="center"/>
              <w:rPr>
                <w:rFonts w:ascii="Arial" w:hAnsi="Arial" w:cs="Arial"/>
                <w:sz w:val="14"/>
                <w:szCs w:val="14"/>
                <w:lang w:val="en-GB" w:bidi="en-GB" w:eastAsia="en-GB"/>
              </w:rPr>
            </w:pPr>
          </w:p>
        </w:tc>
      </w:tr>
      <w:tr>
        <w:trPr>
          <w:trHeight w:hRule="atLeast" w:val="57"/>
        </w:trPr>
        <w:tc>
          <w:tcPr>
            <w:tcW w:w="2029" w:type="dxa"/>
            <w:tcBorders>
              <w:bottom w:val="single" w:sz="4" w:space="0" w:shadow="0" w:frame="0"/>
            </w:tcBorders>
            <w:vAlign w:val="center"/>
          </w:tcPr>
          <w:p>
            <w:pPr>
              <w:tabs>
                <w:tab w:val="left" w:pos="410"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1.9</w:t>
            </w:r>
            <w:r>
              <w:rPr>
                <w:rFonts w:ascii="Arial" w:hAnsi="Arial" w:cs="Arial"/>
                <w:lang w:val="en-GB" w:bidi="en-GB" w:eastAsia="en-GB"/>
              </w:rPr>
              <w:tab/>
            </w:r>
            <w:r>
              <w:rPr>
                <w:rFonts w:ascii="Arial" w:hAnsi="Arial" w:cs="Arial"/>
                <w:sz w:val="14"/>
                <w:lang w:val="en-GB" w:bidi="en-GB" w:eastAsia="en-GB"/>
              </w:rPr>
              <w:t>General service areas</w:t>
            </w: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Borders>
              <w:bottom w:val="single" w:sz="4" w:space="0" w:shadow="0" w:frame="0"/>
            </w:tcBorders>
          </w:tcPr>
          <w:p>
            <w:pPr>
              <w:ind w:left="-57" w:right="-57"/>
              <w:jc w:val="center"/>
              <w:rPr>
                <w:rFonts w:ascii="Arial" w:hAnsi="Arial" w:cs="Arial"/>
                <w:sz w:val="14"/>
                <w:szCs w:val="14"/>
                <w:lang w:val="en-GB" w:bidi="en-GB" w:eastAsia="en-GB"/>
              </w:rPr>
            </w:pPr>
          </w:p>
        </w:tc>
        <w:tc>
          <w:tcPr>
            <w:tcW w:w="379"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Borders>
              <w:bottom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tcBorders>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tcBorders>
          </w:tcPr>
          <w:p>
            <w:pPr>
              <w:ind w:left="-57" w:right="-57"/>
              <w:jc w:val="center"/>
              <w:rPr>
                <w:rFonts w:ascii="Arial" w:hAnsi="Arial" w:cs="Arial"/>
                <w:sz w:val="14"/>
                <w:szCs w:val="14"/>
                <w:lang w:val="en-GB" w:bidi="en-GB" w:eastAsia="en-GB"/>
              </w:rPr>
            </w:pPr>
          </w:p>
        </w:tc>
        <w:tc>
          <w:tcPr>
            <w:tcW w:w="378" w:type="dxa"/>
            <w:tcBorders>
              <w:bottom w:val="single" w:sz="4" w:space="0" w:shadow="0" w:frame="0"/>
            </w:tcBorders>
            <w:shd w:val="clear" w:color="auto" w:fill="A6A6A6" w:themeFill="background1" w:themeFillShade="A6"/>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10"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2</w:t>
            </w:r>
            <w:r>
              <w:rPr>
                <w:rFonts w:ascii="Arial" w:hAnsi="Arial" w:cs="Arial"/>
                <w:lang w:val="en-GB" w:bidi="en-GB" w:eastAsia="en-GB"/>
              </w:rPr>
              <w:tab/>
            </w:r>
            <w:r>
              <w:rPr>
                <w:rFonts w:ascii="Arial" w:hAnsi="Arial" w:cs="Arial"/>
                <w:sz w:val="14"/>
                <w:lang w:val="en-GB" w:bidi="en-GB" w:eastAsia="en-GB"/>
              </w:rPr>
              <w:t xml:space="preserve">Organ-specific </w:t>
            </w:r>
            <w:r>
              <w:rPr>
                <w:rFonts w:ascii="Arial" w:hAnsi="Arial" w:cs="Arial"/>
                <w:sz w:val="14"/>
                <w:szCs w:val="14"/>
                <w:lang w:val="en-GB" w:bidi="en-GB" w:eastAsia="en-GB"/>
              </w:rPr>
              <w:br w:type="textWrapping"/>
            </w:r>
            <w:r>
              <w:rPr>
                <w:rFonts w:ascii="Arial" w:hAnsi="Arial" w:cs="Arial"/>
                <w:sz w:val="14"/>
                <w:lang w:val="en-GB" w:bidi="en-GB" w:eastAsia="en-GB"/>
              </w:rPr>
              <w:t>diagnostics</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25" w:leader="none"/>
              </w:tabs>
              <w:spacing w:before="40" w:after="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3</w:t>
            </w:r>
            <w:r>
              <w:rPr>
                <w:rFonts w:ascii="Arial" w:hAnsi="Arial" w:cs="Arial"/>
                <w:lang w:val="en-GB" w:bidi="en-GB" w:eastAsia="en-GB"/>
              </w:rPr>
              <w:tab/>
            </w:r>
            <w:r>
              <w:rPr>
                <w:rFonts w:ascii="Arial" w:hAnsi="Arial" w:cs="Arial"/>
                <w:sz w:val="14"/>
                <w:lang w:val="en-GB" w:bidi="en-GB" w:eastAsia="en-GB"/>
              </w:rPr>
              <w:t>Radiology</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26" w:leader="none"/>
              </w:tabs>
              <w:spacing w:before="40" w:after="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4</w:t>
            </w:r>
            <w:r>
              <w:rPr>
                <w:rFonts w:ascii="Arial" w:hAnsi="Arial" w:cs="Arial"/>
                <w:lang w:val="en-GB" w:bidi="en-GB" w:eastAsia="en-GB"/>
              </w:rPr>
              <w:tab/>
            </w:r>
            <w:r>
              <w:rPr>
                <w:rFonts w:ascii="Arial" w:hAnsi="Arial" w:cs="Arial"/>
                <w:sz w:val="14"/>
                <w:lang w:val="en-GB" w:bidi="en-GB" w:eastAsia="en-GB"/>
              </w:rPr>
              <w:t>Nuclear medicine</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shd w:val="clear" w:color="auto" w:fill="A6A6A6" w:themeFill="background1" w:themeFillShade="A6"/>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26" w:leader="none"/>
              </w:tabs>
              <w:spacing w:before="40" w:after="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5</w:t>
            </w:r>
            <w:r>
              <w:rPr>
                <w:rFonts w:ascii="Arial" w:hAnsi="Arial" w:cs="Arial"/>
                <w:lang w:val="en-GB" w:bidi="en-GB" w:eastAsia="en-GB"/>
              </w:rPr>
              <w:tab/>
            </w:r>
            <w:r>
              <w:rPr>
                <w:rFonts w:ascii="Arial" w:hAnsi="Arial" w:cs="Arial"/>
                <w:sz w:val="14"/>
                <w:lang w:val="en-GB" w:bidi="en-GB" w:eastAsia="en-GB"/>
              </w:rPr>
              <w:t>Surgical oncology</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shd w:val="clear" w:color="auto" w:fill="A6A6A6" w:themeFill="background1" w:themeFillShade="A6"/>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26"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6</w:t>
            </w:r>
            <w:r>
              <w:rPr>
                <w:rFonts w:ascii="Arial" w:hAnsi="Arial" w:cs="Arial"/>
                <w:lang w:val="en-GB" w:bidi="en-GB" w:eastAsia="en-GB"/>
              </w:rPr>
              <w:tab/>
            </w:r>
            <w:r>
              <w:rPr>
                <w:rFonts w:ascii="Arial" w:hAnsi="Arial" w:cs="Arial"/>
                <w:sz w:val="14"/>
                <w:lang w:val="en-GB" w:bidi="en-GB" w:eastAsia="en-GB"/>
              </w:rPr>
              <w:t>Medical oncology</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26"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7</w:t>
            </w:r>
            <w:r>
              <w:rPr>
                <w:rFonts w:ascii="Arial" w:hAnsi="Arial" w:cs="Arial"/>
                <w:lang w:val="en-GB" w:bidi="en-GB" w:eastAsia="en-GB"/>
              </w:rPr>
              <w:tab/>
            </w:r>
            <w:r>
              <w:rPr>
                <w:rFonts w:ascii="Arial" w:hAnsi="Arial" w:cs="Arial"/>
                <w:sz w:val="14"/>
                <w:lang w:val="en-GB" w:bidi="en-GB" w:eastAsia="en-GB"/>
              </w:rPr>
              <w:t>Radio-oncology</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shd w:val="clear" w:color="auto" w:fill="A6A6A6" w:themeFill="background1" w:themeFillShade="A6"/>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26" w:leader="none"/>
              </w:tabs>
              <w:spacing w:before="40" w:after="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8</w:t>
            </w:r>
            <w:r>
              <w:rPr>
                <w:rFonts w:ascii="Arial" w:hAnsi="Arial" w:cs="Arial"/>
                <w:lang w:val="en-GB" w:bidi="en-GB" w:eastAsia="en-GB"/>
              </w:rPr>
              <w:tab/>
            </w:r>
            <w:r>
              <w:rPr>
                <w:rFonts w:ascii="Arial" w:hAnsi="Arial" w:cs="Arial"/>
                <w:sz w:val="14"/>
                <w:lang w:val="en-GB" w:bidi="en-GB" w:eastAsia="en-GB"/>
              </w:rPr>
              <w:t>Pathology</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26"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9</w:t>
            </w:r>
            <w:r>
              <w:rPr>
                <w:rFonts w:ascii="Arial" w:hAnsi="Arial" w:cs="Arial"/>
                <w:lang w:val="en-GB" w:bidi="en-GB" w:eastAsia="en-GB"/>
              </w:rPr>
              <w:tab/>
            </w:r>
            <w:r>
              <w:rPr>
                <w:rFonts w:ascii="Arial" w:hAnsi="Arial" w:cs="Arial"/>
                <w:sz w:val="14"/>
                <w:lang w:val="en-GB" w:bidi="en-GB" w:eastAsia="en-GB"/>
              </w:rPr>
              <w:t>Palliative care / hospice work</w:t>
            </w: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Pr>
          <w:p>
            <w:pPr>
              <w:ind w:left="-57" w:right="-57"/>
              <w:jc w:val="center"/>
              <w:rPr>
                <w:rFonts w:ascii="Arial" w:hAnsi="Arial" w:cs="Arial"/>
                <w:sz w:val="14"/>
                <w:szCs w:val="14"/>
                <w:lang w:val="en-GB" w:bidi="en-GB" w:eastAsia="en-GB"/>
              </w:rPr>
            </w:pPr>
          </w:p>
        </w:tc>
        <w:tc>
          <w:tcPr>
            <w:tcW w:w="37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Pr>
          <w:p>
            <w:pPr>
              <w:ind w:left="-57" w:right="-57"/>
              <w:jc w:val="center"/>
              <w:rPr>
                <w:rFonts w:ascii="Arial" w:hAnsi="Arial" w:cs="Arial"/>
                <w:sz w:val="14"/>
                <w:szCs w:val="14"/>
                <w:lang w:val="en-GB" w:bidi="en-GB" w:eastAsia="en-GB"/>
              </w:rPr>
            </w:pPr>
          </w:p>
        </w:tc>
        <w:tc>
          <w:tcPr>
            <w:tcW w:w="378" w:type="dxa"/>
            <w:shd w:val="clear" w:color="auto" w:fill="A6A6A6" w:themeFill="background1" w:themeFillShade="A6"/>
          </w:tcPr>
          <w:p>
            <w:pPr>
              <w:ind w:left="-57" w:right="-57"/>
              <w:jc w:val="center"/>
              <w:rPr>
                <w:rFonts w:ascii="Arial" w:hAnsi="Arial" w:cs="Arial"/>
                <w:sz w:val="14"/>
                <w:szCs w:val="14"/>
                <w:lang w:val="en-GB" w:bidi="en-GB" w:eastAsia="en-GB"/>
              </w:rPr>
            </w:pPr>
          </w:p>
        </w:tc>
      </w:tr>
      <w:tr>
        <w:trPr>
          <w:trHeight w:hRule="atLeast" w:val="57"/>
        </w:trPr>
        <w:tc>
          <w:tcPr>
            <w:tcW w:w="2029" w:type="dxa"/>
            <w:vAlign w:val="center"/>
          </w:tcPr>
          <w:p>
            <w:pPr>
              <w:tabs>
                <w:tab w:val="left" w:pos="426" w:leader="none"/>
              </w:tabs>
              <w:spacing w:before="40" w:beforeAutospacing="0" w:afterAutospacing="0"/>
              <w:ind w:hanging="284" w:left="284"/>
              <w:rPr>
                <w:rFonts w:ascii="Arial" w:hAnsi="Arial" w:cs="Arial"/>
                <w:sz w:val="14"/>
                <w:szCs w:val="14"/>
                <w:lang w:val="en-GB" w:bidi="en-GB" w:eastAsia="en-GB"/>
              </w:rPr>
            </w:pPr>
            <w:r>
              <w:rPr>
                <w:rFonts w:ascii="Arial" w:hAnsi="Arial" w:cs="Arial"/>
                <w:sz w:val="14"/>
                <w:lang w:val="en-GB" w:bidi="en-GB" w:eastAsia="en-GB"/>
              </w:rPr>
              <w:t>10</w:t>
            </w:r>
            <w:r>
              <w:rPr>
                <w:rFonts w:ascii="Arial" w:hAnsi="Arial" w:cs="Arial"/>
                <w:lang w:val="en-GB" w:bidi="en-GB" w:eastAsia="en-GB"/>
              </w:rPr>
              <w:tab/>
            </w:r>
            <w:r>
              <w:rPr>
                <w:rFonts w:ascii="Arial" w:hAnsi="Arial" w:cs="Arial"/>
                <w:sz w:val="14"/>
                <w:lang w:val="en-GB" w:bidi="en-GB" w:eastAsia="en-GB"/>
              </w:rPr>
              <w:t>Tumour documentation / Outcome quality</w:t>
            </w: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Borders>
              <w:bottom w:val="single" w:sz="4" w:space="0" w:shadow="0" w:frame="0"/>
            </w:tcBorders>
          </w:tcPr>
          <w:p>
            <w:pPr>
              <w:ind w:left="-57" w:right="-57"/>
              <w:jc w:val="center"/>
              <w:rPr>
                <w:rFonts w:ascii="Arial" w:hAnsi="Arial" w:cs="Arial"/>
                <w:sz w:val="14"/>
                <w:szCs w:val="14"/>
                <w:lang w:val="en-GB" w:bidi="en-GB" w:eastAsia="en-GB"/>
              </w:rPr>
            </w:pPr>
          </w:p>
        </w:tc>
        <w:tc>
          <w:tcPr>
            <w:tcW w:w="379"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9" w:type="dxa"/>
            <w:tcBorders>
              <w:bottom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tcBorders>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7"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84"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299"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22" w:type="dxa"/>
            <w:tcBorders>
              <w:bottom w:val="single" w:sz="4" w:space="0" w:shadow="0" w:frame="0"/>
              <w:right w:val="single" w:sz="4" w:space="0" w:shadow="0" w:frame="0"/>
            </w:tcBorders>
            <w:vAlign w:val="center"/>
          </w:tcPr>
          <w:p>
            <w:pPr>
              <w:ind w:left="-57" w:right="-57"/>
              <w:jc w:val="center"/>
              <w:rPr>
                <w:rFonts w:ascii="Arial" w:hAnsi="Arial" w:cs="Arial"/>
                <w:sz w:val="14"/>
                <w:szCs w:val="14"/>
                <w:lang w:val="en-GB" w:bidi="en-GB" w:eastAsia="en-GB"/>
              </w:rPr>
            </w:pPr>
          </w:p>
        </w:tc>
        <w:tc>
          <w:tcPr>
            <w:tcW w:w="378" w:type="dxa"/>
            <w:tcBorders>
              <w:bottom w:val="single" w:sz="4" w:space="0" w:shadow="0" w:frame="0"/>
            </w:tcBorders>
          </w:tcPr>
          <w:p>
            <w:pPr>
              <w:ind w:left="-57" w:right="-57"/>
              <w:jc w:val="center"/>
              <w:rPr>
                <w:rFonts w:ascii="Arial" w:hAnsi="Arial" w:cs="Arial"/>
                <w:sz w:val="14"/>
                <w:szCs w:val="14"/>
                <w:lang w:val="en-GB" w:bidi="en-GB" w:eastAsia="en-GB"/>
              </w:rPr>
            </w:pPr>
          </w:p>
        </w:tc>
        <w:tc>
          <w:tcPr>
            <w:tcW w:w="378" w:type="dxa"/>
            <w:tcBorders>
              <w:bottom w:val="single" w:sz="4" w:space="0" w:shadow="0" w:frame="0"/>
            </w:tcBorders>
          </w:tcPr>
          <w:p>
            <w:pPr>
              <w:ind w:left="-57" w:right="-57"/>
              <w:jc w:val="center"/>
              <w:rPr>
                <w:rFonts w:ascii="Arial" w:hAnsi="Arial" w:cs="Arial"/>
                <w:sz w:val="14"/>
                <w:szCs w:val="14"/>
                <w:lang w:val="en-GB" w:bidi="en-GB" w:eastAsia="en-GB"/>
              </w:rPr>
            </w:pPr>
          </w:p>
        </w:tc>
      </w:tr>
    </w:tbl>
    <w:p>
      <w:pPr>
        <w:rPr>
          <w:rFonts w:ascii="Arial" w:hAnsi="Arial" w:cs="Arial"/>
          <w:sz w:val="16"/>
          <w:szCs w:val="16"/>
          <w:lang w:val="en-GB" w:bidi="en-GB" w:eastAsia="en-GB"/>
        </w:rPr>
      </w:pPr>
    </w:p>
    <w:p>
      <w:pPr>
        <w:rPr>
          <w:rFonts w:ascii="Arial" w:hAnsi="Arial" w:cs="Arial"/>
          <w:sz w:val="16"/>
          <w:szCs w:val="16"/>
          <w:lang w:val="en-GB" w:bidi="en-GB" w:eastAsia="en-GB"/>
        </w:rPr>
      </w:pPr>
    </w:p>
    <w:tbl>
      <w:tblPr>
        <w:tblW w:w="1003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ook w:val="01E0"/>
      </w:tblPr>
      <w:tblGrid/>
      <w:tr>
        <w:trPr>
          <w:trHeight w:hRule="atLeast" w:val="397"/>
        </w:trPr>
        <w:tc>
          <w:tcPr>
            <w:tcW w:w="1910" w:type="dxa"/>
            <w:shd w:val="clear" w:color="auto" w:fill="92D050"/>
            <w:vAlign w:val="center"/>
          </w:tcPr>
          <w:p>
            <w:pPr>
              <w:jc w:val="center"/>
              <w:rPr>
                <w:rFonts w:ascii="Arial" w:hAnsi="Arial" w:cs="Arial"/>
                <w:sz w:val="14"/>
                <w:szCs w:val="14"/>
                <w:lang w:val="en-GB" w:bidi="en-GB" w:eastAsia="en-GB"/>
              </w:rPr>
            </w:pPr>
            <w:r>
              <w:rPr>
                <w:rFonts w:ascii="Arial" w:hAnsi="Arial" w:cs="Arial"/>
                <w:sz w:val="14"/>
                <w:lang w:val="en-GB" w:bidi="en-GB" w:eastAsia="en-GB"/>
              </w:rPr>
              <w:t>Central</w:t>
            </w:r>
          </w:p>
        </w:tc>
        <w:tc>
          <w:tcPr>
            <w:tcW w:w="8121" w:type="dxa"/>
            <w:vAlign w:val="center"/>
          </w:tcPr>
          <w:p>
            <w:pPr>
              <w:rPr>
                <w:rFonts w:ascii="Arial" w:hAnsi="Arial" w:cs="Arial"/>
                <w:sz w:val="14"/>
                <w:szCs w:val="14"/>
                <w:lang w:val="en-GB" w:bidi="en-GB" w:eastAsia="en-GB"/>
              </w:rPr>
            </w:pPr>
            <w:r>
              <w:rPr>
                <w:rFonts w:ascii="Arial" w:hAnsi="Arial" w:cs="Arial"/>
                <w:sz w:val="14"/>
                <w:lang w:val="en-GB" w:bidi="en-GB" w:eastAsia="en-GB"/>
              </w:rPr>
              <w:t>“Centrally” managed in the Oncology Centre</w:t>
            </w:r>
            <w:r>
              <w:rPr>
                <w:rFonts w:ascii="Arial" w:hAnsi="Arial" w:cs="Arial"/>
                <w:sz w:val="14"/>
                <w:szCs w:val="14"/>
                <w:lang w:val="en-GB" w:bidi="en-GB" w:eastAsia="en-GB"/>
              </w:rPr>
              <w:br w:type="textWrapping"/>
            </w:r>
            <w:r>
              <w:rPr>
                <w:rFonts w:ascii="Arial" w:hAnsi="Arial" w:cs="Arial"/>
                <w:sz w:val="14"/>
                <w:lang w:val="en-GB" w:bidi="en-GB" w:eastAsia="en-GB"/>
              </w:rPr>
              <w:t>Joint organisation for various organs and cooperating specialty units</w:t>
            </w:r>
          </w:p>
        </w:tc>
      </w:tr>
      <w:tr>
        <w:trPr>
          <w:trHeight w:hRule="atLeast" w:val="397"/>
        </w:trPr>
        <w:tc>
          <w:tcPr>
            <w:tcW w:w="1910" w:type="dxa"/>
            <w:tcBorders>
              <w:bottom w:val="single" w:sz="4" w:space="0" w:shadow="0" w:frame="0" w:color="000000"/>
            </w:tcBorders>
            <w:shd w:val="clear" w:color="auto" w:fill="FFFF99"/>
            <w:vAlign w:val="center"/>
          </w:tcPr>
          <w:p>
            <w:pPr>
              <w:jc w:val="center"/>
              <w:rPr>
                <w:rFonts w:ascii="Arial" w:hAnsi="Arial" w:cs="Arial"/>
                <w:sz w:val="14"/>
                <w:szCs w:val="14"/>
                <w:lang w:val="en-GB" w:bidi="en-GB" w:eastAsia="en-GB"/>
              </w:rPr>
            </w:pPr>
            <w:r>
              <w:rPr>
                <w:rFonts w:ascii="Arial" w:hAnsi="Arial" w:cs="Arial"/>
                <w:sz w:val="14"/>
                <w:lang w:val="en-GB" w:bidi="en-GB" w:eastAsia="en-GB"/>
              </w:rPr>
              <w:t>Specialty related</w:t>
            </w:r>
          </w:p>
        </w:tc>
        <w:tc>
          <w:tcPr>
            <w:tcW w:w="8121" w:type="dxa"/>
            <w:vAlign w:val="center"/>
          </w:tcPr>
          <w:p>
            <w:pPr>
              <w:rPr>
                <w:rFonts w:ascii="Arial" w:hAnsi="Arial" w:cs="Arial"/>
                <w:sz w:val="14"/>
                <w:szCs w:val="14"/>
                <w:lang w:val="en-GB" w:bidi="en-GB" w:eastAsia="en-GB"/>
              </w:rPr>
            </w:pPr>
            <w:r>
              <w:rPr>
                <w:rFonts w:ascii="Arial" w:hAnsi="Arial" w:cs="Arial"/>
                <w:sz w:val="14"/>
                <w:lang w:val="en-GB" w:bidi="en-GB" w:eastAsia="en-GB"/>
              </w:rPr>
              <w:t>Is coordinated by one specialty unit for several organs</w:t>
            </w:r>
          </w:p>
        </w:tc>
      </w:tr>
      <w:tr>
        <w:trPr>
          <w:trHeight w:hRule="atLeast" w:val="397"/>
        </w:trPr>
        <w:tc>
          <w:tcPr>
            <w:tcW w:w="1910" w:type="dxa"/>
            <w:tcBorders>
              <w:bottom w:val="single" w:sz="4" w:space="0" w:shadow="0" w:frame="0" w:color="000000"/>
            </w:tcBorders>
            <w:shd w:val="clear" w:color="auto" w:fill="FFCC00"/>
            <w:vAlign w:val="center"/>
          </w:tcPr>
          <w:p>
            <w:pPr>
              <w:jc w:val="center"/>
              <w:rPr>
                <w:rFonts w:ascii="Arial" w:hAnsi="Arial" w:cs="Arial"/>
                <w:sz w:val="14"/>
                <w:szCs w:val="14"/>
                <w:lang w:val="en-GB" w:bidi="en-GB" w:eastAsia="en-GB"/>
              </w:rPr>
            </w:pPr>
            <w:r>
              <w:rPr>
                <w:rFonts w:ascii="Arial" w:hAnsi="Arial" w:cs="Arial"/>
                <w:sz w:val="14"/>
                <w:lang w:val="en-GB" w:bidi="en-GB" w:eastAsia="en-GB"/>
              </w:rPr>
              <w:t>Organ-specific</w:t>
            </w:r>
          </w:p>
        </w:tc>
        <w:tc>
          <w:tcPr>
            <w:tcW w:w="8121" w:type="dxa"/>
            <w:vAlign w:val="center"/>
          </w:tcPr>
          <w:p>
            <w:pPr>
              <w:rPr>
                <w:rFonts w:ascii="Arial" w:hAnsi="Arial" w:cs="Arial"/>
                <w:sz w:val="14"/>
                <w:szCs w:val="14"/>
                <w:lang w:val="en-GB" w:bidi="en-GB" w:eastAsia="en-GB"/>
              </w:rPr>
            </w:pPr>
            <w:r>
              <w:rPr>
                <w:rFonts w:ascii="Arial" w:hAnsi="Arial" w:cs="Arial"/>
                <w:sz w:val="14"/>
                <w:lang w:val="en-GB" w:bidi="en-GB" w:eastAsia="en-GB"/>
              </w:rPr>
              <w:t>Is “independently” managed by one unit of the Oncology Centre “decentralised approach”</w:t>
            </w:r>
          </w:p>
        </w:tc>
      </w:tr>
      <w:tr>
        <w:trPr>
          <w:trHeight w:hRule="atLeast" w:val="397"/>
        </w:trPr>
        <w:tc>
          <w:tcPr>
            <w:tcW w:w="1910" w:type="dxa"/>
            <w:tcBorders>
              <w:bottom w:val="single" w:sz="4" w:space="0" w:shadow="0" w:frame="0" w:color="000000"/>
            </w:tcBorders>
            <w:shd w:val="horzCross" w:color="auto" w:fill="auto"/>
            <w:vAlign w:val="center"/>
          </w:tcPr>
          <w:p>
            <w:pPr>
              <w:jc w:val="center"/>
              <w:rPr>
                <w:rFonts w:ascii="Arial" w:hAnsi="Arial" w:cs="Arial"/>
                <w:sz w:val="14"/>
                <w:szCs w:val="14"/>
                <w:lang w:val="en-GB" w:bidi="en-GB" w:eastAsia="en-GB"/>
              </w:rPr>
            </w:pPr>
          </w:p>
        </w:tc>
        <w:tc>
          <w:tcPr>
            <w:tcW w:w="8121" w:type="dxa"/>
            <w:tcBorders>
              <w:bottom w:val="single" w:sz="4" w:space="0" w:shadow="0" w:frame="0" w:color="000000"/>
            </w:tcBorders>
            <w:vAlign w:val="center"/>
          </w:tcPr>
          <w:p>
            <w:pPr>
              <w:rPr>
                <w:rFonts w:ascii="Arial" w:hAnsi="Arial" w:cs="Arial"/>
                <w:sz w:val="14"/>
                <w:szCs w:val="14"/>
                <w:lang w:val="en-GB" w:bidi="en-GB" w:eastAsia="en-GB"/>
              </w:rPr>
            </w:pPr>
            <w:r>
              <w:rPr>
                <w:rFonts w:ascii="Arial" w:hAnsi="Arial" w:cs="Arial"/>
                <w:sz w:val="14"/>
                <w:lang w:val="en-GB" w:bidi="en-GB" w:eastAsia="en-GB"/>
              </w:rPr>
              <w:t>Treatment area is not relevant for corresponding organ or treatment is not provided for one specific organ</w:t>
            </w:r>
          </w:p>
        </w:tc>
      </w:tr>
      <w:tr>
        <w:tc>
          <w:tcPr>
            <w:tcW w:w="1910" w:type="dxa"/>
            <w:tcBorders>
              <w:left w:val="nil"/>
              <w:right w:val="nil"/>
            </w:tcBorders>
          </w:tcPr>
          <w:p>
            <w:pPr>
              <w:jc w:val="center"/>
              <w:rPr>
                <w:rFonts w:ascii="Arial" w:hAnsi="Arial" w:cs="Arial"/>
                <w:sz w:val="14"/>
                <w:szCs w:val="14"/>
                <w:lang w:val="en-GB" w:bidi="en-GB" w:eastAsia="en-GB"/>
              </w:rPr>
            </w:pPr>
            <w:r>
              <w:rPr>
                <w:rFonts w:ascii="Arial" w:hAnsi="Arial" w:cs="Arial"/>
                <w:sz w:val="14"/>
                <w:szCs w:val="14"/>
                <w:lang w:val="en-GB" w:bidi="en-GB" w:eastAsia="en-GB"/>
              </w:rPr>
              <w:br w:type="textWrapping"/>
            </w:r>
            <w:r>
              <w:rPr>
                <w:rFonts w:ascii="Arial" w:hAnsi="Arial" w:cs="Arial"/>
                <w:sz w:val="14"/>
                <w:lang w:val="en-GB" w:bidi="en-GB" w:eastAsia="en-GB"/>
              </w:rPr>
              <w:t xml:space="preserve"> Level of competence</w:t>
            </w:r>
          </w:p>
        </w:tc>
        <w:tc>
          <w:tcPr>
            <w:tcW w:w="8121" w:type="dxa"/>
            <w:tcBorders>
              <w:left w:val="nil"/>
              <w:right w:val="nil"/>
            </w:tcBorders>
          </w:tcPr>
          <w:p>
            <w:pPr>
              <w:rPr>
                <w:rFonts w:ascii="Arial" w:hAnsi="Arial" w:cs="Arial"/>
                <w:sz w:val="14"/>
                <w:szCs w:val="14"/>
                <w:lang w:val="en-GB" w:bidi="en-GB" w:eastAsia="en-GB"/>
              </w:rPr>
            </w:pPr>
          </w:p>
        </w:tc>
      </w:tr>
      <w:tr>
        <w:tc>
          <w:tcPr>
            <w:tcW w:w="1910" w:type="dxa"/>
            <w:vAlign w:val="center"/>
          </w:tcPr>
          <w:p>
            <w:pPr>
              <w:jc w:val="center"/>
              <w:rPr>
                <w:rFonts w:ascii="Arial" w:hAnsi="Arial" w:cs="Arial"/>
                <w:sz w:val="14"/>
                <w:szCs w:val="14"/>
                <w:lang w:val="en-GB" w:bidi="en-GB" w:eastAsia="en-GB"/>
              </w:rPr>
            </w:pPr>
            <w:r>
              <w:rPr>
                <w:rFonts w:ascii="Arial" w:hAnsi="Arial" w:cs="Arial"/>
                <w:sz w:val="14"/>
                <w:lang w:val="en-GB" w:bidi="en-GB" w:eastAsia="en-GB"/>
              </w:rPr>
              <w:t>C</w:t>
            </w:r>
          </w:p>
        </w:tc>
        <w:tc>
          <w:tcPr>
            <w:tcW w:w="8121" w:type="dxa"/>
            <w:vAlign w:val="center"/>
          </w:tcPr>
          <w:p>
            <w:pPr>
              <w:rPr>
                <w:rFonts w:ascii="Arial" w:hAnsi="Arial" w:cs="Arial"/>
                <w:sz w:val="14"/>
                <w:szCs w:val="14"/>
                <w:lang w:val="en-GB" w:bidi="en-GB" w:eastAsia="en-GB"/>
              </w:rPr>
            </w:pPr>
            <w:r>
              <w:rPr>
                <w:rFonts w:ascii="Arial" w:hAnsi="Arial" w:cs="Arial"/>
                <w:sz w:val="14"/>
                <w:lang w:val="en-GB" w:bidi="en-GB" w:eastAsia="en-GB"/>
              </w:rPr>
              <w:t>Organ Cancer Centre</w:t>
            </w:r>
          </w:p>
        </w:tc>
      </w:tr>
      <w:tr>
        <w:tc>
          <w:tcPr>
            <w:tcW w:w="1910" w:type="dxa"/>
            <w:vAlign w:val="center"/>
          </w:tcPr>
          <w:p>
            <w:pPr>
              <w:jc w:val="center"/>
              <w:rPr>
                <w:rFonts w:ascii="Arial" w:hAnsi="Arial" w:cs="Arial"/>
                <w:sz w:val="14"/>
                <w:szCs w:val="14"/>
                <w:lang w:val="en-GB" w:bidi="en-GB" w:eastAsia="en-GB"/>
              </w:rPr>
            </w:pPr>
            <w:r>
              <w:rPr>
                <w:rFonts w:ascii="Arial" w:hAnsi="Arial" w:cs="Arial"/>
                <w:sz w:val="14"/>
                <w:lang w:val="en-GB" w:bidi="en-GB" w:eastAsia="en-GB"/>
              </w:rPr>
              <w:t>M</w:t>
            </w:r>
          </w:p>
        </w:tc>
        <w:tc>
          <w:tcPr>
            <w:tcW w:w="8121" w:type="dxa"/>
            <w:vAlign w:val="center"/>
          </w:tcPr>
          <w:p>
            <w:pPr>
              <w:rPr>
                <w:rFonts w:ascii="Arial" w:hAnsi="Arial" w:cs="Arial"/>
                <w:sz w:val="14"/>
                <w:szCs w:val="14"/>
                <w:lang w:val="en-GB" w:bidi="en-GB" w:eastAsia="en-GB"/>
              </w:rPr>
            </w:pPr>
            <w:r>
              <w:rPr>
                <w:rFonts w:ascii="Arial" w:hAnsi="Arial" w:cs="Arial"/>
                <w:sz w:val="14"/>
                <w:lang w:val="en-GB" w:bidi="en-GB" w:eastAsia="en-GB"/>
              </w:rPr>
              <w:t>Module</w:t>
            </w:r>
          </w:p>
        </w:tc>
      </w:tr>
      <w:tr>
        <w:tc>
          <w:tcPr>
            <w:tcW w:w="1910" w:type="dxa"/>
            <w:vAlign w:val="center"/>
          </w:tcPr>
          <w:p>
            <w:pPr>
              <w:jc w:val="center"/>
              <w:rPr>
                <w:rFonts w:ascii="Arial" w:hAnsi="Arial" w:cs="Arial"/>
                <w:sz w:val="14"/>
                <w:szCs w:val="14"/>
                <w:lang w:val="en-GB" w:bidi="en-GB" w:eastAsia="en-GB"/>
              </w:rPr>
            </w:pPr>
            <w:r>
              <w:rPr>
                <w:rFonts w:ascii="Arial" w:hAnsi="Arial" w:cs="Arial"/>
                <w:sz w:val="14"/>
                <w:lang w:val="en-GB" w:bidi="en-GB" w:eastAsia="en-GB"/>
              </w:rPr>
              <w:t>F</w:t>
            </w:r>
          </w:p>
        </w:tc>
        <w:tc>
          <w:tcPr>
            <w:tcW w:w="8121" w:type="dxa"/>
            <w:vAlign w:val="center"/>
          </w:tcPr>
          <w:p>
            <w:pPr>
              <w:rPr>
                <w:rFonts w:ascii="Arial" w:hAnsi="Arial" w:cs="Arial"/>
                <w:sz w:val="14"/>
                <w:szCs w:val="14"/>
                <w:lang w:val="en-GB" w:bidi="en-GB" w:eastAsia="en-GB"/>
              </w:rPr>
            </w:pPr>
            <w:r>
              <w:rPr>
                <w:rFonts w:ascii="Arial" w:hAnsi="Arial" w:cs="Arial"/>
                <w:sz w:val="14"/>
                <w:lang w:val="en-GB" w:bidi="en-GB" w:eastAsia="en-GB"/>
              </w:rPr>
              <w:t>Foci</w:t>
            </w:r>
          </w:p>
        </w:tc>
      </w:tr>
      <w:tr>
        <w:trPr>
          <w:trHeight w:hRule="atLeast" w:val="74"/>
        </w:trPr>
        <w:tc>
          <w:tcPr>
            <w:tcW w:w="1910" w:type="dxa"/>
            <w:vAlign w:val="center"/>
          </w:tcPr>
          <w:p>
            <w:pPr>
              <w:jc w:val="center"/>
              <w:rPr>
                <w:rFonts w:ascii="Arial" w:hAnsi="Arial" w:cs="Arial"/>
                <w:sz w:val="14"/>
                <w:szCs w:val="14"/>
                <w:lang w:val="en-GB" w:bidi="en-GB" w:eastAsia="en-GB"/>
              </w:rPr>
            </w:pPr>
            <w:r>
              <w:rPr>
                <w:rFonts w:ascii="Arial" w:hAnsi="Arial" w:cs="Arial"/>
                <w:sz w:val="14"/>
                <w:lang w:val="en-GB" w:bidi="en-GB" w:eastAsia="en-GB"/>
              </w:rPr>
              <w:t>T</w:t>
            </w:r>
          </w:p>
        </w:tc>
        <w:tc>
          <w:tcPr>
            <w:tcW w:w="8121" w:type="dxa"/>
            <w:vAlign w:val="center"/>
          </w:tcPr>
          <w:p>
            <w:pPr>
              <w:rPr>
                <w:rFonts w:ascii="Arial" w:hAnsi="Arial" w:cs="Arial"/>
                <w:sz w:val="14"/>
                <w:szCs w:val="14"/>
                <w:lang w:val="en-GB" w:bidi="en-GB" w:eastAsia="en-GB"/>
              </w:rPr>
            </w:pPr>
            <w:r>
              <w:rPr>
                <w:rFonts w:ascii="Arial" w:hAnsi="Arial" w:cs="Arial"/>
                <w:sz w:val="14"/>
                <w:lang w:val="en-GB" w:bidi="en-GB" w:eastAsia="en-GB"/>
              </w:rPr>
              <w:t>Transfer/Transit Centres</w:t>
            </w:r>
          </w:p>
        </w:tc>
      </w:tr>
      <w:tr>
        <w:tc>
          <w:tcPr>
            <w:tcW w:w="1910" w:type="dxa"/>
            <w:vAlign w:val="center"/>
          </w:tcPr>
          <w:p>
            <w:pPr>
              <w:jc w:val="center"/>
              <w:rPr>
                <w:rFonts w:ascii="Arial" w:hAnsi="Arial" w:cs="Arial"/>
                <w:sz w:val="14"/>
                <w:szCs w:val="14"/>
                <w:lang w:val="en-GB" w:bidi="en-GB" w:eastAsia="en-GB"/>
              </w:rPr>
            </w:pPr>
            <w:r>
              <w:rPr>
                <w:rFonts w:ascii="Arial" w:hAnsi="Arial" w:cs="Arial"/>
                <w:sz w:val="14"/>
                <w:lang w:val="en-GB" w:bidi="en-GB" w:eastAsia="en-GB"/>
              </w:rPr>
              <w:t>A</w:t>
            </w:r>
          </w:p>
        </w:tc>
        <w:tc>
          <w:tcPr>
            <w:tcW w:w="8121" w:type="dxa"/>
            <w:vAlign w:val="center"/>
          </w:tcPr>
          <w:p>
            <w:pPr>
              <w:rPr>
                <w:rFonts w:ascii="Arial" w:hAnsi="Arial" w:cs="Arial"/>
                <w:sz w:val="14"/>
                <w:szCs w:val="14"/>
                <w:lang w:val="en-GB" w:bidi="en-GB" w:eastAsia="en-GB"/>
              </w:rPr>
            </w:pPr>
            <w:r>
              <w:rPr>
                <w:rFonts w:ascii="Arial" w:hAnsi="Arial" w:cs="Arial"/>
                <w:sz w:val="14"/>
                <w:lang w:val="en-GB" w:bidi="en-GB" w:eastAsia="en-GB"/>
              </w:rPr>
              <w:t xml:space="preserve">Active treatment but not considered within scope of certification </w:t>
            </w:r>
          </w:p>
        </w:tc>
      </w:tr>
      <w:tr>
        <w:tc>
          <w:tcPr>
            <w:tcW w:w="1910" w:type="dxa"/>
            <w:vAlign w:val="center"/>
          </w:tcPr>
          <w:p>
            <w:pPr>
              <w:jc w:val="center"/>
              <w:rPr>
                <w:rFonts w:ascii="Arial" w:hAnsi="Arial" w:cs="Arial"/>
                <w:sz w:val="14"/>
                <w:szCs w:val="14"/>
                <w:lang w:val="en-GB" w:bidi="en-GB" w:eastAsia="en-GB"/>
              </w:rPr>
            </w:pPr>
            <w:r>
              <w:rPr>
                <w:rFonts w:ascii="Arial" w:hAnsi="Arial" w:cs="Arial"/>
                <w:sz w:val="14"/>
                <w:lang w:val="en-GB" w:bidi="en-GB" w:eastAsia="en-GB"/>
              </w:rPr>
              <w:t>n</w:t>
            </w:r>
          </w:p>
        </w:tc>
        <w:tc>
          <w:tcPr>
            <w:tcW w:w="8121" w:type="dxa"/>
            <w:vAlign w:val="center"/>
          </w:tcPr>
          <w:p>
            <w:pPr>
              <w:rPr>
                <w:rFonts w:ascii="Arial" w:hAnsi="Arial" w:cs="Arial"/>
                <w:sz w:val="14"/>
                <w:szCs w:val="14"/>
                <w:lang w:val="en-GB" w:bidi="en-GB" w:eastAsia="en-GB"/>
              </w:rPr>
            </w:pPr>
            <w:r>
              <w:rPr>
                <w:rFonts w:ascii="Arial" w:hAnsi="Arial" w:cs="Arial"/>
                <w:sz w:val="14"/>
                <w:lang w:val="en-GB" w:bidi="en-GB" w:eastAsia="en-GB"/>
              </w:rPr>
              <w:t>No treatment of this organ in line with the Centre philosophy</w:t>
            </w:r>
          </w:p>
        </w:tc>
      </w:tr>
    </w:tbl>
    <w:p>
      <w:pPr>
        <w:rPr>
          <w:rFonts w:ascii="Arial" w:hAnsi="Arial" w:cs="Arial"/>
          <w:lang w:val="en-US"/>
        </w:rPr>
      </w:pPr>
      <w:r>
        <w:rPr>
          <w:rFonts w:ascii="Arial" w:hAnsi="Arial" w:cs="Arial"/>
          <w:lang w:val="en-GB" w:bidi="en-GB" w:eastAsia="en-GB"/>
        </w:rPr>
        <w:br w:type="page"/>
      </w: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w:t>
        <w:tab/>
        <w:t xml:space="preserve"> General details of the Cancer Centre</w:t>
      </w:r>
    </w:p>
    <w:p>
      <w:pPr>
        <w:rPr>
          <w:rFonts w:ascii="Arial" w:hAnsi="Arial" w:cs="Arial"/>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1.1</w:t>
              <w:tab/>
              <w:t xml:space="preserve"> Structure of the network</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Centre matrix</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responsibilities for the main requirements are to be specified in the Centre matrix.</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“Centralised” responsibility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This means that certain services/requirements of the Organ Cancer Centre or specialty department are provided/met on a centralised basis.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“Decentralised” responsibility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Specific requirements are tackled and met independently of centralised solutions.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Mixed “centralised” and “decentralised” forms are possible.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1.1.2.a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Steering committee/ Director OC</w:t>
            </w:r>
          </w:p>
          <w:p>
            <w:pPr>
              <w:spacing w:before="0" w:after="19"/>
              <w:rPr>
                <w:rFonts w:ascii="Arial" w:hAnsi="Arial" w:cs="Arial"/>
                <w:sz w:val="20"/>
                <w:szCs w:val="20"/>
                <w:lang w:val="ro-RO" w:bidi="ar-SA"/>
              </w:rPr>
            </w:pPr>
            <w:r>
              <w:rPr>
                <w:rFonts w:ascii="Arial" w:hAnsi="Arial" w:cs="Arial"/>
                <w:sz w:val="20"/>
                <w:szCs w:val="20"/>
              </w:rPr>
              <w:t>A steering committee is to be set up in which the central responsibilities are organised and monitored.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1.1.2.b</w:t>
            </w:r>
          </w:p>
        </w:tc>
        <w:tc>
          <w:tcPr>
            <w:tcW w:w="1" w:type="dxa"/>
          </w:tcPr>
          <w:p>
            <w:pPr>
              <w:spacing w:before="0" w:after="19"/>
              <w:rPr>
                <w:rFonts w:ascii="Arial" w:hAnsi="Arial" w:cs="Arial"/>
                <w:sz w:val="20"/>
                <w:szCs w:val="20"/>
                <w:lang w:val="ro-RO" w:bidi="ar-SA"/>
              </w:rPr>
            </w:pPr>
            <w:r>
              <w:rPr>
                <w:rFonts w:ascii="Arial" w:hAnsi="Arial" w:cs="Arial"/>
                <w:sz w:val="20"/>
                <w:szCs w:val="20"/>
              </w:rPr>
              <w:t>A director and deputy director for the Centre are to be appointed in the steering committee. The OC director and his deputy should possess broad clinical experience in the diagnosis, treatment and aftercare of solid tumours as well as in palliative medicine.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1.1.2.c</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working methods of the steering committee are defined in standard operating procedures (SOPs). They cover in particular the following:</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Selection and appointment of the members (recommendation: directors of the Organ Cancer Centres/Modules and representatives of other specialty units)</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Working methods of the steering committee (decision-making channels)</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Definition of objectives, orientation and further development of the Oncology Centre, drawing up and distribution of a mission statement</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Integration of the Organ Cancer Centres</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Appointment of a central Centre coordinator</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Participation/ tasks of the centralised QM department</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Public relations</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Annual review</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Cooperation with external/national institutions (cancer registries, foundations...)</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Preparation and updating of cooperation agreements for the “centralised responsibilities”</w:t>
            </w:r>
          </w:p>
          <w:p>
            <w:pPr>
              <w:framePr w:w="0" w:h="0" w:hRule="auto" w:vSpace="0" w:hSpace="0" w:wrap="auto" w:hAnchor="text" w:x="0" w:xAlign="left" w:yAlign="inline" w:anchorLock="0"/>
              <w:numPr>
                <w:ilvl w:val="0"/>
                <w:numId w:val="16"/>
              </w:numPr>
              <w:spacing w:before="0" w:after="19"/>
              <w:ind w:hanging="283" w:left="283" w:right="0"/>
              <w:rPr>
                <w:rFonts w:ascii="Arial" w:hAnsi="Arial" w:cs="Arial"/>
                <w:sz w:val="20"/>
                <w:szCs w:val="20"/>
              </w:rPr>
            </w:pPr>
            <w:r>
              <w:rPr>
                <w:rFonts w:ascii="Arial" w:hAnsi="Arial" w:cs="Arial"/>
                <w:sz w:val="20"/>
                <w:szCs w:val="20"/>
              </w:rPr>
              <w:t>Implementation of an action plan</w:t>
            </w:r>
          </w:p>
          <w:p>
            <w:pPr>
              <w:numPr>
                <w:ilvl w:val="0"/>
                <w:numId w:val="16"/>
              </w:numPr>
              <w:spacing w:before="0" w:after="19"/>
              <w:ind w:hanging="283" w:left="283"/>
              <w:rPr>
                <w:rFonts w:ascii="Arial" w:hAnsi="Arial" w:cs="Arial"/>
                <w:sz w:val="20"/>
                <w:szCs w:val="20"/>
                <w:lang w:val="ro-RO" w:bidi="ar-SA"/>
              </w:rPr>
            </w:pPr>
            <w:r>
              <w:rPr>
                <w:rFonts w:ascii="Arial" w:hAnsi="Arial" w:cs="Arial"/>
                <w:sz w:val="20"/>
                <w:szCs w:val="20"/>
              </w:rPr>
              <w:t>Initiation of quality circles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Centre Coordinator – duties</w:t>
            </w:r>
          </w:p>
          <w:p>
            <w:pPr>
              <w:framePr w:w="0" w:h="0" w:hRule="auto" w:vSpace="0" w:hSpace="0" w:wrap="auto" w:hAnchor="text" w:x="0" w:xAlign="left" w:yAlign="inline" w:anchorLock="0"/>
              <w:numPr>
                <w:ilvl w:val="0"/>
                <w:numId w:val="17"/>
              </w:numPr>
              <w:spacing w:before="0" w:after="19"/>
              <w:ind w:hanging="283" w:left="283" w:right="0"/>
              <w:rPr>
                <w:rFonts w:ascii="Arial" w:hAnsi="Arial" w:cs="Arial"/>
                <w:sz w:val="20"/>
                <w:szCs w:val="20"/>
              </w:rPr>
            </w:pPr>
            <w:r>
              <w:rPr>
                <w:rFonts w:ascii="Arial" w:hAnsi="Arial" w:cs="Arial"/>
                <w:sz w:val="20"/>
                <w:szCs w:val="20"/>
              </w:rPr>
              <w:t>Preparation of steering committee meetings</w:t>
            </w:r>
          </w:p>
          <w:p>
            <w:pPr>
              <w:framePr w:w="0" w:h="0" w:hRule="auto" w:vSpace="0" w:hSpace="0" w:wrap="auto" w:hAnchor="text" w:x="0" w:xAlign="left" w:yAlign="inline" w:anchorLock="0"/>
              <w:numPr>
                <w:ilvl w:val="0"/>
                <w:numId w:val="17"/>
              </w:numPr>
              <w:spacing w:before="0" w:after="19"/>
              <w:ind w:hanging="283" w:left="283" w:right="0"/>
              <w:rPr>
                <w:rFonts w:ascii="Arial" w:hAnsi="Arial" w:cs="Arial"/>
                <w:sz w:val="20"/>
                <w:szCs w:val="20"/>
              </w:rPr>
            </w:pPr>
            <w:r>
              <w:rPr>
                <w:rFonts w:ascii="Arial" w:hAnsi="Arial" w:cs="Arial"/>
                <w:sz w:val="20"/>
                <w:szCs w:val="20"/>
              </w:rPr>
              <w:t>Coordination of internal/ external audits</w:t>
            </w:r>
          </w:p>
          <w:p>
            <w:pPr>
              <w:framePr w:w="0" w:h="0" w:hRule="auto" w:vSpace="0" w:hSpace="0" w:wrap="auto" w:hAnchor="text" w:x="0" w:xAlign="left" w:yAlign="inline" w:anchorLock="0"/>
              <w:numPr>
                <w:ilvl w:val="0"/>
                <w:numId w:val="17"/>
              </w:numPr>
              <w:spacing w:before="0" w:after="19"/>
              <w:ind w:hanging="283" w:left="283" w:right="0"/>
              <w:rPr>
                <w:rFonts w:ascii="Arial" w:hAnsi="Arial" w:cs="Arial"/>
                <w:sz w:val="20"/>
                <w:szCs w:val="20"/>
              </w:rPr>
            </w:pPr>
            <w:r>
              <w:rPr>
                <w:rFonts w:ascii="Arial" w:hAnsi="Arial" w:cs="Arial"/>
                <w:sz w:val="20"/>
                <w:szCs w:val="20"/>
              </w:rPr>
              <w:t>Monitoring and upholding Technical and Medical Requirements</w:t>
            </w:r>
          </w:p>
          <w:p>
            <w:pPr>
              <w:framePr w:w="0" w:h="0" w:hRule="auto" w:vSpace="0" w:hSpace="0" w:wrap="auto" w:hAnchor="text" w:x="0" w:xAlign="left" w:yAlign="inline" w:anchorLock="0"/>
              <w:numPr>
                <w:ilvl w:val="0"/>
                <w:numId w:val="17"/>
              </w:numPr>
              <w:spacing w:before="0" w:after="19"/>
              <w:ind w:hanging="283" w:left="283" w:right="0"/>
              <w:rPr>
                <w:rFonts w:ascii="Arial" w:hAnsi="Arial" w:cs="Arial"/>
                <w:sz w:val="20"/>
                <w:szCs w:val="20"/>
              </w:rPr>
            </w:pPr>
            <w:r>
              <w:rPr>
                <w:rFonts w:ascii="Arial" w:hAnsi="Arial" w:cs="Arial"/>
                <w:sz w:val="20"/>
                <w:szCs w:val="20"/>
              </w:rPr>
              <w:t>Communication interface</w:t>
            </w:r>
          </w:p>
          <w:p>
            <w:pPr>
              <w:numPr>
                <w:ilvl w:val="0"/>
                <w:numId w:val="17"/>
              </w:numPr>
              <w:spacing w:before="0" w:after="19"/>
              <w:ind w:hanging="283" w:left="283"/>
              <w:rPr>
                <w:rFonts w:ascii="Arial" w:hAnsi="Arial" w:cs="Arial"/>
                <w:sz w:val="20"/>
                <w:szCs w:val="20"/>
                <w:lang w:val="ro-RO" w:bidi="ar-SA"/>
              </w:rPr>
            </w:pPr>
            <w:r>
              <w:rPr>
                <w:rFonts w:ascii="Arial" w:hAnsi="Arial" w:cs="Arial"/>
                <w:sz w:val="20"/>
                <w:szCs w:val="20"/>
              </w:rPr>
              <w:t>Controlling/monitoring actions initiated by the steering committee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1.1.4 G-BA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Annual review</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following points are to be considered by the steering committee in the annual review:</w:t>
            </w:r>
          </w:p>
          <w:p>
            <w:pPr>
              <w:framePr w:w="0" w:h="0" w:hRule="auto" w:vSpace="0" w:hSpace="0" w:wrap="auto" w:hAnchor="text" w:x="0" w:xAlign="left" w:yAlign="inline" w:anchorLock="0"/>
              <w:numPr>
                <w:ilvl w:val="0"/>
                <w:numId w:val="18"/>
              </w:numPr>
              <w:spacing w:before="0" w:after="19"/>
              <w:ind w:hanging="283" w:left="283" w:right="0"/>
              <w:rPr>
                <w:rFonts w:ascii="Arial" w:hAnsi="Arial" w:cs="Arial"/>
                <w:sz w:val="20"/>
                <w:szCs w:val="20"/>
              </w:rPr>
            </w:pPr>
            <w:r>
              <w:rPr>
                <w:rFonts w:ascii="Arial" w:hAnsi="Arial" w:cs="Arial"/>
                <w:sz w:val="20"/>
                <w:szCs w:val="20"/>
              </w:rPr>
              <w:t>Definition/evaluation and, if necessary, realignment of objectives</w:t>
            </w:r>
          </w:p>
          <w:p>
            <w:pPr>
              <w:framePr w:w="0" w:h="0" w:hRule="auto" w:vSpace="0" w:hSpace="0" w:wrap="auto" w:hAnchor="text" w:x="0" w:xAlign="left" w:yAlign="inline" w:anchorLock="0"/>
              <w:numPr>
                <w:ilvl w:val="0"/>
                <w:numId w:val="18"/>
              </w:numPr>
              <w:spacing w:before="0" w:after="19"/>
              <w:ind w:hanging="283" w:left="283" w:right="0"/>
              <w:rPr>
                <w:rFonts w:ascii="Arial" w:hAnsi="Arial" w:cs="Arial"/>
                <w:sz w:val="20"/>
                <w:szCs w:val="20"/>
              </w:rPr>
            </w:pPr>
            <w:r>
              <w:rPr>
                <w:rFonts w:ascii="Arial" w:hAnsi="Arial" w:cs="Arial"/>
                <w:sz w:val="20"/>
                <w:szCs w:val="20"/>
              </w:rPr>
              <w:t>Individual evaluation of centralised responsibilities (in conjunction with appraisal of objectives)</w:t>
            </w:r>
          </w:p>
          <w:p>
            <w:pPr>
              <w:framePr w:w="0" w:h="0" w:hRule="auto" w:vSpace="0" w:hSpace="0" w:wrap="auto" w:hAnchor="text" w:x="0" w:xAlign="left" w:yAlign="inline" w:anchorLock="0"/>
              <w:numPr>
                <w:ilvl w:val="0"/>
                <w:numId w:val="18"/>
              </w:numPr>
              <w:spacing w:before="0" w:after="19"/>
              <w:ind w:hanging="283" w:left="283" w:right="0"/>
              <w:rPr>
                <w:rFonts w:ascii="Arial" w:hAnsi="Arial" w:cs="Arial"/>
                <w:sz w:val="20"/>
                <w:szCs w:val="20"/>
              </w:rPr>
            </w:pPr>
            <w:r>
              <w:rPr>
                <w:rFonts w:ascii="Arial" w:hAnsi="Arial" w:cs="Arial"/>
                <w:sz w:val="20"/>
                <w:szCs w:val="20"/>
              </w:rPr>
              <w:t>Analysis of audit results (internal/ external)</w:t>
            </w:r>
          </w:p>
          <w:p>
            <w:pPr>
              <w:framePr w:w="0" w:h="0" w:hRule="auto" w:vSpace="0" w:hSpace="0" w:wrap="auto" w:hAnchor="text" w:x="0" w:xAlign="left" w:yAlign="inline" w:anchorLock="0"/>
              <w:numPr>
                <w:ilvl w:val="0"/>
                <w:numId w:val="18"/>
              </w:numPr>
              <w:spacing w:before="0" w:after="19"/>
              <w:ind w:hanging="283" w:left="283" w:right="0"/>
              <w:rPr>
                <w:rFonts w:ascii="Arial" w:hAnsi="Arial" w:cs="Arial"/>
                <w:sz w:val="20"/>
                <w:szCs w:val="20"/>
              </w:rPr>
            </w:pPr>
            <w:r>
              <w:rPr>
                <w:rFonts w:ascii="Arial" w:hAnsi="Arial" w:cs="Arial"/>
                <w:sz w:val="20"/>
                <w:szCs w:val="20"/>
              </w:rPr>
              <w:t>The annual review is to be documented (incl. updating action plan).</w:t>
            </w:r>
          </w:p>
          <w:p>
            <w:pPr>
              <w:numPr>
                <w:ilvl w:val="0"/>
                <w:numId w:val="18"/>
              </w:numPr>
              <w:spacing w:before="0" w:after="19"/>
              <w:ind w:hanging="283" w:left="283"/>
              <w:rPr>
                <w:rFonts w:ascii="Arial" w:hAnsi="Arial" w:cs="Arial"/>
                <w:sz w:val="20"/>
                <w:szCs w:val="20"/>
                <w:lang w:val="ro-RO" w:bidi="ar-SA"/>
              </w:rPr>
            </w:pPr>
            <w:r>
              <w:rPr>
                <w:rFonts w:ascii="Arial" w:hAnsi="Arial" w:cs="Arial"/>
                <w:sz w:val="20"/>
                <w:szCs w:val="20"/>
              </w:rPr>
              <w:t>Compilation of an annual, publicly accessible report that presents and evaluates the results of the oncology centre and its network, identifies suitable improvement measures and presents their implementation. E.g. based on the annual reports of organ cancer centres/modules of the DKG and/ or audit reports.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1.1.5</w:t>
            </w:r>
          </w:p>
        </w:tc>
        <w:tc>
          <w:tcPr>
            <w:tcW w:w="1" w:type="dxa"/>
          </w:tcPr>
          <w:p>
            <w:pPr>
              <w:spacing w:before="0" w:after="19"/>
              <w:rPr>
                <w:rFonts w:ascii="Arial" w:hAnsi="Arial" w:cs="Arial"/>
                <w:sz w:val="20"/>
                <w:szCs w:val="20"/>
                <w:lang w:val="ro-RO" w:bidi="ar-SA"/>
              </w:rPr>
            </w:pPr>
            <w:r>
              <w:rPr>
                <w:rFonts w:ascii="Arial" w:hAnsi="Arial" w:cs="Arial"/>
                <w:sz w:val="20"/>
                <w:szCs w:val="20"/>
              </w:rPr>
              <w:t>The funding body/bodies of the Centre make sufficient funds/resources available in order to meet the staffing, spatial and material requirements.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1.1.6.a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Cooperation agreements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Cooperation agreements are to be drawn up with external cooperating partners. They must prove that they meet the corresponding Technical and Medical Requirements of this Catalogue (not every service provider has to be a cooperation partner). The cooperation partners are to be listed in the “master data sheet”. </w:t>
            </w:r>
          </w:p>
          <w:p>
            <w:pPr>
              <w:spacing w:before="0" w:after="19"/>
              <w:rPr>
                <w:rFonts w:ascii="Arial" w:hAnsi="Arial" w:cs="Arial"/>
                <w:sz w:val="20"/>
                <w:szCs w:val="20"/>
                <w:lang w:val="ro-RO" w:bidi="ar-SA"/>
              </w:rPr>
            </w:pPr>
            <w:r>
              <w:rPr>
                <w:rFonts w:ascii="Arial" w:hAnsi="Arial" w:cs="Arial"/>
                <w:sz w:val="20"/>
                <w:szCs w:val="20"/>
              </w:rPr>
              <w:t>If a cooperating partner of a Centre belongs to a different funding body or is located at a different clinical site, written cooperation agreements are necessary (implementation of the points described in Section 1.1.7 has to be ensured)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1.1.6.b</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Members of an OC:</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Cooperation agreements are required for all (registered) members of an Oncology Centre. This applies, for instance, to the following specialty units: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Outpatient oncological care, pharmacy, nutrition counselling, genetic counselling, haematology and oncology, hospice, surgical and medical oncology, palliative medicine, pathology, physiotherapy, psycho-oncology, radiology, radio-oncology, pain therapy, spiritual counselling, self-help, social services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1.1.6.c</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Mandatory members of an OC (= main cooperation partners):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Service providers of equal standing who undergo a quality assessment (audit) and whose presence at tumour boards is mandatory.</w:t>
            </w:r>
          </w:p>
          <w:p>
            <w:pPr>
              <w:spacing w:before="0" w:after="19"/>
              <w:rPr>
                <w:rFonts w:ascii="Arial" w:hAnsi="Arial" w:cs="Arial"/>
                <w:sz w:val="20"/>
                <w:szCs w:val="20"/>
                <w:lang w:val="ro-RO" w:bidi="ar-SA"/>
              </w:rPr>
            </w:pPr>
            <w:r>
              <w:rPr>
                <w:rFonts w:ascii="Arial" w:hAnsi="Arial" w:cs="Arial"/>
                <w:sz w:val="20"/>
                <w:szCs w:val="20"/>
              </w:rPr>
              <w:t>e.g. haematology and oncology, surgical and medical oncology, pathology, radiology, radio-oncology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1.1.6.d</w:t>
            </w:r>
          </w:p>
        </w:tc>
        <w:tc>
          <w:tcPr>
            <w:tcW w:w="1" w:type="dxa"/>
          </w:tcPr>
          <w:p>
            <w:pPr>
              <w:spacing w:before="0" w:after="19"/>
              <w:rPr>
                <w:rFonts w:ascii="Arial" w:hAnsi="Arial" w:cs="Arial"/>
                <w:sz w:val="20"/>
                <w:szCs w:val="20"/>
                <w:lang w:val="ro-RO" w:bidi="ar-SA"/>
              </w:rPr>
            </w:pPr>
            <w:r>
              <w:rPr>
                <w:rFonts w:ascii="Arial" w:hAnsi="Arial" w:cs="Arial"/>
                <w:sz w:val="20"/>
                <w:szCs w:val="20"/>
              </w:rPr>
              <w:t>A cooperation agreement with a certified Centre for Personalised Medicine should be sought (see also 1.2.12b). If the Centre for Personalised Medicine and the OC are under one sponsorship or at one hospital site, written agreements are not necessary (implementation of the points mentioned under 1.1.7 must nevertheless be ensured).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Cooperation agreements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following points are to be regulated:</w:t>
            </w:r>
          </w:p>
          <w:p>
            <w:pPr>
              <w:framePr w:w="0" w:h="0" w:hRule="auto" w:vSpace="0" w:hSpace="0" w:wrap="auto" w:hAnchor="text" w:x="0" w:xAlign="left" w:yAlign="inline" w:anchorLock="0"/>
              <w:numPr>
                <w:ilvl w:val="0"/>
                <w:numId w:val="19"/>
              </w:numPr>
              <w:spacing w:before="0" w:after="19"/>
              <w:ind w:hanging="283" w:left="283" w:right="0"/>
              <w:rPr>
                <w:rFonts w:ascii="Arial" w:hAnsi="Arial" w:cs="Arial"/>
                <w:sz w:val="20"/>
                <w:szCs w:val="20"/>
              </w:rPr>
            </w:pPr>
            <w:r>
              <w:rPr>
                <w:rFonts w:ascii="Arial" w:hAnsi="Arial" w:cs="Arial"/>
                <w:sz w:val="20"/>
                <w:szCs w:val="20"/>
              </w:rPr>
              <w:t>Competences and responsibilities</w:t>
            </w:r>
          </w:p>
          <w:p>
            <w:pPr>
              <w:framePr w:w="0" w:h="0" w:hRule="auto" w:vSpace="0" w:hSpace="0" w:wrap="auto" w:hAnchor="text" w:x="0" w:xAlign="left" w:yAlign="inline" w:anchorLock="0"/>
              <w:numPr>
                <w:ilvl w:val="0"/>
                <w:numId w:val="19"/>
              </w:numPr>
              <w:spacing w:before="0" w:after="19"/>
              <w:ind w:hanging="283" w:left="283" w:right="0"/>
              <w:rPr>
                <w:rFonts w:ascii="Arial" w:hAnsi="Arial" w:cs="Arial"/>
                <w:sz w:val="20"/>
                <w:szCs w:val="20"/>
              </w:rPr>
            </w:pPr>
            <w:r>
              <w:rPr>
                <w:rFonts w:ascii="Arial" w:hAnsi="Arial" w:cs="Arial"/>
                <w:sz w:val="20"/>
                <w:szCs w:val="20"/>
              </w:rPr>
              <w:t>Description of treatment processes relevant to the Centre taking into account the interfaces</w:t>
            </w:r>
          </w:p>
          <w:p>
            <w:pPr>
              <w:framePr w:w="0" w:h="0" w:hRule="auto" w:vSpace="0" w:hSpace="0" w:wrap="auto" w:hAnchor="text" w:x="0" w:xAlign="left" w:yAlign="inline" w:anchorLock="0"/>
              <w:numPr>
                <w:ilvl w:val="0"/>
                <w:numId w:val="19"/>
              </w:numPr>
              <w:spacing w:before="0" w:after="19"/>
              <w:ind w:hanging="283" w:left="283" w:right="0"/>
              <w:rPr>
                <w:rFonts w:ascii="Arial" w:hAnsi="Arial" w:cs="Arial"/>
                <w:sz w:val="20"/>
                <w:szCs w:val="20"/>
              </w:rPr>
            </w:pPr>
            <w:r>
              <w:rPr>
                <w:rFonts w:ascii="Arial" w:hAnsi="Arial" w:cs="Arial"/>
                <w:sz w:val="20"/>
                <w:szCs w:val="20"/>
              </w:rPr>
              <w:t>Undertaking to implement defined guidelines</w:t>
            </w:r>
          </w:p>
          <w:p>
            <w:pPr>
              <w:framePr w:w="0" w:h="0" w:hRule="auto" w:vSpace="0" w:hSpace="0" w:wrap="auto" w:hAnchor="text" w:x="0" w:xAlign="left" w:yAlign="inline" w:anchorLock="0"/>
              <w:numPr>
                <w:ilvl w:val="0"/>
                <w:numId w:val="19"/>
              </w:numPr>
              <w:spacing w:before="0" w:after="19"/>
              <w:ind w:hanging="283" w:left="283" w:right="0"/>
              <w:rPr>
                <w:rFonts w:ascii="Arial" w:hAnsi="Arial" w:cs="Arial"/>
                <w:sz w:val="20"/>
                <w:szCs w:val="20"/>
              </w:rPr>
            </w:pPr>
            <w:r>
              <w:rPr>
                <w:rFonts w:ascii="Arial" w:hAnsi="Arial" w:cs="Arial"/>
                <w:sz w:val="20"/>
                <w:szCs w:val="20"/>
              </w:rPr>
              <w:t>Description of cooperation concerning tumour documentation</w:t>
            </w:r>
          </w:p>
          <w:p>
            <w:pPr>
              <w:framePr w:w="0" w:h="0" w:hRule="auto" w:vSpace="0" w:hSpace="0" w:wrap="auto" w:hAnchor="text" w:x="0" w:xAlign="left" w:yAlign="inline" w:anchorLock="0"/>
              <w:numPr>
                <w:ilvl w:val="0"/>
                <w:numId w:val="19"/>
              </w:numPr>
              <w:spacing w:before="0" w:after="19"/>
              <w:ind w:hanging="283" w:left="283" w:right="0"/>
              <w:rPr>
                <w:rFonts w:ascii="Arial" w:hAnsi="Arial" w:cs="Arial"/>
                <w:sz w:val="20"/>
                <w:szCs w:val="20"/>
              </w:rPr>
            </w:pPr>
            <w:r>
              <w:rPr>
                <w:rFonts w:ascii="Arial" w:hAnsi="Arial" w:cs="Arial"/>
                <w:sz w:val="20"/>
                <w:szCs w:val="20"/>
              </w:rPr>
              <w:t>Declaration of willingness to cooperate on internal/external audits</w:t>
            </w:r>
          </w:p>
          <w:p>
            <w:pPr>
              <w:framePr w:w="0" w:h="0" w:hRule="auto" w:vSpace="0" w:hSpace="0" w:wrap="auto" w:hAnchor="text" w:x="0" w:xAlign="left" w:yAlign="inline" w:anchorLock="0"/>
              <w:numPr>
                <w:ilvl w:val="0"/>
                <w:numId w:val="19"/>
              </w:numPr>
              <w:spacing w:before="0" w:after="19"/>
              <w:ind w:hanging="283" w:left="283" w:right="0"/>
              <w:rPr>
                <w:rFonts w:ascii="Arial" w:hAnsi="Arial" w:cs="Arial"/>
                <w:sz w:val="20"/>
                <w:szCs w:val="20"/>
              </w:rPr>
            </w:pPr>
            <w:r>
              <w:rPr>
                <w:rFonts w:ascii="Arial" w:hAnsi="Arial" w:cs="Arial"/>
                <w:sz w:val="20"/>
                <w:szCs w:val="20"/>
              </w:rPr>
              <w:t>Undertaking to comply with the relevant DKG criteria and to supply the relevant data on an annual basis</w:t>
            </w:r>
          </w:p>
          <w:p>
            <w:pPr>
              <w:framePr w:w="0" w:h="0" w:hRule="auto" w:vSpace="0" w:hSpace="0" w:wrap="auto" w:hAnchor="text" w:x="0" w:xAlign="left" w:yAlign="inline" w:anchorLock="0"/>
              <w:numPr>
                <w:ilvl w:val="0"/>
                <w:numId w:val="19"/>
              </w:numPr>
              <w:spacing w:before="0" w:after="19"/>
              <w:ind w:hanging="283" w:left="283" w:right="0"/>
              <w:rPr>
                <w:rFonts w:ascii="Arial" w:hAnsi="Arial" w:cs="Arial"/>
                <w:sz w:val="20"/>
                <w:szCs w:val="20"/>
              </w:rPr>
            </w:pPr>
            <w:r>
              <w:rPr>
                <w:rFonts w:ascii="Arial" w:hAnsi="Arial" w:cs="Arial"/>
                <w:sz w:val="20"/>
                <w:szCs w:val="20"/>
              </w:rPr>
              <w:t>Upholding of medical confidentiality</w:t>
            </w:r>
          </w:p>
          <w:p>
            <w:pPr>
              <w:framePr w:w="0" w:h="0" w:hRule="auto" w:vSpace="0" w:hSpace="0" w:wrap="auto" w:hAnchor="text" w:x="0" w:xAlign="left" w:yAlign="inline" w:anchorLock="0"/>
              <w:numPr>
                <w:ilvl w:val="0"/>
                <w:numId w:val="19"/>
              </w:numPr>
              <w:spacing w:before="0" w:after="19"/>
              <w:ind w:hanging="283" w:left="283" w:right="0"/>
              <w:rPr>
                <w:rFonts w:ascii="Arial" w:hAnsi="Arial" w:cs="Arial"/>
                <w:sz w:val="20"/>
                <w:szCs w:val="20"/>
              </w:rPr>
            </w:pPr>
            <w:r>
              <w:rPr>
                <w:rFonts w:ascii="Arial" w:hAnsi="Arial" w:cs="Arial"/>
                <w:sz w:val="20"/>
                <w:szCs w:val="20"/>
              </w:rPr>
              <w:t>Participation in continuing education/specialty training schemes and public relations</w:t>
            </w:r>
          </w:p>
          <w:p>
            <w:pPr>
              <w:numPr>
                <w:ilvl w:val="0"/>
                <w:numId w:val="19"/>
              </w:numPr>
              <w:spacing w:before="0" w:after="19"/>
              <w:ind w:hanging="283" w:left="283"/>
              <w:rPr>
                <w:rFonts w:ascii="Arial" w:hAnsi="Arial" w:cs="Arial"/>
                <w:sz w:val="20"/>
                <w:szCs w:val="20"/>
                <w:lang w:val="ro-RO" w:bidi="ar-SA"/>
              </w:rPr>
            </w:pPr>
            <w:r>
              <w:rPr>
                <w:rFonts w:ascii="Arial" w:hAnsi="Arial" w:cs="Arial"/>
                <w:sz w:val="20"/>
                <w:szCs w:val="20"/>
              </w:rPr>
              <w:t>Declaration of consent to be publicly identified as part of the Oncology Centre (e.g. home-page)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Tumour board</w:t>
              <w:br w:type="textWrapping"/>
              <w:t>(participation only if stipulated in Section 1.2 Interdisciplinary Cooperation)</w:t>
            </w:r>
          </w:p>
          <w:p>
            <w:pPr>
              <w:framePr w:w="0" w:h="0" w:hRule="auto" w:vSpace="0" w:hSpace="0" w:wrap="auto" w:hAnchor="text" w:x="0" w:xAlign="left" w:yAlign="inline" w:anchorLock="0"/>
              <w:numPr>
                <w:ilvl w:val="0"/>
                <w:numId w:val="20"/>
              </w:numPr>
              <w:spacing w:before="0" w:after="19"/>
              <w:ind w:hanging="283" w:left="283" w:right="0"/>
              <w:rPr>
                <w:rFonts w:ascii="Arial" w:hAnsi="Arial" w:cs="Arial"/>
                <w:sz w:val="20"/>
                <w:szCs w:val="20"/>
              </w:rPr>
            </w:pPr>
            <w:r>
              <w:rPr>
                <w:rFonts w:ascii="Arial" w:hAnsi="Arial" w:cs="Arial"/>
                <w:sz w:val="20"/>
                <w:szCs w:val="20"/>
              </w:rPr>
              <w:t>Mandatory participation</w:t>
            </w:r>
          </w:p>
          <w:p>
            <w:pPr>
              <w:framePr w:w="0" w:h="0" w:hRule="auto" w:vSpace="0" w:hSpace="0" w:wrap="auto" w:hAnchor="text" w:x="0" w:xAlign="left" w:yAlign="inline" w:anchorLock="0"/>
              <w:numPr>
                <w:ilvl w:val="0"/>
                <w:numId w:val="20"/>
              </w:numPr>
              <w:spacing w:before="0" w:after="19"/>
              <w:ind w:hanging="283" w:left="283" w:right="0"/>
              <w:rPr>
                <w:rFonts w:ascii="Arial" w:hAnsi="Arial" w:cs="Arial"/>
                <w:sz w:val="20"/>
                <w:szCs w:val="20"/>
              </w:rPr>
            </w:pPr>
            <w:r>
              <w:rPr>
                <w:rFonts w:ascii="Arial" w:hAnsi="Arial" w:cs="Arial"/>
                <w:sz w:val="20"/>
                <w:szCs w:val="20"/>
              </w:rPr>
              <w:t>Ensuring availability of specialist level</w:t>
            </w:r>
          </w:p>
          <w:p>
            <w:pPr>
              <w:framePr w:w="0" w:h="0" w:hRule="auto" w:vSpace="0" w:hSpace="0" w:wrap="auto" w:hAnchor="text" w:x="0" w:xAlign="left" w:yAlign="inline" w:anchorLock="0"/>
              <w:numPr>
                <w:ilvl w:val="0"/>
                <w:numId w:val="20"/>
              </w:numPr>
              <w:spacing w:before="0" w:after="19"/>
              <w:ind w:hanging="283" w:left="283" w:right="0"/>
              <w:rPr>
                <w:rFonts w:ascii="Arial" w:hAnsi="Arial" w:cs="Arial"/>
                <w:sz w:val="20"/>
                <w:szCs w:val="20"/>
              </w:rPr>
            </w:pPr>
            <w:r>
              <w:rPr>
                <w:rFonts w:ascii="Arial" w:hAnsi="Arial" w:cs="Arial"/>
                <w:sz w:val="20"/>
                <w:szCs w:val="20"/>
              </w:rPr>
              <w:t>Participation and voting rules in the case of more than one cooperation partner for each medical specialty (see also provisions “Interdisciplinary Cooperation”)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Author of the cooperation agreements regarding</w:t>
            </w:r>
          </w:p>
          <w:p>
            <w:pPr>
              <w:framePr w:w="0" w:h="0" w:hRule="auto" w:vSpace="0" w:hSpace="0" w:wrap="auto" w:hAnchor="text" w:x="0" w:xAlign="left" w:yAlign="inline" w:anchorLock="0"/>
              <w:numPr>
                <w:ilvl w:val="0"/>
                <w:numId w:val="21"/>
              </w:numPr>
              <w:spacing w:before="0" w:after="19"/>
              <w:ind w:hanging="283" w:left="283" w:right="0"/>
              <w:rPr>
                <w:rFonts w:ascii="Arial" w:hAnsi="Arial" w:cs="Arial"/>
                <w:sz w:val="20"/>
                <w:szCs w:val="20"/>
              </w:rPr>
            </w:pPr>
            <w:r>
              <w:rPr>
                <w:rFonts w:ascii="Arial" w:hAnsi="Arial" w:cs="Arial"/>
                <w:sz w:val="20"/>
                <w:szCs w:val="20"/>
              </w:rPr>
              <w:t>“Centralised” responsibilities: steering committee</w:t>
            </w:r>
          </w:p>
          <w:p>
            <w:pPr>
              <w:framePr w:w="0" w:h="0" w:hRule="auto" w:vSpace="0" w:hSpace="0" w:wrap="auto" w:hAnchor="text" w:x="0" w:xAlign="left" w:yAlign="inline" w:anchorLock="0"/>
              <w:numPr>
                <w:ilvl w:val="0"/>
                <w:numId w:val="21"/>
              </w:numPr>
              <w:spacing w:before="0" w:after="19"/>
              <w:ind w:hanging="283" w:left="283" w:right="0"/>
              <w:rPr>
                <w:rFonts w:ascii="Arial" w:hAnsi="Arial" w:cs="Arial"/>
                <w:sz w:val="20"/>
                <w:szCs w:val="20"/>
              </w:rPr>
            </w:pPr>
            <w:r>
              <w:rPr>
                <w:rFonts w:ascii="Arial" w:hAnsi="Arial" w:cs="Arial"/>
                <w:sz w:val="20"/>
                <w:szCs w:val="20"/>
              </w:rPr>
              <w:t>“Decentralised” responsibilities: respective specialty unit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Monitoring/ updating</w:t>
            </w:r>
          </w:p>
          <w:p>
            <w:pPr>
              <w:spacing w:before="0" w:after="19"/>
              <w:rPr>
                <w:rFonts w:ascii="Arial" w:hAnsi="Arial" w:cs="Arial"/>
                <w:sz w:val="20"/>
                <w:szCs w:val="20"/>
                <w:lang w:val="ro-RO" w:bidi="ar-SA"/>
              </w:rPr>
            </w:pPr>
            <w:r>
              <w:rPr>
                <w:rFonts w:ascii="Arial" w:hAnsi="Arial" w:cs="Arial"/>
                <w:sz w:val="20"/>
                <w:szCs w:val="20"/>
              </w:rPr>
              <w:t>Up-to-datedness is to be reviewed annually (see also annual review).</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QM certification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For initial certification the OC should have a certified QM system.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Presentation Organ Cancer Centres, Oncology Centre and CCC</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overall structure of the Centres is to be described and publicised (e.g. Internet). This also includes the appointment of all internal/external cooperation partners with the following information: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Name and address of cooperation partner</w:t>
            </w:r>
          </w:p>
          <w:p>
            <w:pPr>
              <w:spacing w:before="0" w:after="19"/>
              <w:rPr>
                <w:rFonts w:ascii="Arial" w:hAnsi="Arial" w:cs="Arial"/>
                <w:sz w:val="20"/>
                <w:szCs w:val="20"/>
                <w:lang w:val="ro-RO" w:bidi="ar-SA"/>
              </w:rPr>
            </w:pPr>
            <w:r>
              <w:rPr>
                <w:rFonts w:ascii="Arial" w:hAnsi="Arial" w:cs="Arial"/>
                <w:sz w:val="20"/>
                <w:szCs w:val="20"/>
              </w:rPr>
              <w:t>- Contact person with tel./ email details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Centre manual</w:t>
            </w:r>
          </w:p>
          <w:p>
            <w:pPr>
              <w:spacing w:before="0" w:after="19"/>
              <w:rPr>
                <w:rFonts w:ascii="Arial" w:hAnsi="Arial" w:cs="Arial"/>
                <w:sz w:val="20"/>
                <w:szCs w:val="20"/>
                <w:lang w:val="ro-RO" w:bidi="ar-SA"/>
              </w:rPr>
            </w:pPr>
            <w:r>
              <w:rPr>
                <w:rFonts w:ascii="Arial" w:hAnsi="Arial" w:cs="Arial"/>
                <w:sz w:val="20"/>
                <w:szCs w:val="20"/>
              </w:rPr>
              <w:t xml:space="preserve">A Centre manual (paper or electronic format) is to be compiled which details how the Technical and Medical Requirements are met (including the standard operating procedures/patient pathways stipulated in the individual sections of the Catalogue of Requirements). A short description is to be included in the Catalogue of Requirements itself with reference to the relevant section in the Centre manual. If the requirements are already described in the existing rules/manuals, then reference is to be made to them in the Catalogue of Requirements.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Internal audit</w:t>
            </w:r>
          </w:p>
          <w:p>
            <w:pPr>
              <w:spacing w:before="0" w:after="19"/>
              <w:rPr>
                <w:rFonts w:ascii="Arial" w:hAnsi="Arial" w:cs="Arial"/>
                <w:sz w:val="20"/>
                <w:szCs w:val="20"/>
                <w:lang w:val="ro-RO" w:bidi="ar-SA"/>
              </w:rPr>
            </w:pPr>
            <w:r>
              <w:rPr>
                <w:rFonts w:ascii="Arial" w:hAnsi="Arial" w:cs="Arial"/>
                <w:sz w:val="20"/>
                <w:szCs w:val="20"/>
              </w:rPr>
              <w:t>The Oncology Centre must undergo an internal audit once a year which will verify fulfilment of the Technical and Medical Requirements.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framePr w:w="0" w:h="0" w:hRule="auto" w:vSpace="0" w:hSpace="0" w:wrap="auto" w:hAnchor="text" w:x="0" w:xAlign="left" w:yAlign="inline" w:anchorLock="0"/>
              <w:numPr>
                <w:ilvl w:val="0"/>
                <w:numId w:val="22"/>
              </w:numPr>
              <w:spacing w:before="0" w:after="19"/>
              <w:ind w:hanging="283" w:left="283" w:right="0"/>
              <w:rPr>
                <w:rFonts w:ascii="Arial" w:hAnsi="Arial" w:cs="Arial"/>
                <w:sz w:val="20"/>
                <w:szCs w:val="20"/>
              </w:rPr>
            </w:pPr>
            <w:r>
              <w:rPr>
                <w:rFonts w:ascii="Arial" w:hAnsi="Arial" w:cs="Arial"/>
                <w:sz w:val="20"/>
                <w:szCs w:val="20"/>
              </w:rPr>
              <w:t>Events for the exchange of information and for continuing education/specialty training are to be offered twice a year to the cooperation partners of the Oncology Centre.</w:t>
            </w:r>
          </w:p>
          <w:p>
            <w:pPr>
              <w:framePr w:w="0" w:h="0" w:hRule="auto" w:vSpace="0" w:hSpace="0" w:wrap="auto" w:hAnchor="text" w:x="0" w:xAlign="left" w:yAlign="inline" w:anchorLock="0"/>
              <w:numPr>
                <w:ilvl w:val="0"/>
                <w:numId w:val="22"/>
              </w:numPr>
              <w:spacing w:before="0" w:after="19"/>
              <w:ind w:hanging="283" w:left="283" w:right="0"/>
              <w:rPr>
                <w:rFonts w:ascii="Arial" w:hAnsi="Arial" w:cs="Arial"/>
                <w:sz w:val="20"/>
                <w:szCs w:val="20"/>
              </w:rPr>
            </w:pPr>
            <w:r>
              <w:rPr>
                <w:rFonts w:ascii="Arial" w:hAnsi="Arial" w:cs="Arial"/>
                <w:sz w:val="20"/>
                <w:szCs w:val="20"/>
              </w:rPr>
              <w:t>This should correspond to some of the requirements to be met by the cooperation partners in respect of continuing education/specialty training.</w:t>
            </w:r>
          </w:p>
          <w:p>
            <w:pPr>
              <w:framePr w:w="0" w:h="0" w:hRule="auto" w:vSpace="0" w:hSpace="0" w:wrap="auto" w:hAnchor="text" w:x="0" w:xAlign="left" w:yAlign="inline" w:anchorLock="0"/>
              <w:numPr>
                <w:ilvl w:val="0"/>
                <w:numId w:val="22"/>
              </w:numPr>
              <w:spacing w:before="0" w:after="19"/>
              <w:ind w:hanging="283" w:left="283" w:right="0"/>
              <w:rPr>
                <w:rFonts w:ascii="Arial" w:hAnsi="Arial" w:cs="Arial"/>
                <w:sz w:val="20"/>
                <w:szCs w:val="20"/>
              </w:rPr>
            </w:pPr>
            <w:r>
              <w:rPr>
                <w:rFonts w:ascii="Arial" w:hAnsi="Arial" w:cs="Arial"/>
                <w:sz w:val="20"/>
                <w:szCs w:val="20"/>
              </w:rPr>
              <w:t>Target groups/ dates/ contents/ results and attendance are to be documented and presented in a table, for example. A continuing education/specialty training plan is to be submitted.</w:t>
            </w:r>
          </w:p>
          <w:p>
            <w:pPr>
              <w:numPr>
                <w:ilvl w:val="0"/>
                <w:numId w:val="22"/>
              </w:numPr>
              <w:spacing w:before="0" w:after="19"/>
              <w:ind w:hanging="283" w:left="283"/>
              <w:rPr>
                <w:rFonts w:ascii="Arial" w:hAnsi="Arial" w:cs="Arial"/>
                <w:sz w:val="20"/>
                <w:szCs w:val="20"/>
                <w:lang w:val="ro-RO" w:bidi="ar-SA"/>
              </w:rPr>
            </w:pPr>
            <w:r>
              <w:rPr>
                <w:rFonts w:ascii="Arial" w:hAnsi="Arial" w:cs="Arial"/>
                <w:sz w:val="20"/>
                <w:szCs w:val="20"/>
              </w:rPr>
              <w:t>Can be done in conjunction with specialty training for private practitioners.</w:t>
            </w:r>
          </w:p>
        </w:tc>
        <w:tc>
          <w:tcPr>
            <w:tcW w:w="1" w:type="dxa"/>
          </w:tcPr>
          <w:p>
            <w:pPr>
              <w:spacing w:before="0" w:after="19"/>
              <w:rPr>
                <w:rFonts w:ascii="Arial" w:hAnsi="Arial" w:cs="Arial"/>
                <w:sz w:val="20"/>
                <w:szCs w:val="20"/>
                <w:lang w:val="ro-RO" w:bidi="ar-SA"/>
              </w:rPr>
            </w:pPr>
          </w:p>
        </w:tc>
      </w:tr>
    </w:tbl>
    <w:p>
      <w:pPr>
        <w:rPr>
          <w:rFonts w:ascii="Arial" w:hAnsi="Arial" w:cs="Arial"/>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1.2</w:t>
              <w:tab/>
              <w:t xml:space="preserve"> Interdisciplinary cooperation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w:t>
            </w:r>
          </w:p>
        </w:tc>
        <w:tc>
          <w:tcPr>
            <w:tcW w:w="1" w:type="dxa"/>
          </w:tcPr>
          <w:p>
            <w:pPr>
              <w:spacing w:before="0" w:after="19"/>
              <w:rPr>
                <w:rFonts w:ascii="Arial" w:hAnsi="Arial" w:cs="Arial"/>
                <w:sz w:val="20"/>
                <w:szCs w:val="20"/>
                <w:lang w:val="ro-RO" w:bidi="ar-SA"/>
              </w:rPr>
            </w:pPr>
            <w:r>
              <w:rPr>
                <w:rFonts w:ascii="Arial" w:hAnsi="Arial" w:cs="Arial"/>
                <w:sz w:val="20"/>
                <w:szCs w:val="20"/>
              </w:rPr>
              <w:t>The number of patients treated for each tumour entity must be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1.2.2</w:t>
            </w:r>
          </w:p>
        </w:tc>
        <w:tc>
          <w:tcPr>
            <w:tcW w:w="1" w:type="dxa"/>
          </w:tcPr>
          <w:p>
            <w:pPr>
              <w:spacing w:before="0" w:after="19"/>
              <w:rPr>
                <w:rFonts w:ascii="Arial" w:hAnsi="Arial" w:cs="Arial"/>
                <w:sz w:val="20"/>
                <w:szCs w:val="20"/>
                <w:lang w:val="ro-RO" w:bidi="ar-SA"/>
              </w:rPr>
            </w:pPr>
            <w:r>
              <w:rPr>
                <w:rFonts w:ascii="Arial" w:hAnsi="Arial" w:cs="Arial"/>
                <w:sz w:val="20"/>
                <w:szCs w:val="20"/>
              </w:rPr>
              <w:t>A central reception point within the OC is desirable.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Tumour boards types</w:t>
            </w:r>
          </w:p>
          <w:p>
            <w:pPr>
              <w:spacing w:before="0" w:after="19"/>
              <w:rPr>
                <w:rFonts w:ascii="Arial" w:hAnsi="Arial" w:cs="Arial"/>
                <w:sz w:val="20"/>
                <w:szCs w:val="20"/>
                <w:lang w:val="ro-RO" w:bidi="ar-SA"/>
              </w:rPr>
            </w:pPr>
            <w:r>
              <w:rPr>
                <w:rFonts w:ascii="Arial" w:hAnsi="Arial" w:cs="Arial"/>
                <w:sz w:val="20"/>
                <w:szCs w:val="20"/>
              </w:rPr>
              <w:t>If there are different types of tumour boards, the differences and specifics (circle of participants, cycle…) are to be described.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Cycle/ participants</w:t>
            </w:r>
          </w:p>
          <w:p>
            <w:pPr>
              <w:spacing w:before="0" w:after="19"/>
              <w:rPr>
                <w:rFonts w:ascii="Arial" w:hAnsi="Arial" w:cs="Arial"/>
                <w:sz w:val="20"/>
                <w:szCs w:val="20"/>
                <w:lang w:val="ro-RO" w:bidi="ar-SA"/>
              </w:rPr>
            </w:pPr>
            <w:r>
              <w:rPr>
                <w:rFonts w:ascii="Arial" w:hAnsi="Arial" w:cs="Arial"/>
                <w:sz w:val="20"/>
                <w:szCs w:val="20"/>
              </w:rPr>
              <w:t>A tumour board must be staged at least once a week.</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1.2.4.b</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All tumour patients are to be presented at the tumour board (organ-specific requirements, Centres, Modules, Foci are to be taken into account). Exceptions are to be explained.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If web conferences are used, the sound and documents presented are to be transmitted. There must be provision for each of the main cooperation partners to present his/her own documents/images.</w:t>
            </w:r>
          </w:p>
          <w:p>
            <w:pPr>
              <w:spacing w:before="0" w:after="19"/>
              <w:rPr>
                <w:rFonts w:ascii="Arial" w:hAnsi="Arial" w:cs="Arial"/>
                <w:sz w:val="20"/>
                <w:szCs w:val="20"/>
                <w:lang w:val="ro-RO" w:bidi="ar-SA"/>
              </w:rPr>
            </w:pPr>
            <w:r>
              <w:rPr>
                <w:rFonts w:ascii="Arial" w:hAnsi="Arial" w:cs="Arial"/>
                <w:sz w:val="20"/>
                <w:szCs w:val="20"/>
              </w:rPr>
              <w:t>For standard questions, documented electronic consent is possible – preferably before the actual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1.2.4.c</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Participation in the conference at a specialist level is mandatory for the following specialties:</w:t>
            </w:r>
          </w:p>
          <w:p>
            <w:pPr>
              <w:framePr w:w="0" w:h="0" w:hRule="auto" w:vSpace="0" w:hSpace="0" w:wrap="auto" w:hAnchor="text" w:x="0" w:xAlign="left" w:yAlign="inline" w:anchorLock="0"/>
              <w:numPr>
                <w:ilvl w:val="0"/>
                <w:numId w:val="23"/>
              </w:numPr>
              <w:spacing w:before="0" w:after="19"/>
              <w:ind w:hanging="283" w:left="283" w:right="0"/>
              <w:rPr>
                <w:rFonts w:ascii="Arial" w:hAnsi="Arial" w:cs="Arial"/>
                <w:sz w:val="20"/>
                <w:szCs w:val="20"/>
              </w:rPr>
            </w:pPr>
            <w:r>
              <w:rPr>
                <w:rFonts w:ascii="Arial" w:hAnsi="Arial" w:cs="Arial"/>
                <w:sz w:val="20"/>
                <w:szCs w:val="20"/>
              </w:rPr>
              <w:t>Diagnostic, surgical and, if applicable, organ-specific, medical specialty (organ-specific)</w:t>
            </w:r>
          </w:p>
          <w:p>
            <w:pPr>
              <w:framePr w:w="0" w:h="0" w:hRule="auto" w:vSpace="0" w:hSpace="0" w:wrap="auto" w:hAnchor="text" w:x="0" w:xAlign="left" w:yAlign="inline" w:anchorLock="0"/>
              <w:numPr>
                <w:ilvl w:val="0"/>
                <w:numId w:val="23"/>
              </w:numPr>
              <w:spacing w:before="0" w:after="19"/>
              <w:ind w:hanging="283" w:left="283" w:right="0"/>
              <w:rPr>
                <w:rFonts w:ascii="Arial" w:hAnsi="Arial" w:cs="Arial"/>
                <w:sz w:val="20"/>
                <w:szCs w:val="20"/>
              </w:rPr>
            </w:pPr>
            <w:r>
              <w:rPr>
                <w:rFonts w:ascii="Arial" w:hAnsi="Arial" w:cs="Arial"/>
                <w:sz w:val="20"/>
                <w:szCs w:val="20"/>
              </w:rPr>
              <w:t>Radio-oncology</w:t>
            </w:r>
          </w:p>
          <w:p>
            <w:pPr>
              <w:framePr w:w="0" w:h="0" w:hRule="auto" w:vSpace="0" w:hSpace="0" w:wrap="auto" w:hAnchor="text" w:x="0" w:xAlign="left" w:yAlign="inline" w:anchorLock="0"/>
              <w:numPr>
                <w:ilvl w:val="0"/>
                <w:numId w:val="23"/>
              </w:numPr>
              <w:spacing w:before="0" w:after="19"/>
              <w:ind w:hanging="283" w:left="283" w:right="0"/>
              <w:rPr>
                <w:rFonts w:ascii="Arial" w:hAnsi="Arial" w:cs="Arial"/>
                <w:sz w:val="20"/>
                <w:szCs w:val="20"/>
              </w:rPr>
            </w:pPr>
            <w:r>
              <w:rPr>
                <w:rFonts w:ascii="Arial" w:hAnsi="Arial" w:cs="Arial"/>
                <w:sz w:val="20"/>
                <w:szCs w:val="20"/>
              </w:rPr>
              <w:t>Haematology and oncology</w:t>
            </w:r>
          </w:p>
          <w:p>
            <w:pPr>
              <w:framePr w:w="0" w:h="0" w:hRule="auto" w:vSpace="0" w:hSpace="0" w:wrap="auto" w:hAnchor="text" w:x="0" w:xAlign="left" w:yAlign="inline" w:anchorLock="0"/>
              <w:numPr>
                <w:ilvl w:val="0"/>
                <w:numId w:val="23"/>
              </w:numPr>
              <w:spacing w:before="0" w:after="19"/>
              <w:ind w:hanging="283" w:left="283" w:right="0"/>
              <w:rPr>
                <w:rFonts w:ascii="Arial" w:hAnsi="Arial" w:cs="Arial"/>
                <w:sz w:val="20"/>
                <w:szCs w:val="20"/>
              </w:rPr>
            </w:pPr>
            <w:r>
              <w:rPr>
                <w:rFonts w:ascii="Arial" w:hAnsi="Arial" w:cs="Arial"/>
                <w:sz w:val="20"/>
                <w:szCs w:val="20"/>
              </w:rPr>
              <w:t>Radiology</w:t>
            </w:r>
          </w:p>
          <w:p>
            <w:pPr>
              <w:framePr w:w="0" w:h="0" w:hRule="auto" w:vSpace="0" w:hSpace="0" w:wrap="auto" w:hAnchor="text" w:x="0" w:xAlign="left" w:yAlign="inline" w:anchorLock="0"/>
              <w:numPr>
                <w:ilvl w:val="0"/>
                <w:numId w:val="23"/>
              </w:numPr>
              <w:spacing w:before="0" w:after="19"/>
              <w:ind w:hanging="283" w:left="283" w:right="0"/>
              <w:rPr>
                <w:rFonts w:ascii="Arial" w:hAnsi="Arial" w:cs="Arial"/>
                <w:sz w:val="20"/>
                <w:szCs w:val="20"/>
              </w:rPr>
            </w:pPr>
            <w:r>
              <w:rPr>
                <w:rFonts w:ascii="Arial" w:hAnsi="Arial" w:cs="Arial"/>
                <w:sz w:val="20"/>
                <w:szCs w:val="20"/>
              </w:rPr>
              <w:t>Pathology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1.2.4.d</w:t>
            </w:r>
          </w:p>
        </w:tc>
        <w:tc>
          <w:tcPr>
            <w:tcW w:w="1" w:type="dxa"/>
          </w:tcPr>
          <w:p>
            <w:pPr>
              <w:spacing w:before="0" w:after="19"/>
              <w:rPr>
                <w:rFonts w:ascii="Arial" w:hAnsi="Arial" w:cs="Arial"/>
                <w:sz w:val="20"/>
                <w:szCs w:val="20"/>
                <w:lang w:val="ro-RO" w:bidi="ar-SA"/>
              </w:rPr>
            </w:pPr>
            <w:r>
              <w:rPr>
                <w:rFonts w:ascii="Arial" w:hAnsi="Arial" w:cs="Arial"/>
                <w:sz w:val="20"/>
                <w:szCs w:val="20"/>
              </w:rPr>
              <w:t>Other disciplines and professional groups are to be involved in the tumour board as required (e.g. pharmacists, surgery, neurosurgery, neurology, orthopaedics, palliative medicine, nuclear medicine, nursing care, psycho-oncology, specialised pain therapy, study coordination).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1.2.4.e</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If several cooperation partners are named for a specialty, then the presence of a representative is sufficient if a formalised exchange of information has been put in place between them (e.g. through quality circles).</w:t>
            </w:r>
          </w:p>
          <w:p>
            <w:pPr>
              <w:spacing w:before="0" w:after="19"/>
              <w:rPr>
                <w:rFonts w:ascii="Arial" w:hAnsi="Arial" w:cs="Arial"/>
                <w:sz w:val="20"/>
                <w:szCs w:val="20"/>
                <w:lang w:val="ro-RO" w:bidi="ar-SA"/>
              </w:rPr>
            </w:pPr>
            <w:r>
              <w:rPr>
                <w:rFonts w:ascii="Arial" w:hAnsi="Arial" w:cs="Arial"/>
                <w:sz w:val="20"/>
                <w:szCs w:val="20"/>
              </w:rPr>
              <w:t>Nonetheless, each cooperation partner must attend at least 30 percent of the tumour boards.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1.2.4.f</w:t>
            </w:r>
          </w:p>
        </w:tc>
        <w:tc>
          <w:tcPr>
            <w:tcW w:w="1" w:type="dxa"/>
          </w:tcPr>
          <w:p>
            <w:pPr>
              <w:spacing w:before="0" w:after="19"/>
              <w:rPr>
                <w:rFonts w:ascii="Arial" w:hAnsi="Arial" w:cs="Arial"/>
                <w:sz w:val="20"/>
                <w:szCs w:val="20"/>
                <w:lang w:val="ro-RO" w:bidi="ar-SA"/>
              </w:rPr>
            </w:pPr>
            <w:r>
              <w:rPr>
                <w:rFonts w:ascii="Arial" w:hAnsi="Arial" w:cs="Arial"/>
                <w:sz w:val="20"/>
                <w:szCs w:val="20"/>
              </w:rPr>
              <w:t>The process of registration, preparation, execution and documentation of the tumour board is to be described in a standard operating procedure (SOP).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1.2.5</w:t>
            </w:r>
          </w:p>
        </w:tc>
        <w:tc>
          <w:tcPr>
            <w:tcW w:w="1" w:type="dxa"/>
          </w:tcPr>
          <w:p>
            <w:pPr>
              <w:spacing w:before="0" w:after="19"/>
              <w:rPr>
                <w:rFonts w:ascii="Arial" w:hAnsi="Arial" w:cs="Arial"/>
                <w:sz w:val="20"/>
                <w:szCs w:val="20"/>
                <w:lang w:val="ro-RO" w:bidi="ar-SA"/>
              </w:rPr>
            </w:pPr>
            <w:r>
              <w:rPr>
                <w:rFonts w:ascii="Arial" w:hAnsi="Arial" w:cs="Arial"/>
                <w:sz w:val="20"/>
                <w:szCs w:val="20"/>
              </w:rPr>
              <w:t>Presentation of visual material</w:t>
              <w:br w:type="textWrapping"/>
              <w:t xml:space="preserve">Patient-related images (e.g. pathology, radiology) must be available at the conference and suitable technical equipment must be provided for the presentation of the visual material. Computer-aided presentation is sufficient.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Preparation of tumour board</w:t>
            </w:r>
          </w:p>
          <w:p>
            <w:pPr>
              <w:framePr w:w="0" w:h="0" w:hRule="auto" w:vSpace="0" w:hSpace="0" w:wrap="auto" w:hAnchor="text" w:x="0" w:xAlign="left" w:yAlign="inline" w:anchorLock="0"/>
              <w:numPr>
                <w:ilvl w:val="0"/>
                <w:numId w:val="24"/>
              </w:numPr>
              <w:spacing w:before="0" w:after="19"/>
              <w:ind w:hanging="283" w:left="283" w:right="0"/>
              <w:rPr>
                <w:rFonts w:ascii="Arial" w:hAnsi="Arial" w:cs="Arial"/>
                <w:sz w:val="20"/>
                <w:szCs w:val="20"/>
              </w:rPr>
            </w:pPr>
            <w:r>
              <w:rPr>
                <w:rFonts w:ascii="Arial" w:hAnsi="Arial" w:cs="Arial"/>
                <w:sz w:val="20"/>
                <w:szCs w:val="20"/>
              </w:rPr>
              <w:t>The main patient data are to be summarised in writing in advance and distributed to the participants. Preliminary consideration of suitable study patients is to be undertaken.</w:t>
            </w:r>
          </w:p>
          <w:p>
            <w:pPr>
              <w:framePr w:w="0" w:h="0" w:hRule="auto" w:vSpace="0" w:hSpace="0" w:wrap="auto" w:hAnchor="text" w:x="0" w:xAlign="left" w:yAlign="inline" w:anchorLock="0"/>
              <w:numPr>
                <w:ilvl w:val="0"/>
                <w:numId w:val="24"/>
              </w:numPr>
              <w:spacing w:before="0" w:after="19"/>
              <w:ind w:hanging="283" w:left="283" w:right="0"/>
              <w:rPr>
                <w:rFonts w:ascii="Arial" w:hAnsi="Arial" w:cs="Arial"/>
                <w:sz w:val="20"/>
                <w:szCs w:val="20"/>
              </w:rPr>
            </w:pPr>
            <w:r>
              <w:rPr>
                <w:rFonts w:ascii="Arial" w:hAnsi="Arial" w:cs="Arial"/>
                <w:sz w:val="20"/>
                <w:szCs w:val="20"/>
              </w:rPr>
              <w:t>All patients with recurrent symptoms and metastases, who have entrusted the Centre with their care, are to be presented.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Presentation rates are set for each organ.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Tumour board minutes</w:t>
            </w:r>
          </w:p>
          <w:p>
            <w:pPr>
              <w:framePr w:w="0" w:h="0" w:hRule="auto" w:vSpace="0" w:hSpace="0" w:wrap="auto" w:hAnchor="text" w:x="0" w:xAlign="left" w:yAlign="inline" w:anchorLock="0"/>
              <w:numPr>
                <w:ilvl w:val="0"/>
                <w:numId w:val="25"/>
              </w:numPr>
              <w:spacing w:before="0" w:after="19"/>
              <w:ind w:hanging="283" w:left="283" w:right="0"/>
              <w:rPr>
                <w:rFonts w:ascii="Arial" w:hAnsi="Arial" w:cs="Arial"/>
                <w:sz w:val="20"/>
                <w:szCs w:val="20"/>
              </w:rPr>
            </w:pPr>
            <w:r>
              <w:rPr>
                <w:rFonts w:ascii="Arial" w:hAnsi="Arial" w:cs="Arial"/>
                <w:sz w:val="20"/>
                <w:szCs w:val="20"/>
              </w:rPr>
              <w:t>The results of the tumour board consist, inter alia, of a written, interdisciplinary therapy plan (“tumour board minutes”).</w:t>
            </w:r>
          </w:p>
          <w:p>
            <w:pPr>
              <w:framePr w:w="0" w:h="0" w:hRule="auto" w:vSpace="0" w:hSpace="0" w:wrap="auto" w:hAnchor="text" w:x="0" w:xAlign="left" w:yAlign="inline" w:anchorLock="0"/>
              <w:numPr>
                <w:ilvl w:val="0"/>
                <w:numId w:val="25"/>
              </w:numPr>
              <w:spacing w:before="0" w:after="19"/>
              <w:ind w:hanging="283" w:left="283" w:right="0"/>
              <w:rPr>
                <w:rFonts w:ascii="Arial" w:hAnsi="Arial" w:cs="Arial"/>
                <w:sz w:val="20"/>
                <w:szCs w:val="20"/>
              </w:rPr>
            </w:pPr>
            <w:r>
              <w:rPr>
                <w:rFonts w:ascii="Arial" w:hAnsi="Arial" w:cs="Arial"/>
                <w:sz w:val="20"/>
                <w:szCs w:val="20"/>
              </w:rPr>
              <w:t>The minutes of the tumour board meeting must be part of the patient file and</w:t>
            </w:r>
          </w:p>
          <w:p>
            <w:pPr>
              <w:framePr w:w="0" w:h="0" w:hRule="auto" w:vSpace="0" w:hSpace="0" w:wrap="auto" w:hAnchor="text" w:x="0" w:xAlign="left" w:yAlign="inline" w:anchorLock="0"/>
              <w:numPr>
                <w:ilvl w:val="0"/>
                <w:numId w:val="25"/>
              </w:numPr>
              <w:spacing w:before="0" w:after="19"/>
              <w:ind w:hanging="283" w:left="283" w:right="0"/>
              <w:rPr>
                <w:rFonts w:ascii="Arial" w:hAnsi="Arial" w:cs="Arial"/>
                <w:sz w:val="20"/>
                <w:szCs w:val="20"/>
              </w:rPr>
            </w:pPr>
            <w:r>
              <w:rPr>
                <w:rFonts w:ascii="Arial" w:hAnsi="Arial" w:cs="Arial"/>
                <w:sz w:val="20"/>
                <w:szCs w:val="20"/>
              </w:rPr>
              <w:t>The recommendation of the tumour board should also be part of the medical report.</w:t>
            </w:r>
          </w:p>
          <w:p>
            <w:pPr>
              <w:numPr>
                <w:ilvl w:val="0"/>
                <w:numId w:val="25"/>
              </w:numPr>
              <w:spacing w:before="0" w:after="19"/>
              <w:ind w:hanging="283" w:left="283"/>
              <w:rPr>
                <w:rFonts w:ascii="Arial" w:hAnsi="Arial" w:cs="Arial"/>
                <w:sz w:val="20"/>
                <w:szCs w:val="20"/>
                <w:lang w:val="ro-RO" w:bidi="ar-SA"/>
              </w:rPr>
            </w:pPr>
            <w:r>
              <w:rPr>
                <w:rFonts w:ascii="Arial" w:hAnsi="Arial" w:cs="Arial"/>
                <w:sz w:val="20"/>
                <w:szCs w:val="20"/>
              </w:rPr>
              <w:t>The “tumour board minutes” should be automatically generated by the tumour documentation system.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Tumour board results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patient must be informed about the recommendations of the tumour board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Patient information (case-related):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patient is given</w:t>
            </w:r>
          </w:p>
          <w:p>
            <w:pPr>
              <w:framePr w:w="0" w:h="0" w:hRule="auto" w:vSpace="0" w:hSpace="0" w:wrap="auto" w:hAnchor="text" w:x="0" w:xAlign="left" w:yAlign="inline" w:anchorLock="0"/>
              <w:numPr>
                <w:ilvl w:val="0"/>
                <w:numId w:val="26"/>
              </w:numPr>
              <w:spacing w:before="0" w:after="19"/>
              <w:ind w:hanging="283" w:left="283" w:right="0"/>
              <w:rPr>
                <w:rFonts w:ascii="Arial" w:hAnsi="Arial" w:cs="Arial"/>
                <w:sz w:val="20"/>
                <w:szCs w:val="20"/>
              </w:rPr>
            </w:pPr>
            <w:r>
              <w:rPr>
                <w:rFonts w:ascii="Arial" w:hAnsi="Arial" w:cs="Arial"/>
                <w:sz w:val="20"/>
                <w:szCs w:val="20"/>
              </w:rPr>
              <w:t xml:space="preserve">An aftercare plan </w:t>
            </w:r>
            <w:r>
              <w:rPr>
                <w:rFonts w:ascii="Arial" w:hAnsi="Arial" w:cs="Arial"/>
                <w:strike w:val="1"/>
                <w:sz w:val="20"/>
                <w:szCs w:val="20"/>
                <w:shd w:val="clear" w:color="auto" w:fill="00FE00"/>
              </w:rPr>
              <w:t>(if available)/ aftercare pass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and, on request, the following documents:</w:t>
            </w:r>
          </w:p>
          <w:p>
            <w:pPr>
              <w:framePr w:w="0" w:h="0" w:hRule="auto" w:vSpace="0" w:hSpace="0" w:wrap="auto" w:hAnchor="text" w:x="0" w:xAlign="left" w:yAlign="inline" w:anchorLock="0"/>
              <w:numPr>
                <w:ilvl w:val="0"/>
                <w:numId w:val="27"/>
              </w:numPr>
              <w:spacing w:before="0" w:after="19"/>
              <w:ind w:hanging="283" w:left="283" w:right="0"/>
              <w:rPr>
                <w:rFonts w:ascii="Arial" w:hAnsi="Arial" w:cs="Arial"/>
                <w:sz w:val="20"/>
                <w:szCs w:val="20"/>
              </w:rPr>
            </w:pPr>
            <w:r>
              <w:rPr>
                <w:rFonts w:ascii="Arial" w:hAnsi="Arial" w:cs="Arial"/>
                <w:sz w:val="20"/>
                <w:szCs w:val="20"/>
              </w:rPr>
              <w:t>tumour board minutes/ therapy plan</w:t>
            </w:r>
          </w:p>
          <w:p>
            <w:pPr>
              <w:framePr w:w="0" w:h="0" w:hRule="auto" w:vSpace="0" w:hSpace="0" w:wrap="auto" w:hAnchor="text" w:x="0" w:xAlign="left" w:yAlign="inline" w:anchorLock="0"/>
              <w:numPr>
                <w:ilvl w:val="0"/>
                <w:numId w:val="27"/>
              </w:numPr>
              <w:spacing w:before="0" w:after="19"/>
              <w:ind w:hanging="283" w:left="283" w:right="0"/>
              <w:rPr>
                <w:rFonts w:ascii="Arial" w:hAnsi="Arial" w:cs="Arial"/>
                <w:sz w:val="20"/>
                <w:szCs w:val="20"/>
              </w:rPr>
            </w:pPr>
            <w:r>
              <w:rPr>
                <w:rFonts w:ascii="Arial" w:hAnsi="Arial" w:cs="Arial"/>
                <w:sz w:val="20"/>
                <w:szCs w:val="20"/>
              </w:rPr>
              <w:t>Medical report/ discharge letter</w:t>
            </w:r>
          </w:p>
          <w:p>
            <w:pPr>
              <w:numPr>
                <w:ilvl w:val="0"/>
                <w:numId w:val="27"/>
              </w:numPr>
              <w:spacing w:before="0" w:after="19"/>
              <w:ind w:hanging="283" w:left="283"/>
              <w:rPr>
                <w:rFonts w:ascii="Arial" w:hAnsi="Arial" w:cs="Arial"/>
                <w:sz w:val="20"/>
                <w:szCs w:val="20"/>
                <w:lang w:val="ro-RO" w:bidi="ar-SA"/>
              </w:rPr>
            </w:pPr>
            <w:r>
              <w:rPr>
                <w:rFonts w:ascii="Arial" w:hAnsi="Arial" w:cs="Arial"/>
                <w:sz w:val="20"/>
                <w:szCs w:val="20"/>
              </w:rPr>
              <w:t>If relevant, study documentation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Participation in the tumour board e as continuing education</w:t>
            </w:r>
          </w:p>
          <w:p>
            <w:pPr>
              <w:framePr w:w="0" w:h="0" w:hRule="auto" w:vSpace="0" w:hSpace="0" w:wrap="auto" w:hAnchor="text" w:x="0" w:xAlign="left" w:yAlign="inline" w:anchorLock="0"/>
              <w:numPr>
                <w:ilvl w:val="0"/>
                <w:numId w:val="28"/>
              </w:numPr>
              <w:spacing w:before="0" w:after="19"/>
              <w:ind w:hanging="283" w:left="283" w:right="0"/>
              <w:rPr>
                <w:rFonts w:ascii="Arial" w:hAnsi="Arial" w:cs="Arial"/>
                <w:sz w:val="20"/>
                <w:szCs w:val="20"/>
              </w:rPr>
            </w:pPr>
            <w:r>
              <w:rPr>
                <w:rFonts w:ascii="Arial" w:hAnsi="Arial" w:cs="Arial"/>
                <w:sz w:val="20"/>
                <w:szCs w:val="20"/>
              </w:rPr>
              <w:t>One-off binding participation of the following functions/ professional groups in the tumour board should be made possible (refresh every three years):</w:t>
            </w:r>
          </w:p>
          <w:p>
            <w:pPr>
              <w:framePr w:w="0" w:h="0" w:hRule="auto" w:vSpace="0" w:hSpace="0" w:wrap="auto" w:hAnchor="text" w:x="0" w:xAlign="left" w:yAlign="inline" w:anchorLock="0"/>
              <w:numPr>
                <w:ilvl w:val="0"/>
                <w:numId w:val="28"/>
              </w:numPr>
              <w:spacing w:before="0" w:after="19"/>
              <w:ind w:hanging="283" w:left="283" w:right="0"/>
              <w:rPr>
                <w:rFonts w:ascii="Arial" w:hAnsi="Arial" w:cs="Arial"/>
                <w:sz w:val="20"/>
                <w:szCs w:val="20"/>
              </w:rPr>
            </w:pPr>
            <w:r>
              <w:rPr>
                <w:rFonts w:ascii="Arial" w:hAnsi="Arial" w:cs="Arial"/>
                <w:sz w:val="20"/>
                <w:szCs w:val="20"/>
              </w:rPr>
              <w:t>Assistant staff (MTR (= medical technologists for radiology) …) from radiology, nuclear medicine and radiotherapy</w:t>
            </w:r>
          </w:p>
          <w:p>
            <w:pPr>
              <w:framePr w:w="0" w:h="0" w:hRule="auto" w:vSpace="0" w:hSpace="0" w:wrap="auto" w:hAnchor="text" w:x="0" w:xAlign="left" w:yAlign="inline" w:anchorLock="0"/>
              <w:numPr>
                <w:ilvl w:val="0"/>
                <w:numId w:val="28"/>
              </w:numPr>
              <w:spacing w:before="0" w:after="19"/>
              <w:ind w:hanging="283" w:left="283" w:right="0"/>
              <w:rPr>
                <w:rFonts w:ascii="Arial" w:hAnsi="Arial" w:cs="Arial"/>
                <w:sz w:val="20"/>
                <w:szCs w:val="20"/>
              </w:rPr>
            </w:pPr>
            <w:r>
              <w:rPr>
                <w:rFonts w:ascii="Arial" w:hAnsi="Arial" w:cs="Arial"/>
                <w:sz w:val="20"/>
                <w:szCs w:val="20"/>
              </w:rPr>
              <w:t>Staff psycho-oncology and pharmacy</w:t>
            </w:r>
          </w:p>
          <w:p>
            <w:pPr>
              <w:framePr w:w="0" w:h="0" w:hRule="auto" w:vSpace="0" w:hSpace="0" w:wrap="auto" w:hAnchor="text" w:x="0" w:xAlign="left" w:yAlign="inline" w:anchorLock="0"/>
              <w:numPr>
                <w:ilvl w:val="0"/>
                <w:numId w:val="28"/>
              </w:numPr>
              <w:spacing w:before="0" w:after="19"/>
              <w:ind w:hanging="283" w:left="283" w:right="0"/>
              <w:rPr>
                <w:rFonts w:ascii="Arial" w:hAnsi="Arial" w:cs="Arial"/>
                <w:sz w:val="20"/>
                <w:szCs w:val="20"/>
              </w:rPr>
            </w:pPr>
            <w:r>
              <w:rPr>
                <w:rFonts w:ascii="Arial" w:hAnsi="Arial" w:cs="Arial"/>
                <w:sz w:val="20"/>
                <w:szCs w:val="20"/>
              </w:rPr>
              <w:t>Participation in the tumour board is recognised as continuing education for the above-mentioned functions/ professional groups.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Therapy plan</w:t>
            </w:r>
          </w:p>
          <w:p>
            <w:pPr>
              <w:framePr w:w="0" w:h="0" w:hRule="auto" w:vSpace="0" w:hSpace="0" w:wrap="auto" w:hAnchor="text" w:x="0" w:xAlign="left" w:yAlign="inline" w:anchorLock="0"/>
              <w:numPr>
                <w:ilvl w:val="0"/>
                <w:numId w:val="29"/>
              </w:numPr>
              <w:spacing w:before="0" w:after="19"/>
              <w:ind w:hanging="283" w:left="283" w:right="0"/>
              <w:rPr>
                <w:rFonts w:ascii="Arial" w:hAnsi="Arial" w:cs="Arial"/>
                <w:sz w:val="20"/>
                <w:szCs w:val="20"/>
              </w:rPr>
            </w:pPr>
            <w:r>
              <w:rPr>
                <w:rFonts w:ascii="Arial" w:hAnsi="Arial" w:cs="Arial"/>
                <w:sz w:val="20"/>
                <w:szCs w:val="20"/>
              </w:rPr>
              <w:t>An individual interdisciplinary therapy plan is to be drawn up for all patients. This also applies to patients not presented at any tumour board.</w:t>
            </w:r>
          </w:p>
          <w:p>
            <w:pPr>
              <w:numPr>
                <w:ilvl w:val="0"/>
                <w:numId w:val="29"/>
              </w:numPr>
              <w:spacing w:before="0" w:after="19"/>
              <w:ind w:hanging="283" w:left="283"/>
              <w:rPr>
                <w:rFonts w:ascii="Arial" w:hAnsi="Arial" w:cs="Arial"/>
                <w:sz w:val="20"/>
                <w:szCs w:val="20"/>
                <w:lang w:val="ro-RO" w:bidi="ar-SA"/>
              </w:rPr>
            </w:pPr>
            <w:r>
              <w:rPr>
                <w:rFonts w:ascii="Arial" w:hAnsi="Arial" w:cs="Arial"/>
                <w:sz w:val="20"/>
                <w:szCs w:val="20"/>
              </w:rPr>
              <w:t>A uniform documentation template is recommended for the therapy plan and tumour board minutes.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Therapy deviations</w:t>
            </w:r>
          </w:p>
          <w:p>
            <w:pPr>
              <w:framePr w:w="0" w:h="0" w:hRule="auto" w:vSpace="0" w:hSpace="0" w:wrap="auto" w:hAnchor="text" w:x="0" w:xAlign="left" w:yAlign="inline" w:anchorLock="0"/>
              <w:numPr>
                <w:ilvl w:val="0"/>
                <w:numId w:val="30"/>
              </w:numPr>
              <w:spacing w:before="0" w:after="19"/>
              <w:ind w:hanging="283" w:left="283" w:right="0"/>
              <w:rPr>
                <w:rFonts w:ascii="Arial" w:hAnsi="Arial" w:cs="Arial"/>
                <w:sz w:val="20"/>
                <w:szCs w:val="20"/>
              </w:rPr>
            </w:pPr>
            <w:r>
              <w:rPr>
                <w:rFonts w:ascii="Arial" w:hAnsi="Arial" w:cs="Arial"/>
                <w:sz w:val="20"/>
                <w:szCs w:val="20"/>
              </w:rPr>
              <w:t>In principle, therapy plans and recommendations of the tumour board are binding.</w:t>
            </w:r>
          </w:p>
          <w:p>
            <w:pPr>
              <w:framePr w:w="0" w:h="0" w:hRule="auto" w:vSpace="0" w:hSpace="0" w:wrap="auto" w:hAnchor="text" w:x="0" w:xAlign="left" w:yAlign="inline" w:anchorLock="0"/>
              <w:numPr>
                <w:ilvl w:val="0"/>
                <w:numId w:val="30"/>
              </w:numPr>
              <w:spacing w:before="0" w:after="19"/>
              <w:ind w:hanging="283" w:left="283" w:right="0"/>
              <w:rPr>
                <w:rFonts w:ascii="Arial" w:hAnsi="Arial" w:cs="Arial"/>
                <w:sz w:val="20"/>
                <w:szCs w:val="20"/>
              </w:rPr>
            </w:pPr>
            <w:r>
              <w:rPr>
                <w:rFonts w:ascii="Arial" w:hAnsi="Arial" w:cs="Arial"/>
                <w:sz w:val="20"/>
                <w:szCs w:val="20"/>
              </w:rPr>
              <w:t>If any deviations from the original therapy plan or from the Guidelines are observed, they must be recorded and evaluated. Depending on the reason, steps are to be taken to avoid deviations.</w:t>
              <w:br w:type="textWrapping"/>
            </w:r>
            <w:r>
              <w:rPr>
                <w:rFonts w:ascii="Arial" w:hAnsi="Arial" w:cs="Arial"/>
                <w:sz w:val="20"/>
                <w:szCs w:val="20"/>
                <w:shd w:val="clear" w:color="auto" w:fill="00FF00"/>
              </w:rPr>
              <w:t>In the event of significant deviations from interdisciplinary treatment concepts, a re-presentation should be made at the tumour board.</w:t>
            </w:r>
          </w:p>
          <w:p>
            <w:pPr>
              <w:numPr>
                <w:ilvl w:val="0"/>
                <w:numId w:val="30"/>
              </w:numPr>
              <w:spacing w:before="0" w:after="19"/>
              <w:ind w:hanging="283" w:left="283"/>
              <w:rPr>
                <w:rFonts w:ascii="Arial" w:hAnsi="Arial" w:cs="Arial"/>
                <w:sz w:val="20"/>
                <w:szCs w:val="20"/>
                <w:lang w:val="ro-RO" w:bidi="ar-SA"/>
              </w:rPr>
            </w:pPr>
            <w:r>
              <w:rPr>
                <w:rFonts w:ascii="Arial" w:hAnsi="Arial" w:cs="Arial"/>
                <w:sz w:val="20"/>
                <w:szCs w:val="20"/>
              </w:rPr>
              <w:t>It must be demonstrated (e.g. in the form of a concept) how it is ensured that deviations are recorded. If, at the patient’s request, treatment does not start or is discontinued prematurely (despite an existing indication), this must also be recorded.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1.2.12.a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Metastasis therapy</w:t>
            </w:r>
          </w:p>
          <w:p>
            <w:pPr>
              <w:framePr w:w="0" w:h="0" w:hRule="auto" w:vSpace="0" w:hSpace="0" w:wrap="auto" w:hAnchor="text" w:x="0" w:xAlign="left" w:yAlign="inline" w:anchorLock="0"/>
              <w:numPr>
                <w:ilvl w:val="0"/>
                <w:numId w:val="31"/>
              </w:numPr>
              <w:spacing w:before="0" w:after="19"/>
              <w:ind w:hanging="283" w:left="283" w:right="0"/>
              <w:rPr>
                <w:rFonts w:ascii="Arial" w:hAnsi="Arial" w:cs="Arial"/>
                <w:sz w:val="20"/>
                <w:szCs w:val="20"/>
              </w:rPr>
            </w:pPr>
            <w:r>
              <w:rPr>
                <w:rFonts w:ascii="Arial" w:hAnsi="Arial" w:cs="Arial"/>
                <w:sz w:val="20"/>
                <w:szCs w:val="20"/>
              </w:rPr>
              <w:t>At least once pre-therapeutic presentation of all metastasised patients at the tumour board. Objective: e.g., assess metastasis resectability or use local therapy measures or other therapy intervention.</w:t>
            </w:r>
          </w:p>
          <w:p>
            <w:pPr>
              <w:framePr w:w="0" w:h="0" w:hRule="auto" w:vSpace="0" w:hSpace="0" w:wrap="auto" w:hAnchor="text" w:x="0" w:xAlign="left" w:yAlign="inline" w:anchorLock="0"/>
              <w:numPr>
                <w:ilvl w:val="0"/>
                <w:numId w:val="31"/>
              </w:numPr>
              <w:spacing w:before="0" w:after="19"/>
              <w:ind w:hanging="283" w:left="283" w:right="0"/>
              <w:rPr>
                <w:rFonts w:ascii="Arial" w:hAnsi="Arial" w:cs="Arial"/>
                <w:sz w:val="20"/>
                <w:szCs w:val="20"/>
              </w:rPr>
            </w:pPr>
            <w:r>
              <w:rPr>
                <w:rFonts w:ascii="Arial" w:hAnsi="Arial" w:cs="Arial"/>
                <w:sz w:val="20"/>
                <w:szCs w:val="20"/>
              </w:rPr>
              <w:t>Description of treatment strategies (with special consideration of oligometastasis) with responsibilities for the various metastasis locations (liver, lung, skeleton, brain…)</w:t>
            </w:r>
          </w:p>
          <w:p>
            <w:pPr>
              <w:numPr>
                <w:ilvl w:val="0"/>
                <w:numId w:val="31"/>
              </w:numPr>
              <w:spacing w:before="0" w:after="19"/>
              <w:ind w:hanging="283" w:left="283"/>
              <w:rPr>
                <w:rFonts w:ascii="Arial" w:hAnsi="Arial" w:cs="Arial"/>
                <w:sz w:val="20"/>
                <w:szCs w:val="20"/>
                <w:lang w:val="ro-RO" w:bidi="ar-SA"/>
              </w:rPr>
            </w:pPr>
            <w:r>
              <w:rPr>
                <w:rFonts w:ascii="Arial" w:hAnsi="Arial" w:cs="Arial"/>
                <w:sz w:val="20"/>
                <w:szCs w:val="20"/>
              </w:rPr>
              <w:t>Definition of treatment pathways (patient transfer to another specialty unit, documentation and formalised exchange of information)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1.2.12.b</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For patients with advanced cancer, </w:t>
            </w:r>
          </w:p>
          <w:p>
            <w:pPr>
              <w:framePr w:w="0" w:h="0" w:hRule="auto" w:vSpace="0" w:hSpace="0" w:wrap="auto" w:hAnchor="text" w:x="0" w:xAlign="left" w:yAlign="inline" w:anchorLock="0"/>
              <w:numPr>
                <w:ilvl w:val="0"/>
                <w:numId w:val="32"/>
              </w:numPr>
              <w:spacing w:before="0" w:after="19"/>
              <w:ind w:hanging="283" w:left="283" w:right="0"/>
              <w:rPr>
                <w:rFonts w:ascii="Arial" w:hAnsi="Arial" w:cs="Arial"/>
                <w:sz w:val="20"/>
                <w:szCs w:val="20"/>
              </w:rPr>
            </w:pPr>
            <w:r>
              <w:rPr>
                <w:rFonts w:ascii="Arial" w:hAnsi="Arial" w:cs="Arial"/>
                <w:sz w:val="20"/>
                <w:szCs w:val="20"/>
              </w:rPr>
              <w:t xml:space="preserve">who have already undergone guideline-based therapy, </w:t>
            </w:r>
          </w:p>
          <w:p>
            <w:pPr>
              <w:framePr w:w="0" w:h="0" w:hRule="auto" w:vSpace="0" w:hSpace="0" w:wrap="auto" w:hAnchor="text" w:x="0" w:xAlign="left" w:yAlign="inline" w:anchorLock="0"/>
              <w:numPr>
                <w:ilvl w:val="0"/>
                <w:numId w:val="32"/>
              </w:numPr>
              <w:spacing w:before="0" w:after="19"/>
              <w:ind w:hanging="283" w:left="283" w:right="0"/>
              <w:rPr>
                <w:rFonts w:ascii="Arial" w:hAnsi="Arial" w:cs="Arial"/>
                <w:sz w:val="20"/>
                <w:szCs w:val="20"/>
              </w:rPr>
            </w:pPr>
            <w:r>
              <w:rPr>
                <w:rFonts w:ascii="Arial" w:hAnsi="Arial" w:cs="Arial"/>
                <w:sz w:val="20"/>
                <w:szCs w:val="20"/>
              </w:rPr>
              <w:t xml:space="preserve">who, according to the assessment of the clinical parameters, are able to receive molecular-based therapy, </w:t>
            </w:r>
          </w:p>
          <w:p>
            <w:pPr>
              <w:framePr w:w="0" w:h="0" w:hRule="auto" w:vSpace="0" w:hSpace="0" w:wrap="auto" w:hAnchor="text" w:x="0" w:xAlign="left" w:yAlign="inline" w:anchorLock="0"/>
              <w:numPr>
                <w:ilvl w:val="0"/>
                <w:numId w:val="32"/>
              </w:numPr>
              <w:spacing w:before="0" w:after="19"/>
              <w:ind w:hanging="283" w:left="283" w:right="0"/>
              <w:rPr>
                <w:rFonts w:ascii="Arial" w:hAnsi="Arial" w:cs="Arial"/>
                <w:sz w:val="20"/>
                <w:szCs w:val="20"/>
              </w:rPr>
            </w:pPr>
            <w:r>
              <w:rPr>
                <w:rFonts w:ascii="Arial" w:hAnsi="Arial" w:cs="Arial"/>
                <w:sz w:val="20"/>
                <w:szCs w:val="20"/>
              </w:rPr>
              <w:t>who agree in principle to a possible therapy based on the molecular findings,</w:t>
            </w:r>
          </w:p>
          <w:p>
            <w:pPr>
              <w:spacing w:before="0" w:after="19"/>
              <w:rPr>
                <w:rFonts w:ascii="Arial" w:hAnsi="Arial" w:cs="Arial"/>
                <w:sz w:val="20"/>
                <w:szCs w:val="20"/>
                <w:lang w:val="ro-RO" w:bidi="ar-SA"/>
              </w:rPr>
            </w:pPr>
            <w:r>
              <w:rPr>
                <w:rFonts w:ascii="Arial" w:hAnsi="Arial" w:cs="Arial"/>
                <w:sz w:val="20"/>
                <w:szCs w:val="20"/>
              </w:rPr>
              <w:t xml:space="preserve">should be referred to a Centres for Personalised Medicine. The prerequisite for this is the existence of a tumour board decision from an organ-specific centre. </w:t>
            </w:r>
            <w:r>
              <w:rPr>
                <w:rFonts w:ascii="Arial" w:hAnsi="Arial" w:cs="Arial"/>
                <w:sz w:val="20"/>
                <w:szCs w:val="20"/>
                <w:shd w:val="clear" w:color="auto" w:fill="00FF00"/>
              </w:rPr>
              <w:t>The recommendation of the molecular tumour board (</w:t>
            </w:r>
            <w:r>
              <w:rPr>
                <w:rFonts w:ascii="Arial" w:hAnsi="Arial" w:cs="Arial"/>
                <w:sz w:val="20"/>
                <w:szCs w:val="20"/>
              </w:rPr>
              <w:t>MTB</w:t>
            </w:r>
            <w:r>
              <w:rPr>
                <w:rFonts w:ascii="Arial" w:hAnsi="Arial" w:cs="Arial"/>
                <w:sz w:val="20"/>
                <w:szCs w:val="20"/>
                <w:shd w:val="clear" w:color="auto" w:fill="00FF00"/>
              </w:rPr>
              <w:t xml:space="preserve">) </w:t>
            </w:r>
            <w:r>
              <w:rPr>
                <w:rFonts w:ascii="Arial" w:hAnsi="Arial" w:cs="Arial"/>
                <w:strike w:val="1"/>
                <w:sz w:val="20"/>
                <w:szCs w:val="20"/>
                <w:shd w:val="clear" w:color="auto" w:fill="00FE00"/>
              </w:rPr>
              <w:t>recommendation</w:t>
            </w:r>
            <w:r>
              <w:rPr>
                <w:rFonts w:ascii="Arial" w:hAnsi="Arial" w:cs="Arial"/>
                <w:sz w:val="20"/>
                <w:szCs w:val="20"/>
                <w:shd w:val="clear" w:color="auto" w:fill="00FF00"/>
              </w:rPr>
              <w:t xml:space="preserve"> including the molecular genetic test results </w:t>
            </w:r>
            <w:r>
              <w:rPr>
                <w:rFonts w:ascii="Arial" w:hAnsi="Arial" w:cs="Arial"/>
                <w:sz w:val="20"/>
                <w:szCs w:val="20"/>
              </w:rPr>
              <w:t>will be made available to the referring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1.2.12.c</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Particularly for patients with an advanced disease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 Validated instruments (MIDOS, IPOS) should be used to record symptoms and distress (see S3 guideline on palliative care).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b. Specialised palliative care</w:t>
            </w:r>
          </w:p>
          <w:p>
            <w:pPr>
              <w:spacing w:before="0" w:after="19"/>
              <w:rPr>
                <w:rFonts w:ascii="Arial" w:hAnsi="Arial" w:cs="Arial"/>
                <w:sz w:val="20"/>
                <w:szCs w:val="20"/>
                <w:lang w:val="ro-RO" w:bidi="ar-SA"/>
              </w:rPr>
            </w:pPr>
            <w:r>
              <w:rPr>
                <w:rFonts w:ascii="Arial" w:hAnsi="Arial" w:cs="Arial"/>
                <w:sz w:val="20"/>
                <w:szCs w:val="20"/>
              </w:rPr>
              <w:t>Details are to be given in the scope of the OC about how specialised palliative care is integrated into the treatment process (treatment pathway of the S3 guideline).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1.2.13.a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Patient pathways</w:t>
            </w:r>
          </w:p>
          <w:p>
            <w:pPr>
              <w:spacing w:before="0" w:after="19"/>
              <w:rPr>
                <w:rFonts w:ascii="Arial" w:hAnsi="Arial" w:cs="Arial"/>
                <w:sz w:val="20"/>
                <w:szCs w:val="20"/>
                <w:lang w:val="ro-RO" w:bidi="ar-SA"/>
              </w:rPr>
            </w:pPr>
            <w:r>
              <w:rPr>
                <w:rFonts w:ascii="Arial" w:hAnsi="Arial" w:cs="Arial"/>
                <w:sz w:val="20"/>
                <w:szCs w:val="20"/>
              </w:rPr>
              <w:t xml:space="preserve">Patient pathways are to be drawn up for all tumour entities treated in the OC, which chart the procedure from patient admission to the Centre up to the termination of care (special consideration being given to interdisciplinary and trans-sectoral cooperation).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1.2.13.b</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Fertility preservation</w:t>
            </w:r>
          </w:p>
          <w:p>
            <w:pPr>
              <w:framePr w:w="0" w:h="0" w:hRule="auto" w:vSpace="0" w:hSpace="0" w:wrap="auto" w:hAnchor="text" w:x="0" w:xAlign="left" w:yAlign="inline" w:anchorLock="0"/>
              <w:numPr>
                <w:ilvl w:val="0"/>
                <w:numId w:val="33"/>
              </w:numPr>
              <w:spacing w:before="0" w:after="19"/>
              <w:ind w:hanging="283" w:left="283" w:right="0"/>
              <w:rPr>
                <w:rFonts w:ascii="Arial" w:hAnsi="Arial" w:cs="Arial"/>
                <w:sz w:val="20"/>
                <w:szCs w:val="20"/>
              </w:rPr>
            </w:pPr>
            <w:r>
              <w:rPr>
                <w:rFonts w:ascii="Arial" w:hAnsi="Arial" w:cs="Arial"/>
                <w:sz w:val="20"/>
                <w:szCs w:val="20"/>
              </w:rPr>
              <w:t>All patients with a planned fertility-reducing treatment (surgery, radiotherapy, systemic therapy) should be offered information about fertility-preserving measures prior to therapy. The consultation must be documented.</w:t>
            </w:r>
          </w:p>
          <w:p>
            <w:pPr>
              <w:framePr w:w="0" w:h="0" w:hRule="auto" w:vSpace="0" w:hSpace="0" w:wrap="auto" w:hAnchor="text" w:x="0" w:xAlign="left" w:yAlign="inline" w:anchorLock="0"/>
              <w:numPr>
                <w:ilvl w:val="0"/>
                <w:numId w:val="33"/>
              </w:numPr>
              <w:spacing w:before="0" w:after="19"/>
              <w:ind w:hanging="283" w:left="283" w:right="0"/>
              <w:rPr>
                <w:rFonts w:ascii="Arial" w:hAnsi="Arial" w:cs="Arial"/>
                <w:sz w:val="20"/>
                <w:szCs w:val="20"/>
              </w:rPr>
            </w:pPr>
            <w:r>
              <w:rPr>
                <w:rFonts w:ascii="Arial" w:hAnsi="Arial" w:cs="Arial"/>
                <w:sz w:val="20"/>
                <w:szCs w:val="20"/>
              </w:rPr>
              <w:t> A description of the procedure with the names of the responsible persons is to be given.</w:t>
            </w:r>
          </w:p>
          <w:p>
            <w:pPr>
              <w:numPr>
                <w:ilvl w:val="0"/>
                <w:numId w:val="33"/>
              </w:numPr>
              <w:spacing w:before="0" w:after="19"/>
              <w:ind w:hanging="283" w:left="283"/>
              <w:rPr>
                <w:rFonts w:ascii="Arial" w:hAnsi="Arial" w:cs="Arial"/>
                <w:sz w:val="20"/>
                <w:szCs w:val="20"/>
                <w:lang w:val="ro-RO" w:bidi="ar-SA"/>
              </w:rPr>
            </w:pPr>
            <w:r>
              <w:rPr>
                <w:rFonts w:ascii="Arial" w:hAnsi="Arial" w:cs="Arial"/>
                <w:sz w:val="20"/>
                <w:szCs w:val="20"/>
              </w:rPr>
              <w:t xml:space="preserve">SOP Fertility Preservation: </w:t>
            </w:r>
            <w:hyperlink xmlns:r="http://schemas.openxmlformats.org/officeDocument/2006/relationships" r:id="R5" w:tgtFrame="_blank">
              <w:r>
                <w:rPr>
                  <w:rFonts w:ascii="Arial" w:hAnsi="Arial" w:cs="Arial"/>
                  <w:color w:val="0000FF"/>
                  <w:sz w:val="20"/>
                  <w:szCs w:val="20"/>
                  <w:u w:val="single"/>
                </w:rPr>
                <w:t>https://www.krebsgesellschaft.de/zertdokumente.html</w:t>
              </w:r>
            </w:hyperlink>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Quality circles (QCs)</w:t>
            </w:r>
          </w:p>
          <w:p>
            <w:pPr>
              <w:framePr w:w="0" w:h="0" w:hRule="auto" w:vSpace="0" w:hSpace="0" w:wrap="auto" w:hAnchor="text" w:x="0" w:xAlign="left" w:yAlign="inline" w:anchorLock="0"/>
              <w:numPr>
                <w:ilvl w:val="0"/>
                <w:numId w:val="34"/>
              </w:numPr>
              <w:spacing w:before="0" w:after="19"/>
              <w:ind w:hanging="283" w:left="283" w:right="0"/>
              <w:rPr>
                <w:rFonts w:ascii="Arial" w:hAnsi="Arial" w:cs="Arial"/>
                <w:sz w:val="20"/>
                <w:szCs w:val="20"/>
              </w:rPr>
            </w:pPr>
            <w:r>
              <w:rPr>
                <w:rFonts w:ascii="Arial" w:hAnsi="Arial" w:cs="Arial"/>
                <w:sz w:val="20"/>
                <w:szCs w:val="20"/>
              </w:rPr>
              <w:t>Tasks, circle of participants and contents of the quality circles are defined by the steering committee in consultation with the specialist disciplines.</w:t>
            </w:r>
          </w:p>
          <w:p>
            <w:pPr>
              <w:framePr w:w="0" w:h="0" w:hRule="auto" w:vSpace="0" w:hSpace="0" w:wrap="auto" w:hAnchor="text" w:x="0" w:xAlign="left" w:yAlign="inline" w:anchorLock="0"/>
              <w:numPr>
                <w:ilvl w:val="0"/>
                <w:numId w:val="34"/>
              </w:numPr>
              <w:spacing w:before="0" w:after="19"/>
              <w:ind w:hanging="283" w:left="283" w:right="0"/>
              <w:rPr>
                <w:rFonts w:ascii="Arial" w:hAnsi="Arial" w:cs="Arial"/>
                <w:sz w:val="20"/>
                <w:szCs w:val="20"/>
              </w:rPr>
            </w:pPr>
            <w:r>
              <w:rPr>
                <w:rFonts w:ascii="Arial" w:hAnsi="Arial" w:cs="Arial"/>
                <w:sz w:val="20"/>
                <w:szCs w:val="20"/>
              </w:rPr>
              <w:t>The mandatory members/main cooperation partners of the OC must take part in or initiate QCs.</w:t>
            </w:r>
          </w:p>
          <w:p>
            <w:pPr>
              <w:framePr w:w="0" w:h="0" w:hRule="auto" w:vSpace="0" w:hSpace="0" w:wrap="auto" w:hAnchor="text" w:x="0" w:xAlign="left" w:yAlign="inline" w:anchorLock="0"/>
              <w:numPr>
                <w:ilvl w:val="0"/>
                <w:numId w:val="34"/>
              </w:numPr>
              <w:spacing w:before="0" w:after="19"/>
              <w:ind w:hanging="283" w:left="283" w:right="0"/>
              <w:rPr>
                <w:rFonts w:ascii="Arial" w:hAnsi="Arial" w:cs="Arial"/>
                <w:sz w:val="20"/>
                <w:szCs w:val="20"/>
              </w:rPr>
            </w:pPr>
            <w:r>
              <w:rPr>
                <w:rFonts w:ascii="Arial" w:hAnsi="Arial" w:cs="Arial"/>
                <w:sz w:val="20"/>
                <w:szCs w:val="20"/>
              </w:rPr>
              <w:t>Quality circles are to be held at least three times a year. Oncological topics are one of the foci.</w:t>
            </w:r>
          </w:p>
          <w:p>
            <w:pPr>
              <w:framePr w:w="0" w:h="0" w:hRule="auto" w:vSpace="0" w:hSpace="0" w:wrap="auto" w:hAnchor="text" w:x="0" w:xAlign="left" w:yAlign="inline" w:anchorLock="0"/>
              <w:numPr>
                <w:ilvl w:val="0"/>
                <w:numId w:val="34"/>
              </w:numPr>
              <w:spacing w:before="0" w:after="19"/>
              <w:ind w:hanging="283" w:left="283" w:right="0"/>
              <w:rPr>
                <w:rFonts w:ascii="Arial" w:hAnsi="Arial" w:cs="Arial"/>
                <w:sz w:val="20"/>
                <w:szCs w:val="20"/>
              </w:rPr>
            </w:pPr>
            <w:r>
              <w:rPr>
                <w:rFonts w:ascii="Arial" w:hAnsi="Arial" w:cs="Arial"/>
                <w:sz w:val="20"/>
                <w:szCs w:val="20"/>
              </w:rPr>
              <w:t>1 Morbidity/mortality conferences of the OC/year can also be recognised as quality circles.</w:t>
            </w:r>
          </w:p>
          <w:p>
            <w:pPr>
              <w:framePr w:w="0" w:h="0" w:hRule="auto" w:vSpace="0" w:hSpace="0" w:wrap="auto" w:hAnchor="text" w:x="0" w:xAlign="left" w:yAlign="inline" w:anchorLock="0"/>
              <w:numPr>
                <w:ilvl w:val="0"/>
                <w:numId w:val="34"/>
              </w:numPr>
              <w:spacing w:before="0" w:after="19"/>
              <w:ind w:hanging="283" w:left="283" w:right="0"/>
              <w:rPr>
                <w:rFonts w:ascii="Arial" w:hAnsi="Arial" w:cs="Arial"/>
                <w:sz w:val="20"/>
                <w:szCs w:val="20"/>
              </w:rPr>
            </w:pPr>
            <w:r>
              <w:rPr>
                <w:rFonts w:ascii="Arial" w:hAnsi="Arial" w:cs="Arial"/>
                <w:sz w:val="20"/>
                <w:szCs w:val="20"/>
              </w:rPr>
              <w:t>A list of participants is kept.</w:t>
            </w:r>
          </w:p>
          <w:p>
            <w:pPr>
              <w:framePr w:w="0" w:h="0" w:hRule="auto" w:vSpace="0" w:hSpace="0" w:wrap="auto" w:hAnchor="text" w:x="0" w:xAlign="left" w:yAlign="inline" w:anchorLock="0"/>
              <w:numPr>
                <w:ilvl w:val="0"/>
                <w:numId w:val="34"/>
              </w:numPr>
              <w:spacing w:before="0" w:after="19"/>
              <w:ind w:hanging="283" w:left="283" w:right="0"/>
              <w:rPr>
                <w:rFonts w:ascii="Arial" w:hAnsi="Arial" w:cs="Arial"/>
                <w:sz w:val="20"/>
                <w:szCs w:val="20"/>
              </w:rPr>
            </w:pPr>
            <w:r>
              <w:rPr>
                <w:rFonts w:ascii="Arial" w:hAnsi="Arial" w:cs="Arial"/>
                <w:sz w:val="20"/>
                <w:szCs w:val="20"/>
              </w:rPr>
              <w:t>Organisation and documentation by the Centre coordinator or QM officer.</w:t>
            </w:r>
          </w:p>
          <w:p>
            <w:pPr>
              <w:framePr w:w="0" w:h="0" w:hRule="auto" w:vSpace="0" w:hSpace="0" w:wrap="auto" w:hAnchor="text" w:x="0" w:xAlign="left" w:yAlign="inline" w:anchorLock="0"/>
              <w:numPr>
                <w:ilvl w:val="0"/>
                <w:numId w:val="34"/>
              </w:numPr>
              <w:spacing w:before="0" w:after="19"/>
              <w:ind w:hanging="283" w:left="283" w:right="0"/>
              <w:rPr>
                <w:rFonts w:ascii="Arial" w:hAnsi="Arial" w:cs="Arial"/>
                <w:sz w:val="20"/>
                <w:szCs w:val="20"/>
              </w:rPr>
            </w:pPr>
            <w:r>
              <w:rPr>
                <w:rFonts w:ascii="Arial" w:hAnsi="Arial" w:cs="Arial"/>
                <w:sz w:val="20"/>
                <w:szCs w:val="20"/>
              </w:rPr>
              <w:t>The quality circles must produce clear results (actions, decisions) which are deemed conducive to significant further development/improvements in the Oncology Centre.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 quality circle must have been held by the time of initial certification. The results of the quality circle are to be documented.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Centralised list of guidelines/ SOPs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 list of guidelines/ SOPs is to be kept (in accordance with Annex 1) which the corresponding specialty unit undertakes to implement. The person responsible for each guideline is to be designated by name in the list.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SOPs are updated and concrete diagnostic and therapy instructions, which are based on the S1-S3 Evidence-based guidelines.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For entities which do not have respective guidelines, adequate SOPs are to be put in place.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SOPs are to be documented for all tumour entities in the area of application.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For palliative medicine the SOPs of the leading oncological centre’s network can be used (</w:t>
            </w:r>
            <w:hyperlink xmlns:r="http://schemas.openxmlformats.org/officeDocument/2006/relationships" r:id="R6" w:tgtFrame="_blank">
              <w:r>
                <w:rPr>
                  <w:rFonts w:ascii="Arial" w:hAnsi="Arial" w:cs="Arial"/>
                  <w:color w:val="0000FF"/>
                  <w:sz w:val="20"/>
                  <w:szCs w:val="20"/>
                  <w:u w:val="single"/>
                </w:rPr>
                <w:t>http://www.ccc-netzwerk.de/arbeitsgruppen/standard-operating-procedures/netzwerk-sops.html</w:t>
              </w:r>
            </w:hyperlink>
            <w:r>
              <w:rPr>
                <w:rFonts w:ascii="Arial" w:hAnsi="Arial" w:cs="Arial"/>
                <w:sz w:val="20"/>
                <w:szCs w:val="20"/>
              </w:rPr>
              <w:t>)</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Tasks of the persons responsible for the guidelines</w:t>
            </w:r>
          </w:p>
          <w:p>
            <w:pPr>
              <w:framePr w:w="0" w:h="0" w:hRule="auto" w:vSpace="0" w:hSpace="0" w:wrap="auto" w:hAnchor="text" w:x="0" w:xAlign="left" w:yAlign="inline" w:anchorLock="0"/>
              <w:numPr>
                <w:ilvl w:val="0"/>
                <w:numId w:val="35"/>
              </w:numPr>
              <w:spacing w:before="0" w:after="19"/>
              <w:ind w:hanging="283" w:left="283" w:right="0"/>
              <w:rPr>
                <w:rFonts w:ascii="Arial" w:hAnsi="Arial" w:cs="Arial"/>
                <w:sz w:val="20"/>
                <w:szCs w:val="20"/>
              </w:rPr>
            </w:pPr>
            <w:r>
              <w:rPr>
                <w:rFonts w:ascii="Arial" w:hAnsi="Arial" w:cs="Arial"/>
                <w:sz w:val="20"/>
                <w:szCs w:val="20"/>
              </w:rPr>
              <w:t>Monitoring of up-to-datedness and further development</w:t>
            </w:r>
          </w:p>
          <w:p>
            <w:pPr>
              <w:framePr w:w="0" w:h="0" w:hRule="auto" w:vSpace="0" w:hSpace="0" w:wrap="auto" w:hAnchor="text" w:x="0" w:xAlign="left" w:yAlign="inline" w:anchorLock="0"/>
              <w:numPr>
                <w:ilvl w:val="0"/>
                <w:numId w:val="35"/>
              </w:numPr>
              <w:spacing w:before="0" w:after="19"/>
              <w:ind w:hanging="283" w:left="283" w:right="0"/>
              <w:rPr>
                <w:rFonts w:ascii="Arial" w:hAnsi="Arial" w:cs="Arial"/>
                <w:sz w:val="20"/>
                <w:szCs w:val="20"/>
              </w:rPr>
            </w:pPr>
            <w:r>
              <w:rPr>
                <w:rFonts w:ascii="Arial" w:hAnsi="Arial" w:cs="Arial"/>
                <w:sz w:val="20"/>
                <w:szCs w:val="20"/>
              </w:rPr>
              <w:t>Presentation of guideline contents to new staff members (description of type of presentation and documentation)</w:t>
            </w:r>
          </w:p>
          <w:p>
            <w:pPr>
              <w:framePr w:w="0" w:h="0" w:hRule="auto" w:vSpace="0" w:hSpace="0" w:wrap="auto" w:hAnchor="text" w:x="0" w:xAlign="left" w:yAlign="inline" w:anchorLock="0"/>
              <w:numPr>
                <w:ilvl w:val="0"/>
                <w:numId w:val="35"/>
              </w:numPr>
              <w:spacing w:before="0" w:after="19"/>
              <w:ind w:hanging="283" w:left="283" w:right="0"/>
              <w:rPr>
                <w:rFonts w:ascii="Arial" w:hAnsi="Arial" w:cs="Arial"/>
                <w:sz w:val="20"/>
                <w:szCs w:val="20"/>
              </w:rPr>
            </w:pPr>
            <w:r>
              <w:rPr>
                <w:rFonts w:ascii="Arial" w:hAnsi="Arial" w:cs="Arial"/>
                <w:sz w:val="20"/>
                <w:szCs w:val="20"/>
              </w:rPr>
              <w:t>Monitoring of guideline implementation (e.g. guideline audit, data monitoring)</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Changes to guidelines</w:t>
            </w:r>
          </w:p>
          <w:p>
            <w:pPr>
              <w:framePr w:w="0" w:h="0" w:hRule="auto" w:vSpace="0" w:hSpace="0" w:wrap="auto" w:hAnchor="text" w:x="0" w:xAlign="left" w:yAlign="inline" w:anchorLock="0"/>
              <w:numPr>
                <w:ilvl w:val="0"/>
                <w:numId w:val="36"/>
              </w:numPr>
              <w:spacing w:before="0" w:after="19"/>
              <w:ind w:hanging="283" w:left="283" w:right="0"/>
              <w:rPr>
                <w:rFonts w:ascii="Arial" w:hAnsi="Arial" w:cs="Arial"/>
                <w:sz w:val="20"/>
                <w:szCs w:val="20"/>
              </w:rPr>
            </w:pPr>
            <w:r>
              <w:rPr>
                <w:rFonts w:ascii="Arial" w:hAnsi="Arial" w:cs="Arial"/>
                <w:sz w:val="20"/>
                <w:szCs w:val="20"/>
              </w:rPr>
              <w:t>Systematic, timely and verifiable presentation of changes (documented, e.g. as continuing education sessions, quality circles)</w:t>
            </w:r>
          </w:p>
          <w:p>
            <w:pPr>
              <w:numPr>
                <w:ilvl w:val="0"/>
                <w:numId w:val="36"/>
              </w:numPr>
              <w:spacing w:before="0" w:after="19"/>
              <w:ind w:hanging="283" w:left="283"/>
              <w:rPr>
                <w:rFonts w:ascii="Arial" w:hAnsi="Arial" w:cs="Arial"/>
                <w:sz w:val="20"/>
                <w:szCs w:val="20"/>
                <w:lang w:val="ro-RO" w:bidi="ar-SA"/>
              </w:rPr>
            </w:pPr>
            <w:r>
              <w:rPr>
                <w:rFonts w:ascii="Arial" w:hAnsi="Arial" w:cs="Arial"/>
                <w:sz w:val="20"/>
                <w:szCs w:val="20"/>
              </w:rPr>
              <w:t>Changes to internal procedures/ specifications resulting from guideline changes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1.2.17 (Symptom) screening in oncological patients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In order to optimise outpatient and inpatient care, </w:t>
            </w:r>
            <w:r>
              <w:rPr>
                <w:rFonts w:ascii="Arial" w:hAnsi="Arial" w:cs="Arial"/>
                <w:strike w:val="1"/>
                <w:sz w:val="20"/>
                <w:szCs w:val="20"/>
                <w:shd w:val="clear" w:color="auto" w:fill="00FE00"/>
              </w:rPr>
              <w:t xml:space="preserve">it is recommended that </w:t>
            </w:r>
            <w:r>
              <w:rPr>
                <w:rFonts w:ascii="Arial" w:hAnsi="Arial" w:cs="Arial"/>
                <w:sz w:val="20"/>
                <w:szCs w:val="20"/>
              </w:rPr>
              <w:t xml:space="preserve">symptoms, stress, consultation and treatment </w:t>
            </w:r>
            <w:r>
              <w:rPr>
                <w:rFonts w:ascii="Arial" w:hAnsi="Arial" w:cs="Arial"/>
                <w:strike w:val="1"/>
                <w:sz w:val="20"/>
                <w:szCs w:val="20"/>
                <w:shd w:val="clear" w:color="auto" w:fill="00FE00"/>
              </w:rPr>
              <w:t>needs</w:t>
            </w:r>
            <w:r>
              <w:rPr>
                <w:rFonts w:ascii="Arial" w:hAnsi="Arial" w:cs="Arial"/>
                <w:sz w:val="20"/>
                <w:szCs w:val="20"/>
              </w:rPr>
              <w:t xml:space="preserve"> </w:t>
            </w:r>
            <w:r>
              <w:rPr>
                <w:rFonts w:ascii="Arial" w:hAnsi="Arial" w:cs="Arial"/>
                <w:sz w:val="20"/>
                <w:szCs w:val="20"/>
                <w:shd w:val="clear" w:color="auto" w:fill="00FF00"/>
              </w:rPr>
              <w:t xml:space="preserve">must </w:t>
            </w:r>
            <w:r>
              <w:rPr>
                <w:rFonts w:ascii="Arial" w:hAnsi="Arial" w:cs="Arial"/>
                <w:sz w:val="20"/>
                <w:szCs w:val="20"/>
              </w:rPr>
              <w:t>be recorded in the form of a basic oncological screening.</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The aim is to use resources efficiently through basic oncological screening, thereby saving resources in the long term and bundling processes in order to achieve needs-based and targeted care.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The basic </w:t>
            </w:r>
            <w:r>
              <w:rPr>
                <w:rFonts w:ascii="Arial" w:hAnsi="Arial" w:cs="Arial"/>
                <w:sz w:val="20"/>
                <w:szCs w:val="20"/>
                <w:shd w:val="clear" w:color="auto" w:fill="00FF00"/>
              </w:rPr>
              <w:t xml:space="preserve">oncological </w:t>
            </w:r>
            <w:r>
              <w:rPr>
                <w:rFonts w:ascii="Arial" w:hAnsi="Arial" w:cs="Arial"/>
                <w:sz w:val="20"/>
                <w:szCs w:val="20"/>
              </w:rPr>
              <w:t xml:space="preserve">screening includes </w:t>
            </w:r>
            <w:r>
              <w:rPr>
                <w:rFonts w:ascii="Arial" w:hAnsi="Arial" w:cs="Arial"/>
                <w:sz w:val="20"/>
                <w:szCs w:val="20"/>
                <w:shd w:val="clear" w:color="auto" w:fill="00FF00"/>
              </w:rPr>
              <w:t>screening for at least the following four core dimensions:</w:t>
            </w:r>
            <w:r>
              <w:rPr>
                <w:rFonts w:ascii="Arial" w:hAnsi="Arial" w:cs="Arial"/>
                <w:strike w:val="1"/>
                <w:sz w:val="20"/>
                <w:szCs w:val="20"/>
                <w:shd w:val="clear" w:color="auto" w:fill="00FE00"/>
              </w:rPr>
              <w:t xml:space="preserve">, for example (see SOP at </w:t>
            </w:r>
            <w:hyperlink xmlns:r="http://schemas.openxmlformats.org/officeDocument/2006/relationships" r:id="R7">
              <w:r>
                <w:rPr>
                  <w:rFonts w:ascii="Arial" w:hAnsi="Arial" w:cs="Arial"/>
                  <w:strike w:val="1"/>
                  <w:color w:val="0000FF"/>
                  <w:sz w:val="20"/>
                  <w:szCs w:val="20"/>
                  <w:u w:val="single"/>
                  <w:shd w:val="clear" w:color="auto" w:fill="00FE00"/>
                </w:rPr>
                <w:t>https://www.krebsgesellschaft.de/zertdokumente.html</w:t>
              </w:r>
            </w:hyperlink>
            <w:r>
              <w:rPr>
                <w:rFonts w:ascii="Arial" w:hAnsi="Arial" w:cs="Arial"/>
                <w:strike w:val="1"/>
                <w:sz w:val="20"/>
                <w:szCs w:val="20"/>
                <w:shd w:val="clear" w:color="auto" w:fill="00FE00"/>
              </w:rPr>
              <w:t xml:space="preserve">):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numPr>
                <w:ilvl w:val="0"/>
                <w:numId w:val="37"/>
              </w:numPr>
              <w:spacing w:before="0" w:after="19"/>
              <w:ind w:hanging="283" w:left="283" w:right="0"/>
              <w:rPr>
                <w:rFonts w:ascii="Arial" w:hAnsi="Arial" w:cs="Arial"/>
                <w:sz w:val="20"/>
                <w:szCs w:val="20"/>
              </w:rPr>
            </w:pPr>
            <w:r>
              <w:rPr>
                <w:rFonts w:ascii="Arial" w:hAnsi="Arial" w:cs="Arial"/>
                <w:sz w:val="20"/>
                <w:szCs w:val="20"/>
                <w:shd w:val="clear" w:color="auto" w:fill="00FF00"/>
              </w:rPr>
              <w:t>psychosocial stress</w:t>
            </w:r>
          </w:p>
          <w:p>
            <w:pPr>
              <w:framePr w:w="0" w:h="0" w:hRule="auto" w:vSpace="0" w:hSpace="0" w:wrap="auto" w:hAnchor="text" w:x="0" w:xAlign="left" w:yAlign="inline" w:anchorLock="0"/>
              <w:numPr>
                <w:ilvl w:val="0"/>
                <w:numId w:val="37"/>
              </w:numPr>
              <w:spacing w:before="0" w:after="19"/>
              <w:ind w:hanging="283" w:left="283" w:right="0"/>
              <w:rPr>
                <w:rFonts w:ascii="Arial" w:hAnsi="Arial" w:cs="Arial"/>
                <w:sz w:val="20"/>
                <w:szCs w:val="20"/>
              </w:rPr>
            </w:pPr>
            <w:r>
              <w:rPr>
                <w:rFonts w:ascii="Arial" w:hAnsi="Arial" w:cs="Arial"/>
                <w:sz w:val="20"/>
                <w:szCs w:val="20"/>
                <w:shd w:val="clear" w:color="auto" w:fill="00FF00"/>
              </w:rPr>
              <w:t>physical symptoms</w:t>
            </w:r>
          </w:p>
          <w:p>
            <w:pPr>
              <w:framePr w:w="0" w:h="0" w:hRule="auto" w:vSpace="0" w:hSpace="0" w:wrap="auto" w:hAnchor="text" w:x="0" w:xAlign="left" w:yAlign="inline" w:anchorLock="0"/>
              <w:numPr>
                <w:ilvl w:val="0"/>
                <w:numId w:val="37"/>
              </w:numPr>
              <w:spacing w:before="0" w:after="19"/>
              <w:ind w:hanging="283" w:left="283" w:right="0"/>
              <w:rPr>
                <w:rFonts w:ascii="Arial" w:hAnsi="Arial" w:cs="Arial"/>
                <w:sz w:val="20"/>
                <w:szCs w:val="20"/>
              </w:rPr>
            </w:pPr>
            <w:r>
              <w:rPr>
                <w:rFonts w:ascii="Arial" w:hAnsi="Arial" w:cs="Arial"/>
                <w:sz w:val="20"/>
                <w:szCs w:val="20"/>
                <w:shd w:val="clear" w:color="auto" w:fill="00FF00"/>
              </w:rPr>
              <w:t>risk of malnutrition</w:t>
            </w:r>
          </w:p>
          <w:p>
            <w:pPr>
              <w:framePr w:w="0" w:h="0" w:hRule="auto" w:vSpace="0" w:hSpace="0" w:wrap="auto" w:hAnchor="text" w:x="0" w:xAlign="left" w:yAlign="inline" w:anchorLock="0"/>
              <w:numPr>
                <w:ilvl w:val="0"/>
                <w:numId w:val="37"/>
              </w:numPr>
              <w:spacing w:before="0" w:after="19"/>
              <w:ind w:hanging="283" w:left="283" w:right="0"/>
              <w:rPr>
                <w:rFonts w:ascii="Arial" w:hAnsi="Arial" w:cs="Arial"/>
                <w:sz w:val="20"/>
                <w:szCs w:val="20"/>
              </w:rPr>
            </w:pPr>
            <w:r>
              <w:rPr>
                <w:rFonts w:ascii="Arial" w:hAnsi="Arial" w:cs="Arial"/>
                <w:sz w:val="20"/>
                <w:szCs w:val="20"/>
                <w:shd w:val="clear" w:color="auto" w:fill="00FF00"/>
              </w:rPr>
              <w:t>social law issues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The screening should generally record PRO (patient-reported outcomes) and is the responsibility of the primary care unit. Each care unit (e.g. outpatient clinic, ward, day clinic, practice) appoints a person responsible for screening (e.g. specialist oncology nurse).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numPr>
                <w:ilvl w:val="0"/>
                <w:numId w:val="3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Screening for psychosocial stress (see section 1.4)</w:t>
            </w:r>
          </w:p>
          <w:p>
            <w:pPr>
              <w:framePr w:w="0" w:h="0" w:hRule="auto" w:vSpace="0" w:hSpace="0" w:wrap="auto" w:hAnchor="text" w:x="0" w:xAlign="left" w:yAlign="inline" w:anchorLock="0"/>
              <w:numPr>
                <w:ilvl w:val="0"/>
                <w:numId w:val="3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Symptom screening using validated instruments (e.g. MIDOS/IPOS (see section 9))</w:t>
            </w:r>
          </w:p>
          <w:p>
            <w:pPr>
              <w:framePr w:w="0" w:h="0" w:hRule="auto" w:vSpace="0" w:hSpace="0" w:wrap="auto" w:hAnchor="text" w:x="0" w:xAlign="left" w:yAlign="inline" w:anchorLock="0"/>
              <w:numPr>
                <w:ilvl w:val="0"/>
                <w:numId w:val="3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Needs assessment for socio-legal counselling (see section 1.5)</w:t>
            </w:r>
          </w:p>
          <w:p>
            <w:pPr>
              <w:framePr w:w="0" w:h="0" w:hRule="auto" w:vSpace="0" w:hSpace="0" w:wrap="auto" w:hAnchor="text" w:x="0" w:xAlign="left" w:yAlign="inline" w:anchorLock="0"/>
              <w:numPr>
                <w:ilvl w:val="0"/>
                <w:numId w:val="3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Screening for malnutrition (e.g. NRS, see section 1.9)</w:t>
            </w:r>
          </w:p>
          <w:p>
            <w:pPr>
              <w:framePr w:w="0" w:h="0" w:hRule="auto" w:vSpace="0" w:hSpace="0" w:wrap="auto" w:hAnchor="text" w:x="0" w:xAlign="left" w:yAlign="inline" w:anchorLock="0"/>
              <w:numPr>
                <w:ilvl w:val="0"/>
                <w:numId w:val="3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Screening for geriatric risks for all patients &gt; 70 years of age (e.g. G8)</w:t>
            </w:r>
          </w:p>
          <w:p>
            <w:pPr>
              <w:framePr w:w="0" w:h="0" w:hRule="auto" w:vSpace="0" w:hSpace="0" w:wrap="auto" w:hAnchor="text" w:x="0" w:xAlign="left" w:yAlign="inline" w:anchorLock="0"/>
              <w:numPr>
                <w:ilvl w:val="0"/>
                <w:numId w:val="3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 xml:space="preserve">Therapeutic movement screening for restrictions in movement and mobility </w:t>
            </w:r>
          </w:p>
          <w:p>
            <w:pPr>
              <w:framePr w:w="0" w:h="0" w:hRule="auto" w:vSpace="0" w:hSpace="0" w:wrap="auto" w:hAnchor="text" w:x="0" w:xAlign="left" w:yAlign="inline" w:anchorLock="0"/>
              <w:numPr>
                <w:ilvl w:val="0"/>
                <w:numId w:val="3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Recording the burden on relatives of incurable cancer patients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 xml:space="preserve">The processes and the involvement of the relevant support areas (e.g. nutritional counselling) must be described. Basis for this: "SOP Basic Oncological Screening" at </w:t>
            </w:r>
            <w:hyperlink xmlns:r="http://schemas.openxmlformats.org/officeDocument/2006/relationships" r:id="R8">
              <w:r>
                <w:rPr>
                  <w:rFonts w:ascii="Arial" w:hAnsi="Arial" w:cs="Arial"/>
                  <w:strike w:val="1"/>
                  <w:color w:val="0000FF"/>
                  <w:sz w:val="20"/>
                  <w:szCs w:val="20"/>
                  <w:u w:val="single"/>
                  <w:shd w:val="clear" w:color="auto" w:fill="00FE00"/>
                </w:rPr>
                <w:t>https://www.krebsgesellschaft.de/zertdokumente.html</w:t>
              </w:r>
            </w:hyperlink>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 xml:space="preserve">The process for conducting basic oncological screening must be defined and presented in the centre in the form of an interdisciplinary SOP. Guidance is available for creating an SOP; see </w:t>
            </w:r>
            <w:hyperlink xmlns:r="http://schemas.openxmlformats.org/officeDocument/2006/relationships" r:id="R9">
              <w:r>
                <w:rPr>
                  <w:rFonts w:ascii="Arial" w:hAnsi="Arial" w:cs="Arial"/>
                  <w:color w:val="0000FF"/>
                  <w:sz w:val="20"/>
                  <w:szCs w:val="20"/>
                  <w:u w:val="single"/>
                  <w:shd w:val="clear" w:color="auto" w:fill="00FF00"/>
                </w:rPr>
                <w:t>https://www.krebsgesellschaft.de/zertdokumente.html</w:t>
              </w:r>
            </w:hyperlink>
            <w:r>
              <w:rPr>
                <w:rFonts w:ascii="Arial" w:hAnsi="Arial" w:cs="Arial"/>
                <w:sz w:val="20"/>
                <w:szCs w:val="20"/>
                <w:shd w:val="clear" w:color="auto" w:fill="00FF00"/>
              </w:rPr>
              <w:t xml:space="preserve"> ‘</w:t>
            </w:r>
            <w:r>
              <w:rPr>
                <w:rFonts w:ascii="Arial" w:hAnsi="Arial" w:cs="Arial"/>
                <w:i w:val="1"/>
                <w:sz w:val="20"/>
                <w:szCs w:val="20"/>
                <w:shd w:val="clear" w:color="auto" w:fill="00FF00"/>
              </w:rPr>
              <w:t>Guidance for creating SOPs for basic oncological screening in oncology centres’.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The SOP also includes the procedure for providing appropriate care to patients with a positive screening result in one of the four core dimensions.</w:t>
            </w:r>
            <w:r>
              <w:rPr>
                <w:rFonts w:ascii="Arial" w:hAnsi="Arial" w:cs="Arial"/>
                <w:sz w:val="20"/>
                <w:szCs w:val="20"/>
              </w:rPr>
              <w:br w:type="textWrapping"/>
            </w:r>
            <w:r>
              <w:rPr>
                <w:rFonts w:ascii="Arial" w:hAnsi="Arial" w:cs="Arial"/>
                <w:sz w:val="20"/>
                <w:szCs w:val="20"/>
                <w:shd w:val="clear" w:color="auto" w:fill="00FF00"/>
              </w:rPr>
              <w:t>The ‘psycho-oncological distress screening rate’ indicator (</w:t>
            </w:r>
            <w:hyperlink xmlns:r="http://schemas.openxmlformats.org/officeDocument/2006/relationships" r:id="RA">
              <w:r>
                <w:rPr>
                  <w:rFonts w:ascii="Arial" w:hAnsi="Arial" w:cs="Arial"/>
                  <w:color w:val="0000FF"/>
                  <w:sz w:val="20"/>
                  <w:szCs w:val="20"/>
                  <w:u w:val="single"/>
                  <w:shd w:val="clear" w:color="auto" w:fill="00FF00"/>
                </w:rPr>
                <w:t xml:space="preserve">section 1.4) </w:t>
              </w:r>
            </w:hyperlink>
            <w:r>
              <w:rPr>
                <w:rFonts w:ascii="Arial" w:hAnsi="Arial" w:cs="Arial"/>
                <w:sz w:val="20"/>
                <w:szCs w:val="20"/>
                <w:shd w:val="clear" w:color="auto" w:fill="00FF00"/>
              </w:rPr>
              <w:t>is considered representative of the screening rates for all four dimensions.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It is recommended that the rate of patients with above-threshold stress/abnormalities in the four dimensions of basic oncological screening and their further care be recorded.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shd w:val="clear" w:color="auto" w:fill="00FF00"/>
              </w:rPr>
              <w:t>The frequency of screening should be adapted to the patient during initial contact and in the further course of treatment.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1.3</w:t>
              <w:tab/>
              <w:t xml:space="preserve"> Cooperation referrers and aftercare</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Cooperating referrers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An up-to-date list of cooperating referrers is to be kept. The referrers are to be informed about cooperation within the Oncology Centre with regard to the following:</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Duties of the Oncology Centre:</w:t>
            </w:r>
          </w:p>
          <w:p>
            <w:pPr>
              <w:framePr w:w="0" w:h="0" w:hRule="auto" w:vSpace="0" w:hSpace="0" w:wrap="auto" w:hAnchor="text" w:x="0" w:xAlign="left" w:yAlign="inline" w:anchorLock="0"/>
              <w:numPr>
                <w:ilvl w:val="0"/>
                <w:numId w:val="39"/>
              </w:numPr>
              <w:spacing w:before="0" w:after="19"/>
              <w:ind w:hanging="283" w:left="283" w:right="0"/>
              <w:rPr>
                <w:rFonts w:ascii="Arial" w:hAnsi="Arial" w:cs="Arial"/>
                <w:sz w:val="20"/>
                <w:szCs w:val="20"/>
              </w:rPr>
            </w:pPr>
            <w:r>
              <w:rPr>
                <w:rFonts w:ascii="Arial" w:hAnsi="Arial" w:cs="Arial"/>
                <w:sz w:val="20"/>
                <w:szCs w:val="20"/>
              </w:rPr>
              <w:t>Referrers are entitled to attend the tumour board when their patients are presented.</w:t>
            </w:r>
          </w:p>
          <w:p>
            <w:pPr>
              <w:numPr>
                <w:ilvl w:val="0"/>
                <w:numId w:val="39"/>
              </w:numPr>
              <w:spacing w:before="0" w:after="19"/>
              <w:ind w:hanging="283" w:left="283"/>
              <w:rPr>
                <w:rFonts w:ascii="Arial" w:hAnsi="Arial" w:cs="Arial"/>
                <w:sz w:val="20"/>
                <w:szCs w:val="20"/>
                <w:lang w:val="ro-RO" w:bidi="ar-SA"/>
              </w:rPr>
            </w:pPr>
            <w:r>
              <w:rPr>
                <w:rFonts w:ascii="Arial" w:hAnsi="Arial" w:cs="Arial"/>
                <w:sz w:val="20"/>
                <w:szCs w:val="20"/>
              </w:rPr>
              <w:t>Referrers are to be given an opportunity to present patients at the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Contact persons</w:t>
            </w:r>
          </w:p>
          <w:p>
            <w:pPr>
              <w:spacing w:before="0" w:after="19"/>
              <w:rPr>
                <w:rFonts w:ascii="Arial" w:hAnsi="Arial" w:cs="Arial"/>
                <w:sz w:val="20"/>
                <w:szCs w:val="20"/>
                <w:lang w:val="ro-RO" w:bidi="ar-SA"/>
              </w:rPr>
            </w:pPr>
            <w:r>
              <w:rPr>
                <w:rFonts w:ascii="Arial" w:hAnsi="Arial" w:cs="Arial"/>
                <w:sz w:val="20"/>
                <w:szCs w:val="20"/>
              </w:rPr>
              <w:t xml:space="preserve">The contact persons and their function (e.g. telephone, email) are to be made known to the referrers. This may be done in conjunction with the required publication of the cooperation partners.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Provision of documents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Referrers are to be given the following documents in a timely manner:</w:t>
            </w:r>
          </w:p>
          <w:p>
            <w:pPr>
              <w:framePr w:w="0" w:h="0" w:hRule="auto" w:vSpace="0" w:hSpace="0" w:wrap="auto" w:hAnchor="text" w:x="0" w:xAlign="left" w:yAlign="inline" w:anchorLock="0"/>
              <w:numPr>
                <w:ilvl w:val="0"/>
                <w:numId w:val="40"/>
              </w:numPr>
              <w:spacing w:before="0" w:after="19"/>
              <w:ind w:hanging="283" w:left="283" w:right="0"/>
              <w:rPr>
                <w:rFonts w:ascii="Arial" w:hAnsi="Arial" w:cs="Arial"/>
                <w:sz w:val="20"/>
                <w:szCs w:val="20"/>
              </w:rPr>
            </w:pPr>
            <w:r>
              <w:rPr>
                <w:rFonts w:ascii="Arial" w:hAnsi="Arial" w:cs="Arial"/>
                <w:sz w:val="20"/>
                <w:szCs w:val="20"/>
              </w:rPr>
              <w:t>Histology</w:t>
            </w:r>
          </w:p>
          <w:p>
            <w:pPr>
              <w:framePr w:w="0" w:h="0" w:hRule="auto" w:vSpace="0" w:hSpace="0" w:wrap="auto" w:hAnchor="text" w:x="0" w:xAlign="left" w:yAlign="inline" w:anchorLock="0"/>
              <w:numPr>
                <w:ilvl w:val="0"/>
                <w:numId w:val="40"/>
              </w:numPr>
              <w:spacing w:before="0" w:after="19"/>
              <w:ind w:hanging="283" w:left="283" w:right="0"/>
              <w:rPr>
                <w:rFonts w:ascii="Arial" w:hAnsi="Arial" w:cs="Arial"/>
                <w:sz w:val="20"/>
                <w:szCs w:val="20"/>
              </w:rPr>
            </w:pPr>
            <w:r>
              <w:rPr>
                <w:rFonts w:ascii="Arial" w:hAnsi="Arial" w:cs="Arial"/>
                <w:sz w:val="20"/>
                <w:szCs w:val="20"/>
              </w:rPr>
              <w:t>Tumour board minutes/ therapy plan</w:t>
            </w:r>
          </w:p>
          <w:p>
            <w:pPr>
              <w:framePr w:w="0" w:h="0" w:hRule="auto" w:vSpace="0" w:hSpace="0" w:wrap="auto" w:hAnchor="text" w:x="0" w:xAlign="left" w:yAlign="inline" w:anchorLock="0"/>
              <w:numPr>
                <w:ilvl w:val="0"/>
                <w:numId w:val="40"/>
              </w:numPr>
              <w:spacing w:before="0" w:after="19"/>
              <w:ind w:hanging="283" w:left="283" w:right="0"/>
              <w:rPr>
                <w:rFonts w:ascii="Arial" w:hAnsi="Arial" w:cs="Arial"/>
                <w:sz w:val="20"/>
                <w:szCs w:val="20"/>
              </w:rPr>
            </w:pPr>
            <w:r>
              <w:rPr>
                <w:rFonts w:ascii="Arial" w:hAnsi="Arial" w:cs="Arial"/>
                <w:sz w:val="20"/>
                <w:szCs w:val="20"/>
              </w:rPr>
              <w:t>Surgical report (optional)</w:t>
            </w:r>
          </w:p>
          <w:p>
            <w:pPr>
              <w:framePr w:w="0" w:h="0" w:hRule="auto" w:vSpace="0" w:hSpace="0" w:wrap="auto" w:hAnchor="text" w:x="0" w:xAlign="left" w:yAlign="inline" w:anchorLock="0"/>
              <w:numPr>
                <w:ilvl w:val="0"/>
                <w:numId w:val="40"/>
              </w:numPr>
              <w:spacing w:before="0" w:after="19"/>
              <w:ind w:hanging="283" w:left="283" w:right="0"/>
              <w:rPr>
                <w:rFonts w:ascii="Arial" w:hAnsi="Arial" w:cs="Arial"/>
                <w:sz w:val="20"/>
                <w:szCs w:val="20"/>
              </w:rPr>
            </w:pPr>
            <w:r>
              <w:rPr>
                <w:rFonts w:ascii="Arial" w:hAnsi="Arial" w:cs="Arial"/>
                <w:sz w:val="20"/>
                <w:szCs w:val="20"/>
              </w:rPr>
              <w:t>Medical report/discharge letter</w:t>
            </w:r>
          </w:p>
          <w:p>
            <w:pPr>
              <w:numPr>
                <w:ilvl w:val="0"/>
                <w:numId w:val="40"/>
              </w:numPr>
              <w:spacing w:before="0" w:after="19"/>
              <w:ind w:hanging="283" w:left="283"/>
              <w:rPr>
                <w:rFonts w:ascii="Arial" w:hAnsi="Arial" w:cs="Arial"/>
                <w:sz w:val="20"/>
                <w:szCs w:val="20"/>
                <w:lang w:val="ro-RO" w:bidi="ar-SA"/>
              </w:rPr>
            </w:pPr>
            <w:r>
              <w:rPr>
                <w:rFonts w:ascii="Arial" w:hAnsi="Arial" w:cs="Arial"/>
                <w:sz w:val="20"/>
                <w:szCs w:val="20"/>
              </w:rPr>
              <w:t>Changes to 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Feedback system</w:t>
            </w:r>
          </w:p>
          <w:p>
            <w:pPr>
              <w:spacing w:before="0" w:after="19"/>
              <w:rPr>
                <w:rFonts w:ascii="Arial" w:hAnsi="Arial" w:cs="Arial"/>
                <w:sz w:val="20"/>
                <w:szCs w:val="20"/>
                <w:lang w:val="ro-RO" w:bidi="ar-SA"/>
              </w:rPr>
            </w:pPr>
            <w:r>
              <w:rPr>
                <w:rFonts w:ascii="Arial" w:hAnsi="Arial" w:cs="Arial"/>
                <w:sz w:val="20"/>
                <w:szCs w:val="20"/>
              </w:rPr>
              <w:t>A written procedure for recording, processing and providing feedback on general and case-specific concerns/ questions/ complications by referrers is to be put in place.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Referrer satisfaction survey</w:t>
            </w:r>
          </w:p>
          <w:p>
            <w:pPr>
              <w:framePr w:w="0" w:h="0" w:hRule="auto" w:vSpace="0" w:hSpace="0" w:wrap="auto" w:hAnchor="text" w:x="0" w:xAlign="left" w:yAlign="inline" w:anchorLock="0"/>
              <w:numPr>
                <w:ilvl w:val="0"/>
                <w:numId w:val="41"/>
              </w:numPr>
              <w:spacing w:before="0" w:after="19"/>
              <w:ind w:hanging="283" w:left="283" w:right="0"/>
              <w:rPr>
                <w:rFonts w:ascii="Arial" w:hAnsi="Arial" w:cs="Arial"/>
                <w:sz w:val="20"/>
                <w:szCs w:val="20"/>
              </w:rPr>
            </w:pPr>
            <w:r>
              <w:rPr>
                <w:rFonts w:ascii="Arial" w:hAnsi="Arial" w:cs="Arial"/>
                <w:sz w:val="20"/>
                <w:szCs w:val="20"/>
              </w:rPr>
              <w:t>A referrer satisfaction survey is to be conducted every three years. The results of this survey are to be evaluated and analysed.</w:t>
            </w:r>
          </w:p>
          <w:p>
            <w:pPr>
              <w:numPr>
                <w:ilvl w:val="0"/>
                <w:numId w:val="41"/>
              </w:numPr>
              <w:spacing w:before="0" w:after="19"/>
              <w:ind w:hanging="283" w:left="283"/>
              <w:rPr>
                <w:rFonts w:ascii="Arial" w:hAnsi="Arial" w:cs="Arial"/>
                <w:sz w:val="20"/>
                <w:szCs w:val="20"/>
                <w:lang w:val="ro-RO" w:bidi="ar-SA"/>
              </w:rPr>
            </w:pPr>
            <w:r>
              <w:rPr>
                <w:rFonts w:ascii="Arial" w:hAnsi="Arial" w:cs="Arial"/>
                <w:sz w:val="20"/>
                <w:szCs w:val="20"/>
              </w:rPr>
              <w:t>The referrer satisfaction survey must be available for the first time for the first surveillance audit (one year after initial certification).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spacing w:before="0" w:after="19"/>
              <w:rPr>
                <w:rFonts w:ascii="Arial" w:hAnsi="Arial" w:cs="Arial"/>
                <w:sz w:val="20"/>
                <w:szCs w:val="20"/>
                <w:lang w:val="ro-RO" w:bidi="ar-SA"/>
              </w:rPr>
            </w:pPr>
            <w:r>
              <w:rPr>
                <w:rFonts w:ascii="Arial" w:hAnsi="Arial" w:cs="Arial"/>
                <w:sz w:val="20"/>
                <w:szCs w:val="20"/>
              </w:rPr>
              <w:t>At least two events a year are to be proposed by the Centre for the exchange of experience and training purposes. The contents/ results and attendance are to be documented.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1.4</w:t>
              <w:tab/>
              <w:t xml:space="preserve"> Psycho-oncology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Psycho-oncology qualifications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numPr>
                <w:ilvl w:val="0"/>
                <w:numId w:val="42"/>
              </w:numPr>
              <w:spacing w:before="0" w:after="19"/>
              <w:ind w:hanging="283" w:left="283" w:right="0"/>
              <w:rPr>
                <w:rFonts w:ascii="Arial" w:hAnsi="Arial" w:cs="Arial"/>
                <w:sz w:val="20"/>
                <w:szCs w:val="20"/>
              </w:rPr>
            </w:pPr>
            <w:r>
              <w:rPr>
                <w:rFonts w:ascii="Arial" w:hAnsi="Arial" w:cs="Arial"/>
                <w:sz w:val="20"/>
                <w:szCs w:val="20"/>
              </w:rPr>
              <w:t>Diploma/ Master in Psychology, which qualifies its holder to practice scientifically recognised psychotherapy</w:t>
            </w:r>
          </w:p>
          <w:p>
            <w:pPr>
              <w:framePr w:w="0" w:h="0" w:hRule="auto" w:vSpace="0" w:hSpace="0" w:wrap="auto" w:hAnchor="text" w:x="0" w:xAlign="left" w:yAlign="inline" w:anchorLock="0"/>
              <w:numPr>
                <w:ilvl w:val="0"/>
                <w:numId w:val="42"/>
              </w:numPr>
              <w:spacing w:before="0" w:after="19"/>
              <w:ind w:hanging="283" w:left="283" w:right="0"/>
              <w:rPr>
                <w:rFonts w:ascii="Arial" w:hAnsi="Arial" w:cs="Arial"/>
                <w:sz w:val="20"/>
                <w:szCs w:val="20"/>
              </w:rPr>
            </w:pPr>
            <w:r>
              <w:rPr>
                <w:rFonts w:ascii="Arial" w:hAnsi="Arial" w:cs="Arial"/>
                <w:sz w:val="20"/>
                <w:szCs w:val="20"/>
              </w:rPr>
              <w:t>Doctors of Human Medicine,</w:t>
            </w:r>
          </w:p>
          <w:p>
            <w:pPr>
              <w:framePr w:w="0" w:h="0" w:hRule="auto" w:vSpace="0" w:hSpace="0" w:wrap="auto" w:hAnchor="text" w:x="0" w:xAlign="left" w:yAlign="inline" w:anchorLock="0"/>
              <w:numPr>
                <w:ilvl w:val="0"/>
                <w:numId w:val="42"/>
              </w:numPr>
              <w:spacing w:before="0" w:after="19"/>
              <w:ind w:hanging="283" w:left="283" w:right="0"/>
              <w:rPr>
                <w:rFonts w:ascii="Arial" w:hAnsi="Arial" w:cs="Arial"/>
                <w:sz w:val="20"/>
                <w:szCs w:val="20"/>
              </w:rPr>
            </w:pPr>
            <w:r>
              <w:rPr>
                <w:rFonts w:ascii="Arial" w:hAnsi="Arial" w:cs="Arial"/>
                <w:sz w:val="20"/>
                <w:szCs w:val="20"/>
              </w:rPr>
              <w:t>Diploma/ Master in Social Pedagogics, which qualifies its holder to practice scientifically recognised psychotherapy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in each case </w:t>
            </w:r>
            <w:r>
              <w:rPr>
                <w:rFonts w:ascii="Arial" w:hAnsi="Arial" w:cs="Arial"/>
                <w:strike w:val="1"/>
                <w:sz w:val="20"/>
                <w:szCs w:val="20"/>
                <w:shd w:val="clear" w:color="auto" w:fill="00FE00"/>
              </w:rPr>
              <w:t>with</w:t>
            </w:r>
            <w:r>
              <w:rPr>
                <w:rFonts w:ascii="Arial" w:hAnsi="Arial" w:cs="Arial"/>
                <w:sz w:val="20"/>
                <w:szCs w:val="20"/>
                <w:shd w:val="clear" w:color="auto" w:fill="00FF00"/>
              </w:rPr>
              <w:t xml:space="preserve"> at an advanced stage or completed </w:t>
            </w:r>
            <w:r>
              <w:rPr>
                <w:rFonts w:ascii="Arial" w:hAnsi="Arial" w:cs="Arial"/>
                <w:sz w:val="20"/>
                <w:szCs w:val="20"/>
              </w:rPr>
              <w:t>specialty training in psychotherapy: behavioural therapy, psychodynamic psychotherapy (analytical psychotherapy and psychology-based psychotherapy), systemic therapy</w:t>
            </w:r>
            <w:r>
              <w:rPr>
                <w:rFonts w:ascii="Arial" w:hAnsi="Arial" w:cs="Arial"/>
                <w:sz w:val="20"/>
                <w:szCs w:val="20"/>
                <w:shd w:val="clear" w:color="auto" w:fill="00FF00"/>
              </w:rPr>
              <w:t>.</w:t>
            </w:r>
            <w:r>
              <w:rPr>
                <w:rFonts w:ascii="Arial" w:hAnsi="Arial" w:cs="Arial"/>
                <w:strike w:val="1"/>
                <w:sz w:val="20"/>
                <w:szCs w:val="20"/>
                <w:shd w:val="clear" w:color="auto" w:fill="00FE00"/>
              </w:rPr>
              <w:t>, neuropsychological therapy (for mental disorders due to brain injuries), interpersonal therapy (IPT; for affective disorders and eating disorders), EMDR for the treatment of post-traumatic stress disorders, hypnotherapy for addictive disorders and for psychotherapeutic co-treatment of somatic diseases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or</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Psychotherapists (licensed) in or with specialist psychotherapeutic training</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and </w:t>
            </w:r>
            <w:r>
              <w:rPr>
                <w:rFonts w:ascii="Arial" w:hAnsi="Arial" w:cs="Arial"/>
                <w:sz w:val="20"/>
                <w:szCs w:val="20"/>
                <w:shd w:val="clear" w:color="auto" w:fill="00FF00"/>
              </w:rPr>
              <w:t>in each case</w:t>
            </w:r>
            <w:r>
              <w:rPr>
                <w:rFonts w:ascii="Arial" w:hAnsi="Arial" w:cs="Arial"/>
                <w:sz w:val="20"/>
                <w:szCs w:val="20"/>
              </w:rPr>
              <w:t xml:space="preserve"> with psycho-oncological specialty training (DKG-recognised).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Protection of existing standars for all persons who are already accredited or recognised on a case-by-case basis.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Licence to practice: At least 1 person in the psycho-oncological team </w:t>
            </w:r>
            <w:r>
              <w:rPr>
                <w:rFonts w:ascii="Arial" w:hAnsi="Arial" w:cs="Arial"/>
                <w:strike w:val="1"/>
                <w:sz w:val="20"/>
                <w:szCs w:val="20"/>
                <w:shd w:val="clear" w:color="auto" w:fill="00FE00"/>
              </w:rPr>
              <w:t>of the network (inpatient or outpatient)</w:t>
            </w:r>
            <w:r>
              <w:rPr>
                <w:rFonts w:ascii="Arial" w:hAnsi="Arial" w:cs="Arial"/>
                <w:sz w:val="20"/>
                <w:szCs w:val="20"/>
              </w:rPr>
              <w:t xml:space="preserve"> </w:t>
            </w:r>
            <w:r>
              <w:rPr>
                <w:rFonts w:ascii="Arial" w:hAnsi="Arial" w:cs="Arial"/>
                <w:sz w:val="20"/>
                <w:szCs w:val="20"/>
                <w:shd w:val="clear" w:color="auto" w:fill="00FF00"/>
              </w:rPr>
              <w:t>at the clinical site is licensed as a psychological or medical psychotherapist or specialist psychotherapist</w:t>
            </w:r>
            <w:r>
              <w:rPr>
                <w:rFonts w:ascii="Arial" w:hAnsi="Arial" w:cs="Arial"/>
                <w:strike w:val="1"/>
                <w:sz w:val="20"/>
                <w:szCs w:val="20"/>
                <w:shd w:val="clear" w:color="auto" w:fill="00FE00"/>
              </w:rPr>
              <w:t>. must have a licence to practice (psychological or medical psychotherapist)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Protection of existing standards for all who are currently recognised and those who commenced a DKG-recognised psycho-oncological continuing education course by 31 December 2019.</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Representatives of other psychosocial professions are allowed if they can prove the above-mentioned additional qualifications. This should be evaluated on a case-by-case basis.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For further explanations, see FAQ.</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Psycho-oncological resources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If needed, at least 1 psycho-oncologist with the above-mentioned qualifications is available to the centre (list of names).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Organ Cancer Centre/ Module requirements are to be considered separately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Recommendation: further resources, if necessary, are to be provided for coordination and scientific tasks (e.g. documentation assistants).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shd w:val="clear" w:color="auto" w:fill="00FF00"/>
              </w:rPr>
              <w:t>The performance of tasks shall be regulated by an organisational chart which shows, among other things, the availability of resources and local presence.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 xml:space="preserve">Psycho-oncology - </w:t>
            </w:r>
            <w:r>
              <w:rPr>
                <w:rFonts w:ascii="Arial" w:hAnsi="Arial" w:cs="Arial"/>
                <w:sz w:val="20"/>
                <w:szCs w:val="20"/>
              </w:rPr>
              <w:t>Task</w:t>
            </w:r>
            <w:r>
              <w:rPr>
                <w:rFonts w:ascii="Arial" w:hAnsi="Arial" w:cs="Arial"/>
                <w:sz w:val="20"/>
                <w:szCs w:val="20"/>
                <w:shd w:val="clear" w:color="auto" w:fill="00FF00"/>
              </w:rPr>
              <w:t>s</w:t>
            </w:r>
            <w:r>
              <w:rPr>
                <w:rFonts w:ascii="Arial" w:hAnsi="Arial" w:cs="Arial"/>
                <w:strike w:val="1"/>
                <w:sz w:val="20"/>
                <w:szCs w:val="20"/>
                <w:shd w:val="clear" w:color="auto" w:fill="00FE00"/>
              </w:rPr>
              <w:t xml:space="preserve"> profile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The psycho-oncological care of patients is to be offered at all stages of </w:t>
            </w:r>
            <w:r>
              <w:rPr>
                <w:rFonts w:ascii="Arial" w:hAnsi="Arial" w:cs="Arial"/>
                <w:sz w:val="20"/>
                <w:szCs w:val="20"/>
                <w:shd w:val="clear" w:color="auto" w:fill="00FF00"/>
              </w:rPr>
              <w:t xml:space="preserve">medical </w:t>
            </w:r>
            <w:r>
              <w:rPr>
                <w:rFonts w:ascii="Arial" w:hAnsi="Arial" w:cs="Arial"/>
                <w:sz w:val="20"/>
                <w:szCs w:val="20"/>
              </w:rPr>
              <w:t>treatment</w:t>
            </w:r>
            <w:r>
              <w:rPr>
                <w:rFonts w:ascii="Arial" w:hAnsi="Arial" w:cs="Arial"/>
                <w:sz w:val="20"/>
                <w:szCs w:val="20"/>
                <w:shd w:val="clear" w:color="auto" w:fill="00FF00"/>
              </w:rPr>
              <w:t>.</w:t>
            </w:r>
            <w:r>
              <w:rPr>
                <w:rFonts w:ascii="Arial" w:hAnsi="Arial" w:cs="Arial"/>
                <w:sz w:val="20"/>
                <w:szCs w:val="20"/>
              </w:rPr>
              <w:t xml:space="preserve"> </w:t>
            </w:r>
            <w:r>
              <w:rPr>
                <w:rFonts w:ascii="Arial" w:hAnsi="Arial" w:cs="Arial"/>
                <w:strike w:val="1"/>
                <w:sz w:val="20"/>
                <w:szCs w:val="20"/>
                <w:shd w:val="clear" w:color="auto" w:fill="00FE00"/>
              </w:rPr>
              <w:t>(diagnosis, inpatient, post-inpatient).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The objectives and tasks of care include:</w:t>
            </w:r>
          </w:p>
          <w:p>
            <w:pPr>
              <w:framePr w:w="0" w:h="0" w:hRule="auto" w:vSpace="0" w:hSpace="0" w:wrap="auto" w:hAnchor="text" w:x="0" w:xAlign="left" w:yAlign="inline" w:anchorLock="0"/>
              <w:numPr>
                <w:ilvl w:val="0"/>
                <w:numId w:val="43"/>
              </w:numPr>
              <w:spacing w:before="0" w:after="19"/>
              <w:ind w:hanging="283" w:left="283" w:right="0"/>
              <w:rPr>
                <w:rFonts w:ascii="Arial" w:hAnsi="Arial" w:cs="Arial"/>
                <w:sz w:val="20"/>
                <w:szCs w:val="20"/>
              </w:rPr>
            </w:pPr>
            <w:r>
              <w:rPr>
                <w:rFonts w:ascii="Arial" w:hAnsi="Arial" w:cs="Arial"/>
                <w:sz w:val="20"/>
                <w:szCs w:val="20"/>
                <w:shd w:val="clear" w:color="auto" w:fill="00FF00"/>
              </w:rPr>
              <w:t>Diagnostic clarification following positive screening for psychosocial stress and mental disorders</w:t>
            </w:r>
          </w:p>
          <w:p>
            <w:pPr>
              <w:framePr w:w="0" w:h="0" w:hRule="auto" w:vSpace="0" w:hSpace="0" w:wrap="auto" w:hAnchor="text" w:x="0" w:xAlign="left" w:yAlign="inline" w:anchorLock="0"/>
              <w:numPr>
                <w:ilvl w:val="0"/>
                <w:numId w:val="43"/>
              </w:numPr>
              <w:spacing w:before="0" w:after="19"/>
              <w:ind w:hanging="283" w:left="283" w:right="0"/>
              <w:rPr>
                <w:rFonts w:ascii="Arial" w:hAnsi="Arial" w:cs="Arial"/>
                <w:sz w:val="20"/>
                <w:szCs w:val="20"/>
              </w:rPr>
            </w:pPr>
            <w:r>
              <w:rPr>
                <w:rFonts w:ascii="Arial" w:hAnsi="Arial" w:cs="Arial"/>
                <w:sz w:val="20"/>
                <w:szCs w:val="20"/>
                <w:shd w:val="clear" w:color="auto" w:fill="00FF00"/>
              </w:rPr>
              <w:t>Psychotherapeutic interventions for the treatment of mental stress and mental disorders</w:t>
            </w:r>
          </w:p>
          <w:p>
            <w:pPr>
              <w:framePr w:w="0" w:h="0" w:hRule="auto" w:vSpace="0" w:hSpace="0" w:wrap="auto" w:hAnchor="text" w:x="0" w:xAlign="left" w:yAlign="inline" w:anchorLock="0"/>
              <w:numPr>
                <w:ilvl w:val="0"/>
                <w:numId w:val="43"/>
              </w:numPr>
              <w:spacing w:before="0" w:after="19"/>
              <w:ind w:hanging="283" w:left="283" w:right="0"/>
              <w:rPr>
                <w:rFonts w:ascii="Arial" w:hAnsi="Arial" w:cs="Arial"/>
                <w:sz w:val="20"/>
                <w:szCs w:val="20"/>
              </w:rPr>
            </w:pPr>
            <w:r>
              <w:rPr>
                <w:rFonts w:ascii="Arial" w:hAnsi="Arial" w:cs="Arial"/>
                <w:sz w:val="20"/>
                <w:szCs w:val="20"/>
                <w:shd w:val="clear" w:color="auto" w:fill="00FF00"/>
              </w:rPr>
              <w:t>Prevention/treatment of psychosocial consequences</w:t>
            </w:r>
          </w:p>
          <w:p>
            <w:pPr>
              <w:framePr w:w="0" w:h="0" w:hRule="auto" w:vSpace="0" w:hSpace="0" w:wrap="auto" w:hAnchor="text" w:x="0" w:xAlign="left" w:yAlign="inline" w:anchorLock="0"/>
              <w:numPr>
                <w:ilvl w:val="0"/>
                <w:numId w:val="43"/>
              </w:numPr>
              <w:spacing w:before="0" w:after="19"/>
              <w:ind w:hanging="283" w:left="283" w:right="0"/>
              <w:rPr>
                <w:rFonts w:ascii="Arial" w:hAnsi="Arial" w:cs="Arial"/>
                <w:sz w:val="20"/>
                <w:szCs w:val="20"/>
              </w:rPr>
            </w:pPr>
            <w:r>
              <w:rPr>
                <w:rFonts w:ascii="Arial" w:hAnsi="Arial" w:cs="Arial"/>
                <w:sz w:val="20"/>
                <w:szCs w:val="20"/>
                <w:shd w:val="clear" w:color="auto" w:fill="00FF00"/>
              </w:rPr>
              <w:t>Activation of personal coping resources</w:t>
            </w:r>
          </w:p>
          <w:p>
            <w:pPr>
              <w:framePr w:w="0" w:h="0" w:hRule="auto" w:vSpace="0" w:hSpace="0" w:wrap="auto" w:hAnchor="text" w:x="0" w:xAlign="left" w:yAlign="inline" w:anchorLock="0"/>
              <w:numPr>
                <w:ilvl w:val="0"/>
                <w:numId w:val="43"/>
              </w:numPr>
              <w:spacing w:before="0" w:after="19"/>
              <w:ind w:hanging="283" w:left="283" w:right="0"/>
              <w:rPr>
                <w:rFonts w:ascii="Arial" w:hAnsi="Arial" w:cs="Arial"/>
                <w:sz w:val="20"/>
                <w:szCs w:val="20"/>
              </w:rPr>
            </w:pPr>
            <w:r>
              <w:rPr>
                <w:rFonts w:ascii="Arial" w:hAnsi="Arial" w:cs="Arial"/>
                <w:sz w:val="20"/>
                <w:szCs w:val="20"/>
                <w:shd w:val="clear" w:color="auto" w:fill="00FF00"/>
              </w:rPr>
              <w:t>Maintenance/improvement of quality of life</w:t>
            </w:r>
          </w:p>
          <w:p>
            <w:pPr>
              <w:framePr w:w="0" w:h="0" w:hRule="auto" w:vSpace="0" w:hSpace="0" w:wrap="auto" w:hAnchor="text" w:x="0" w:xAlign="left" w:yAlign="inline" w:anchorLock="0"/>
              <w:numPr>
                <w:ilvl w:val="0"/>
                <w:numId w:val="43"/>
              </w:numPr>
              <w:spacing w:before="0" w:after="19"/>
              <w:ind w:hanging="283" w:left="283" w:right="0"/>
              <w:rPr>
                <w:rFonts w:ascii="Arial" w:hAnsi="Arial" w:cs="Arial"/>
                <w:sz w:val="20"/>
                <w:szCs w:val="20"/>
              </w:rPr>
            </w:pPr>
            <w:r>
              <w:rPr>
                <w:rFonts w:ascii="Arial" w:hAnsi="Arial" w:cs="Arial"/>
                <w:sz w:val="20"/>
                <w:szCs w:val="20"/>
                <w:shd w:val="clear" w:color="auto" w:fill="00FF00"/>
              </w:rPr>
              <w:t>Consideration of the social environment/counselling for relatives</w:t>
            </w:r>
          </w:p>
          <w:p>
            <w:pPr>
              <w:framePr w:w="0" w:h="0" w:hRule="auto" w:vSpace="0" w:hSpace="0" w:wrap="auto" w:hAnchor="text" w:x="0" w:xAlign="left" w:yAlign="inline" w:anchorLock="0"/>
              <w:numPr>
                <w:ilvl w:val="0"/>
                <w:numId w:val="43"/>
              </w:numPr>
              <w:spacing w:before="0" w:after="19"/>
              <w:ind w:hanging="283" w:left="283" w:right="0"/>
              <w:rPr>
                <w:rFonts w:ascii="Arial" w:hAnsi="Arial" w:cs="Arial"/>
                <w:sz w:val="20"/>
                <w:szCs w:val="20"/>
              </w:rPr>
            </w:pPr>
            <w:r>
              <w:rPr>
                <w:rFonts w:ascii="Arial" w:hAnsi="Arial" w:cs="Arial"/>
                <w:sz w:val="20"/>
                <w:szCs w:val="20"/>
                <w:shd w:val="clear" w:color="auto" w:fill="00FF00"/>
              </w:rPr>
              <w:t>Organisation of further outpatient care through cooperation with outpatient psycho-oncological service providers</w:t>
            </w:r>
          </w:p>
          <w:p>
            <w:pPr>
              <w:framePr w:w="0" w:h="0" w:hRule="auto" w:vSpace="0" w:hSpace="0" w:wrap="auto" w:hAnchor="text" w:x="0" w:xAlign="left" w:yAlign="inline" w:anchorLock="0"/>
              <w:numPr>
                <w:ilvl w:val="0"/>
                <w:numId w:val="43"/>
              </w:numPr>
              <w:spacing w:before="0" w:after="19"/>
              <w:ind w:hanging="283" w:left="283" w:right="0"/>
              <w:rPr>
                <w:rFonts w:ascii="Arial" w:hAnsi="Arial" w:cs="Arial"/>
                <w:sz w:val="20"/>
                <w:szCs w:val="20"/>
              </w:rPr>
            </w:pPr>
            <w:r>
              <w:rPr>
                <w:rFonts w:ascii="Arial" w:hAnsi="Arial" w:cs="Arial"/>
                <w:sz w:val="20"/>
                <w:szCs w:val="20"/>
                <w:shd w:val="clear" w:color="auto" w:fill="00FF00"/>
              </w:rPr>
              <w:t>Public relations work (patient events, etc.)</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For further explanations, see FAQ.</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Offer and access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Each patient must be promptly offered a psycho-oncological counselling session in the vicinity (must be documented). The threshold to these services must be low.</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In order to identify the need for treatment, it is necessary for the primary care unit (e.g. ward, outpatient clinic, day clinic) to carry out a screening for psychosocial stress (see S3 guideline on psycho-oncology and indicator ‘Psycho-oncological distress screening’) as part of the basic oncological screening, on the basis of which the referral is made. Psycho-oncological support services must be easily accessible and should be presented on the centre's website and in flyers.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shd w:val="clear" w:color="auto" w:fill="00FF0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Scope of care provided</w:t>
            </w:r>
          </w:p>
          <w:p>
            <w:pPr>
              <w:numPr>
                <w:ilvl w:val="0"/>
                <w:numId w:val="44"/>
              </w:numPr>
              <w:spacing w:before="0" w:after="19"/>
              <w:ind w:hanging="283" w:left="283"/>
              <w:rPr>
                <w:rFonts w:ascii="Arial" w:hAnsi="Arial" w:cs="Arial"/>
                <w:sz w:val="20"/>
                <w:szCs w:val="20"/>
                <w:lang w:val="ro-RO" w:bidi="ar-SA"/>
              </w:rPr>
            </w:pPr>
            <w:r>
              <w:rPr>
                <w:rFonts w:ascii="Arial" w:hAnsi="Arial" w:cs="Arial"/>
                <w:strike w:val="1"/>
                <w:sz w:val="20"/>
                <w:szCs w:val="20"/>
                <w:shd w:val="clear" w:color="auto" w:fill="00FF00"/>
              </w:rPr>
              <w:t>Psycho-oncological care, in particular for patients with excessive stress in the distress screening, must be presented.</w:t>
            </w:r>
            <w:r>
              <w:rPr>
                <w:rFonts w:ascii="Arial" w:hAnsi="Arial" w:cs="Arial"/>
                <w:sz w:val="20"/>
                <w:szCs w:val="20"/>
              </w:rPr>
              <w:br w:type="textWrapping"/>
            </w:r>
            <w:r>
              <w:rPr>
                <w:rFonts w:ascii="Arial" w:hAnsi="Arial" w:cs="Arial"/>
                <w:sz w:val="20"/>
                <w:szCs w:val="20"/>
                <w:shd w:val="clear" w:color="auto" w:fill="00FF00"/>
              </w:rPr>
              <w:t>The number of patients who have received psycho-oncological care must be recorded (frequency and duration of contact).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Documentation and evaluation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To identify treatment needs, screening of psychological strains is required and the results is to be documented.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The proportion of patients subjected to distress over-threshold screening should be reported.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shd w:val="clear" w:color="auto" w:fill="00FF00"/>
              </w:rPr>
              <w:t>Psycho-oncological care for the following patients:</w:t>
            </w:r>
          </w:p>
          <w:p>
            <w:pPr>
              <w:framePr w:w="0" w:h="0" w:hRule="auto" w:vSpace="0" w:hSpace="0" w:wrap="auto" w:hAnchor="text" w:x="0" w:xAlign="left" w:yAlign="inline" w:anchorLock="0"/>
              <w:numPr>
                <w:ilvl w:val="0"/>
                <w:numId w:val="45"/>
              </w:numPr>
              <w:spacing w:before="0" w:after="19"/>
              <w:ind w:hanging="283" w:left="283" w:right="0"/>
              <w:rPr>
                <w:rFonts w:ascii="Arial" w:hAnsi="Arial" w:cs="Arial"/>
                <w:sz w:val="20"/>
                <w:szCs w:val="20"/>
              </w:rPr>
            </w:pPr>
            <w:r>
              <w:rPr>
                <w:rFonts w:ascii="Arial" w:hAnsi="Arial" w:cs="Arial"/>
                <w:sz w:val="20"/>
                <w:szCs w:val="20"/>
                <w:shd w:val="clear" w:color="auto" w:fill="00FF00"/>
              </w:rPr>
              <w:t>Patients who were found to be above-average stress cases during screening</w:t>
            </w:r>
          </w:p>
          <w:p>
            <w:pPr>
              <w:framePr w:w="0" w:h="0" w:hRule="auto" w:vSpace="0" w:hSpace="0" w:wrap="auto" w:hAnchor="text" w:x="0" w:xAlign="left" w:yAlign="inline" w:anchorLock="0"/>
              <w:numPr>
                <w:ilvl w:val="0"/>
                <w:numId w:val="45"/>
              </w:numPr>
              <w:spacing w:before="0" w:after="19"/>
              <w:ind w:hanging="283" w:left="283" w:right="0"/>
              <w:rPr>
                <w:rFonts w:ascii="Arial" w:hAnsi="Arial" w:cs="Arial"/>
                <w:sz w:val="20"/>
                <w:szCs w:val="20"/>
              </w:rPr>
            </w:pPr>
            <w:r>
              <w:rPr>
                <w:rFonts w:ascii="Arial" w:hAnsi="Arial" w:cs="Arial"/>
                <w:sz w:val="20"/>
                <w:szCs w:val="20"/>
                <w:shd w:val="clear" w:color="auto" w:fill="00FF00"/>
              </w:rPr>
              <w:t>Patients with a subjective need for support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shd w:val="clear" w:color="auto" w:fill="00FF00"/>
              </w:rPr>
              <w:t>must be continuously documented and presented.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1.4.7</w:t>
            </w:r>
          </w:p>
        </w:tc>
        <w:tc>
          <w:tcPr>
            <w:tcW w:w="1" w:type="dxa"/>
          </w:tcPr>
          <w:p>
            <w:pPr>
              <w:spacing w:before="0" w:after="19"/>
              <w:rPr>
                <w:rFonts w:ascii="Arial" w:hAnsi="Arial" w:cs="Arial"/>
                <w:sz w:val="20"/>
                <w:szCs w:val="20"/>
                <w:lang w:val="ro-RO" w:bidi="ar-SA"/>
              </w:rPr>
            </w:pPr>
            <w:r>
              <w:rPr>
                <w:rFonts w:ascii="Arial" w:hAnsi="Arial" w:cs="Arial"/>
                <w:sz w:val="20"/>
                <w:szCs w:val="20"/>
              </w:rPr>
              <w:t xml:space="preserve">Premises </w:t>
              <w:br w:type="textWrapping"/>
              <w:t xml:space="preserve">A suitable room is to be provided for the psycho-oncological </w:t>
            </w:r>
            <w:r>
              <w:rPr>
                <w:rFonts w:ascii="Arial" w:hAnsi="Arial" w:cs="Arial"/>
                <w:strike w:val="1"/>
                <w:sz w:val="20"/>
                <w:szCs w:val="20"/>
                <w:shd w:val="clear" w:color="auto" w:fill="00FE00"/>
              </w:rPr>
              <w:t xml:space="preserve">patient </w:t>
            </w:r>
            <w:r>
              <w:rPr>
                <w:rFonts w:ascii="Arial" w:hAnsi="Arial" w:cs="Arial"/>
                <w:sz w:val="20"/>
                <w:szCs w:val="20"/>
              </w:rPr>
              <w:t>consultations.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 supervision</w:t>
            </w:r>
          </w:p>
          <w:p>
            <w:pPr>
              <w:framePr w:w="0" w:h="0" w:hRule="auto" w:vSpace="0" w:hSpace="0" w:wrap="auto" w:hAnchor="text" w:x="0" w:xAlign="left" w:yAlign="inline" w:anchorLock="0"/>
              <w:numPr>
                <w:ilvl w:val="0"/>
                <w:numId w:val="46"/>
              </w:numPr>
              <w:spacing w:before="0" w:after="19"/>
              <w:ind w:hanging="283" w:left="283" w:right="0"/>
              <w:rPr>
                <w:rFonts w:ascii="Arial" w:hAnsi="Arial" w:cs="Arial"/>
                <w:sz w:val="20"/>
                <w:szCs w:val="20"/>
              </w:rPr>
            </w:pPr>
            <w:r>
              <w:rPr>
                <w:rFonts w:ascii="Arial" w:hAnsi="Arial" w:cs="Arial"/>
                <w:sz w:val="20"/>
                <w:szCs w:val="20"/>
                <w:shd w:val="clear" w:color="auto" w:fill="00FF00"/>
              </w:rPr>
              <w:t>Presentation of psycho-oncological work at least once a year as part of the centre-specific quality circle</w:t>
            </w:r>
          </w:p>
          <w:p>
            <w:pPr>
              <w:framePr w:w="0" w:h="0" w:hRule="auto" w:vSpace="0" w:hSpace="0" w:wrap="auto" w:hAnchor="text" w:x="0" w:xAlign="left" w:yAlign="inline" w:anchorLock="0"/>
              <w:numPr>
                <w:ilvl w:val="0"/>
                <w:numId w:val="46"/>
              </w:numPr>
              <w:spacing w:before="0" w:after="19"/>
              <w:ind w:hanging="283" w:left="283" w:right="0"/>
              <w:rPr>
                <w:rFonts w:ascii="Arial" w:hAnsi="Arial" w:cs="Arial"/>
                <w:sz w:val="20"/>
                <w:szCs w:val="20"/>
              </w:rPr>
            </w:pPr>
            <w:r>
              <w:rPr>
                <w:rFonts w:ascii="Arial" w:hAnsi="Arial" w:cs="Arial"/>
                <w:sz w:val="20"/>
                <w:szCs w:val="20"/>
                <w:shd w:val="clear" w:color="auto" w:fill="00FF00"/>
              </w:rPr>
              <w:t>Participation in supervision, further education and training opportunities for employees</w:t>
            </w:r>
          </w:p>
          <w:p>
            <w:pPr>
              <w:framePr w:w="0" w:h="0" w:hRule="auto" w:vSpace="0" w:hSpace="0" w:wrap="auto" w:hAnchor="text" w:x="0" w:xAlign="left" w:yAlign="inline" w:anchorLock="0"/>
              <w:numPr>
                <w:ilvl w:val="0"/>
                <w:numId w:val="46"/>
              </w:numPr>
              <w:spacing w:before="0" w:after="19"/>
              <w:ind w:hanging="283" w:left="283" w:right="0"/>
              <w:rPr>
                <w:rFonts w:ascii="Arial" w:hAnsi="Arial" w:cs="Arial"/>
                <w:sz w:val="20"/>
                <w:szCs w:val="20"/>
              </w:rPr>
            </w:pPr>
            <w:r>
              <w:rPr>
                <w:rFonts w:ascii="Arial" w:hAnsi="Arial" w:cs="Arial"/>
                <w:sz w:val="20"/>
                <w:szCs w:val="20"/>
              </w:rPr>
              <w:t>At least one specific continuing education</w:t>
            </w:r>
            <w:r>
              <w:rPr>
                <w:rFonts w:ascii="Arial" w:hAnsi="Arial" w:cs="Arial"/>
                <w:strike w:val="1"/>
                <w:sz w:val="20"/>
                <w:szCs w:val="20"/>
                <w:shd w:val="clear" w:color="auto" w:fill="00FE00"/>
              </w:rPr>
              <w:t>/ specialty</w:t>
            </w:r>
            <w:r>
              <w:rPr>
                <w:rFonts w:ascii="Arial" w:hAnsi="Arial" w:cs="Arial"/>
                <w:sz w:val="20"/>
                <w:szCs w:val="20"/>
              </w:rPr>
              <w:t xml:space="preserve"> training session annually for each staff member (at least one day a year)</w:t>
            </w:r>
          </w:p>
          <w:p>
            <w:pPr>
              <w:framePr w:w="0" w:h="0" w:hRule="auto" w:vSpace="0" w:hSpace="0" w:wrap="auto" w:hAnchor="text" w:x="0" w:xAlign="left" w:yAlign="inline" w:anchorLock="0"/>
              <w:numPr>
                <w:ilvl w:val="0"/>
                <w:numId w:val="46"/>
              </w:numPr>
              <w:spacing w:before="0" w:after="19"/>
              <w:ind w:hanging="283" w:left="283" w:right="0"/>
              <w:rPr>
                <w:rFonts w:ascii="Arial" w:hAnsi="Arial" w:cs="Arial"/>
                <w:sz w:val="20"/>
                <w:szCs w:val="20"/>
              </w:rPr>
            </w:pPr>
            <w:r>
              <w:rPr>
                <w:rFonts w:ascii="Arial" w:hAnsi="Arial" w:cs="Arial"/>
                <w:sz w:val="20"/>
                <w:szCs w:val="20"/>
                <w:shd w:val="clear" w:color="auto" w:fill="00FF00"/>
              </w:rPr>
              <w:t>Weekly psycho-oncological case discussions</w:t>
            </w:r>
          </w:p>
          <w:p>
            <w:pPr>
              <w:numPr>
                <w:ilvl w:val="0"/>
                <w:numId w:val="46"/>
              </w:numPr>
              <w:spacing w:before="0" w:after="19"/>
              <w:ind w:hanging="283" w:left="283"/>
              <w:rPr>
                <w:rFonts w:ascii="Arial" w:hAnsi="Arial" w:cs="Arial"/>
                <w:sz w:val="20"/>
                <w:szCs w:val="20"/>
                <w:lang w:val="ro-RO" w:bidi="ar-SA"/>
              </w:rPr>
            </w:pPr>
            <w:r>
              <w:rPr>
                <w:rFonts w:ascii="Arial" w:hAnsi="Arial" w:cs="Arial"/>
                <w:sz w:val="20"/>
                <w:szCs w:val="20"/>
              </w:rPr>
              <w:t xml:space="preserve">External supervision </w:t>
            </w:r>
            <w:r>
              <w:rPr>
                <w:rFonts w:ascii="Arial" w:hAnsi="Arial" w:cs="Arial"/>
                <w:sz w:val="20"/>
                <w:szCs w:val="20"/>
                <w:shd w:val="clear" w:color="auto" w:fill="00FF00"/>
              </w:rPr>
              <w:t>of the psycho-oncological team</w:t>
            </w:r>
            <w:r>
              <w:rPr>
                <w:rFonts w:ascii="Arial" w:hAnsi="Arial" w:cs="Arial"/>
                <w:sz w:val="20"/>
                <w:szCs w:val="20"/>
              </w:rPr>
              <w:t xml:space="preserve"> is to be offered </w:t>
            </w:r>
            <w:r>
              <w:rPr>
                <w:rFonts w:ascii="Arial" w:hAnsi="Arial" w:cs="Arial"/>
                <w:strike w:val="1"/>
                <w:sz w:val="20"/>
                <w:szCs w:val="20"/>
                <w:shd w:val="clear" w:color="auto" w:fill="00FE00"/>
              </w:rPr>
              <w:t xml:space="preserve">on a regular basis </w:t>
            </w:r>
            <w:r>
              <w:rPr>
                <w:rFonts w:ascii="Arial" w:hAnsi="Arial" w:cs="Arial"/>
                <w:sz w:val="20"/>
                <w:szCs w:val="20"/>
                <w:shd w:val="clear" w:color="auto" w:fill="00FF00"/>
              </w:rPr>
              <w:t>at least four times a year.</w:t>
            </w:r>
            <w:r>
              <w:rPr>
                <w:rFonts w:ascii="Arial" w:hAnsi="Arial" w:cs="Arial"/>
                <w:strike w:val="1"/>
                <w:sz w:val="20"/>
                <w:szCs w:val="20"/>
                <w:shd w:val="clear" w:color="auto" w:fill="00FF00"/>
              </w:rPr>
              <w:t>(recommendation: twice a month)</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Organisation chart</w:t>
            </w:r>
          </w:p>
          <w:p>
            <w:pPr>
              <w:spacing w:before="0" w:after="19"/>
              <w:rPr>
                <w:rFonts w:ascii="Arial" w:hAnsi="Arial" w:cs="Arial"/>
                <w:sz w:val="20"/>
                <w:szCs w:val="20"/>
                <w:lang w:val="ro-RO" w:bidi="ar-SA"/>
              </w:rPr>
            </w:pPr>
            <w:r>
              <w:rPr>
                <w:rFonts w:ascii="Arial" w:hAnsi="Arial" w:cs="Arial"/>
                <w:strike w:val="1"/>
                <w:sz w:val="20"/>
                <w:szCs w:val="20"/>
                <w:shd w:val="clear" w:color="auto" w:fill="00FE00"/>
              </w:rPr>
              <w:t>The assumption of tasks is to be set out in an organisation chart which contains details, inter alia, of resource availability and local presence.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Objectives and tasks of care:</w:t>
            </w:r>
          </w:p>
          <w:p>
            <w:pPr>
              <w:framePr w:w="0" w:h="0" w:hRule="auto" w:vSpace="0" w:hSpace="0" w:wrap="auto" w:hAnchor="text" w:x="0" w:xAlign="left" w:yAlign="inline" w:anchorLock="0"/>
              <w:numPr>
                <w:ilvl w:val="0"/>
                <w:numId w:val="4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Diagnostic clarification after positive screening</w:t>
            </w:r>
          </w:p>
          <w:p>
            <w:pPr>
              <w:framePr w:w="0" w:h="0" w:hRule="auto" w:vSpace="0" w:hSpace="0" w:wrap="auto" w:hAnchor="text" w:x="0" w:xAlign="left" w:yAlign="inline" w:anchorLock="0"/>
              <w:numPr>
                <w:ilvl w:val="0"/>
                <w:numId w:val="4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Prevention/ treatment of ensuing psychosocial problems</w:t>
            </w:r>
          </w:p>
          <w:p>
            <w:pPr>
              <w:framePr w:w="0" w:h="0" w:hRule="auto" w:vSpace="0" w:hSpace="0" w:wrap="auto" w:hAnchor="text" w:x="0" w:xAlign="left" w:yAlign="inline" w:anchorLock="0"/>
              <w:numPr>
                <w:ilvl w:val="0"/>
                <w:numId w:val="4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Activation of personal coping strategies</w:t>
            </w:r>
          </w:p>
          <w:p>
            <w:pPr>
              <w:framePr w:w="0" w:h="0" w:hRule="auto" w:vSpace="0" w:hSpace="0" w:wrap="auto" w:hAnchor="text" w:x="0" w:xAlign="left" w:yAlign="inline" w:anchorLock="0"/>
              <w:numPr>
                <w:ilvl w:val="0"/>
                <w:numId w:val="4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Preservation of quality of life</w:t>
            </w:r>
          </w:p>
          <w:p>
            <w:pPr>
              <w:framePr w:w="0" w:h="0" w:hRule="auto" w:vSpace="0" w:hSpace="0" w:wrap="auto" w:hAnchor="text" w:x="0" w:xAlign="left" w:yAlign="inline" w:anchorLock="0"/>
              <w:numPr>
                <w:ilvl w:val="0"/>
                <w:numId w:val="4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Consideration of the social environment</w:t>
            </w:r>
          </w:p>
          <w:p>
            <w:pPr>
              <w:framePr w:w="0" w:h="0" w:hRule="auto" w:vSpace="0" w:hSpace="0" w:wrap="auto" w:hAnchor="text" w:x="0" w:xAlign="left" w:yAlign="inline" w:anchorLock="0"/>
              <w:numPr>
                <w:ilvl w:val="0"/>
                <w:numId w:val="4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Organisation of outpatient aftercare through cooperation with outpatient psycho-oncological service providers</w:t>
            </w:r>
          </w:p>
          <w:p>
            <w:pPr>
              <w:framePr w:w="0" w:h="0" w:hRule="auto" w:vSpace="0" w:hSpace="0" w:wrap="auto" w:hAnchor="text" w:x="0" w:xAlign="left" w:yAlign="inline" w:anchorLock="0"/>
              <w:numPr>
                <w:ilvl w:val="0"/>
                <w:numId w:val="47"/>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Public relations (patient events, etc.)</w:t>
            </w:r>
          </w:p>
          <w:p>
            <w:pPr>
              <w:numPr>
                <w:ilvl w:val="0"/>
                <w:numId w:val="47"/>
              </w:numPr>
              <w:spacing w:before="0" w:after="19"/>
              <w:ind w:hanging="283" w:left="283"/>
              <w:rPr>
                <w:rFonts w:ascii="Arial" w:hAnsi="Arial" w:cs="Arial"/>
                <w:sz w:val="20"/>
                <w:szCs w:val="20"/>
                <w:lang w:val="ro-RO" w:bidi="ar-SA"/>
              </w:rPr>
            </w:pPr>
            <w:r>
              <w:rPr>
                <w:rFonts w:ascii="Arial" w:hAnsi="Arial" w:cs="Arial"/>
                <w:strike w:val="1"/>
                <w:sz w:val="20"/>
                <w:szCs w:val="20"/>
                <w:shd w:val="clear" w:color="auto" w:fill="00FE00"/>
              </w:rPr>
              <w:t>Chairing of psychosocial quality circle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Recommendations:</w:t>
            </w:r>
          </w:p>
          <w:p>
            <w:pPr>
              <w:framePr w:w="0" w:h="0" w:hRule="auto" w:vSpace="0" w:hSpace="0" w:wrap="auto" w:hAnchor="text" w:x="0" w:xAlign="left" w:yAlign="inline" w:anchorLock="0"/>
              <w:numPr>
                <w:ilvl w:val="0"/>
                <w:numId w:val="4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Staging or coordination of supervision, continuing education/ specialty training for staff members</w:t>
            </w:r>
          </w:p>
          <w:p>
            <w:pPr>
              <w:framePr w:w="0" w:h="0" w:hRule="auto" w:vSpace="0" w:hSpace="0" w:wrap="auto" w:hAnchor="text" w:x="0" w:xAlign="left" w:yAlign="inline" w:anchorLock="0"/>
              <w:numPr>
                <w:ilvl w:val="0"/>
                <w:numId w:val="4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Twice yearly discussions between psycho-oncologists, nursing and medical staff</w:t>
            </w:r>
          </w:p>
          <w:p>
            <w:pPr>
              <w:framePr w:w="0" w:h="0" w:hRule="auto" w:vSpace="0" w:hSpace="0" w:wrap="auto" w:hAnchor="text" w:x="0" w:xAlign="left" w:yAlign="inline" w:anchorLock="0"/>
              <w:numPr>
                <w:ilvl w:val="0"/>
                <w:numId w:val="4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Regular written and, if necessary, oral feedback on the psycho-oncological activity to the medical staff (e.g. referral report or documentation in the medical record)</w:t>
            </w:r>
          </w:p>
          <w:p>
            <w:pPr>
              <w:framePr w:w="0" w:h="0" w:hRule="auto" w:vSpace="0" w:hSpace="0" w:wrap="auto" w:hAnchor="text" w:x="0" w:xAlign="left" w:yAlign="inline" w:anchorLock="0"/>
              <w:numPr>
                <w:ilvl w:val="0"/>
                <w:numId w:val="4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Regular participation in the ward and tumour boards</w:t>
            </w:r>
          </w:p>
          <w:p>
            <w:pPr>
              <w:framePr w:w="0" w:h="0" w:hRule="auto" w:vSpace="0" w:hSpace="0" w:wrap="auto" w:hAnchor="text" w:x="0" w:xAlign="left" w:yAlign="inline" w:anchorLock="0"/>
              <w:numPr>
                <w:ilvl w:val="0"/>
                <w:numId w:val="4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Cooperation with the social services and other Centres</w:t>
            </w:r>
          </w:p>
          <w:p>
            <w:pPr>
              <w:framePr w:w="0" w:h="0" w:hRule="auto" w:vSpace="0" w:hSpace="0" w:wrap="auto" w:hAnchor="text" w:x="0" w:xAlign="left" w:yAlign="inline" w:anchorLock="0"/>
              <w:numPr>
                <w:ilvl w:val="0"/>
                <w:numId w:val="48"/>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Provision or coordination of interdisciplinary intervention</w:t>
            </w:r>
          </w:p>
          <w:p>
            <w:pPr>
              <w:numPr>
                <w:ilvl w:val="0"/>
                <w:numId w:val="48"/>
              </w:numPr>
              <w:spacing w:before="0" w:after="19"/>
              <w:ind w:hanging="283" w:left="283"/>
              <w:rPr>
                <w:rFonts w:ascii="Arial" w:hAnsi="Arial" w:cs="Arial"/>
                <w:sz w:val="20"/>
                <w:szCs w:val="20"/>
                <w:lang w:val="ro-RO" w:bidi="ar-SA"/>
              </w:rPr>
            </w:pPr>
            <w:r>
              <w:rPr>
                <w:rFonts w:ascii="Arial" w:hAnsi="Arial" w:cs="Arial"/>
                <w:strike w:val="1"/>
                <w:sz w:val="20"/>
                <w:szCs w:val="20"/>
                <w:shd w:val="clear" w:color="auto" w:fill="00FE00"/>
              </w:rPr>
              <w:t>The psycho-oncologists should present their work at least twice a year at the tumour board.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1.5</w:t>
              <w:tab/>
              <w:t xml:space="preserve"> Social work and rehabilitation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Social work - Qualifications</w:t>
            </w:r>
          </w:p>
          <w:p>
            <w:pPr>
              <w:framePr w:w="0" w:h="0" w:hRule="auto" w:vSpace="0" w:hSpace="0" w:wrap="auto" w:hAnchor="text" w:x="0" w:xAlign="left" w:yAlign="inline" w:anchorLock="0"/>
              <w:numPr>
                <w:ilvl w:val="0"/>
                <w:numId w:val="49"/>
              </w:numPr>
              <w:spacing w:before="0" w:after="19"/>
              <w:ind w:hanging="283" w:left="283" w:right="0"/>
              <w:rPr>
                <w:rFonts w:ascii="Arial" w:hAnsi="Arial" w:cs="Arial"/>
                <w:sz w:val="20"/>
                <w:szCs w:val="20"/>
              </w:rPr>
            </w:pPr>
            <w:r>
              <w:rPr>
                <w:rFonts w:ascii="Arial" w:hAnsi="Arial" w:cs="Arial"/>
                <w:sz w:val="20"/>
                <w:szCs w:val="20"/>
              </w:rPr>
              <w:t>Social worker/ social education worker</w:t>
            </w:r>
          </w:p>
          <w:p>
            <w:pPr>
              <w:framePr w:w="0" w:h="0" w:hRule="auto" w:vSpace="0" w:hSpace="0" w:wrap="auto" w:hAnchor="text" w:x="0" w:xAlign="left" w:yAlign="inline" w:anchorLock="0"/>
              <w:numPr>
                <w:ilvl w:val="0"/>
                <w:numId w:val="49"/>
              </w:numPr>
              <w:spacing w:before="0" w:after="19"/>
              <w:ind w:hanging="283" w:left="283" w:right="0"/>
              <w:rPr>
                <w:rFonts w:ascii="Arial" w:hAnsi="Arial" w:cs="Arial"/>
                <w:sz w:val="20"/>
                <w:szCs w:val="20"/>
              </w:rPr>
            </w:pPr>
            <w:r>
              <w:rPr>
                <w:rFonts w:ascii="Arial" w:hAnsi="Arial" w:cs="Arial"/>
                <w:sz w:val="20"/>
                <w:szCs w:val="20"/>
              </w:rPr>
              <w:t>Case-by-case examination in line with the instructions of the professional body is possible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Resources</w:t>
            </w:r>
          </w:p>
          <w:p>
            <w:pPr>
              <w:spacing w:before="0" w:after="19"/>
              <w:rPr>
                <w:rFonts w:ascii="Arial" w:hAnsi="Arial" w:cs="Arial"/>
                <w:sz w:val="20"/>
                <w:szCs w:val="20"/>
                <w:lang w:val="ro-RO" w:bidi="ar-SA"/>
              </w:rPr>
            </w:pPr>
            <w:r>
              <w:rPr>
                <w:rFonts w:ascii="Arial" w:hAnsi="Arial" w:cs="Arial"/>
                <w:sz w:val="20"/>
                <w:szCs w:val="20"/>
              </w:rPr>
              <w:t>For the counseling of patients in the Center there is at least one full-time staff member available for 400 counselled patients (= primary cases, secondary metastasis, recurrence). The HR resources can be kept centrally. An organisation chart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Offer and access</w:t>
            </w:r>
          </w:p>
          <w:p>
            <w:pPr>
              <w:spacing w:before="0" w:after="19"/>
              <w:rPr>
                <w:rFonts w:ascii="Arial" w:hAnsi="Arial" w:cs="Arial"/>
                <w:sz w:val="20"/>
                <w:szCs w:val="20"/>
                <w:lang w:val="ro-RO" w:bidi="ar-SA"/>
              </w:rPr>
            </w:pPr>
            <w:r>
              <w:rPr>
                <w:rFonts w:ascii="Arial" w:hAnsi="Arial" w:cs="Arial"/>
                <w:sz w:val="20"/>
                <w:szCs w:val="20"/>
              </w:rPr>
              <w:t>Every patient must be offered the possibility of counseling by the social service in all phases of the disease, locally and promptly (proof required). The offer must never be made in a threshold manner.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Scale of patient support</w:t>
            </w:r>
          </w:p>
          <w:p>
            <w:pPr>
              <w:spacing w:before="0" w:after="19"/>
              <w:rPr>
                <w:rFonts w:ascii="Arial" w:hAnsi="Arial" w:cs="Arial"/>
                <w:sz w:val="20"/>
                <w:szCs w:val="20"/>
                <w:lang w:val="ro-RO" w:bidi="ar-SA"/>
              </w:rPr>
            </w:pPr>
            <w:r>
              <w:rPr>
                <w:rFonts w:ascii="Arial" w:hAnsi="Arial" w:cs="Arial"/>
                <w:sz w:val="20"/>
                <w:szCs w:val="20"/>
              </w:rPr>
              <w:t>A record must be kept of the number of patients who have received support from the social services.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1.5.5</w:t>
            </w:r>
          </w:p>
        </w:tc>
        <w:tc>
          <w:tcPr>
            <w:tcW w:w="1" w:type="dxa"/>
          </w:tcPr>
          <w:p>
            <w:pPr>
              <w:spacing w:before="0" w:after="19"/>
              <w:rPr>
                <w:rFonts w:ascii="Arial" w:hAnsi="Arial" w:cs="Arial"/>
                <w:sz w:val="20"/>
                <w:szCs w:val="20"/>
                <w:lang w:val="ro-RO" w:bidi="ar-SA"/>
              </w:rPr>
            </w:pPr>
            <w:r>
              <w:rPr>
                <w:rFonts w:ascii="Arial" w:hAnsi="Arial" w:cs="Arial"/>
                <w:sz w:val="20"/>
                <w:szCs w:val="20"/>
              </w:rPr>
              <w:t xml:space="preserve">Premises </w:t>
              <w:br w:type="textWrapping"/>
              <w:t>A suitable room is to be provided for social services counselling.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Organisation chart</w:t>
            </w:r>
          </w:p>
          <w:p>
            <w:pPr>
              <w:spacing w:before="0" w:after="19"/>
              <w:rPr>
                <w:rFonts w:ascii="Arial" w:hAnsi="Arial" w:cs="Arial"/>
                <w:sz w:val="20"/>
                <w:szCs w:val="20"/>
                <w:lang w:val="ro-RO" w:bidi="ar-SA"/>
              </w:rPr>
            </w:pPr>
            <w:r>
              <w:rPr>
                <w:rFonts w:ascii="Arial" w:hAnsi="Arial" w:cs="Arial"/>
                <w:sz w:val="20"/>
                <w:szCs w:val="20"/>
              </w:rPr>
              <w:t xml:space="preserve">The assumption of tasks is to be specified in an organisation chart in which, inter alia, resource availability and local presence are identifiable.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Counselling topics using the DVSG service catalog and the expert standard PEOPSA (psycho-social initial counseling of oncological patients by social work):</w:t>
            </w:r>
          </w:p>
          <w:p>
            <w:pPr>
              <w:framePr w:w="0" w:h="0" w:hRule="auto" w:vSpace="0" w:hSpace="0" w:wrap="auto" w:hAnchor="text" w:x="0" w:xAlign="left" w:yAlign="inline" w:anchorLock="0"/>
              <w:numPr>
                <w:ilvl w:val="0"/>
                <w:numId w:val="50"/>
              </w:numPr>
              <w:spacing w:before="0" w:after="19"/>
              <w:ind w:hanging="283" w:left="283" w:right="0"/>
              <w:rPr>
                <w:rFonts w:ascii="Arial" w:hAnsi="Arial" w:cs="Arial"/>
                <w:sz w:val="20"/>
                <w:szCs w:val="20"/>
              </w:rPr>
            </w:pPr>
            <w:r>
              <w:rPr>
                <w:rFonts w:ascii="Arial" w:hAnsi="Arial" w:cs="Arial"/>
                <w:sz w:val="20"/>
                <w:szCs w:val="20"/>
              </w:rPr>
              <w:t>Identification of social, economic and psychological distress</w:t>
            </w:r>
          </w:p>
          <w:p>
            <w:pPr>
              <w:framePr w:w="0" w:h="0" w:hRule="auto" w:vSpace="0" w:hSpace="0" w:wrap="auto" w:hAnchor="text" w:x="0" w:xAlign="left" w:yAlign="inline" w:anchorLock="0"/>
              <w:numPr>
                <w:ilvl w:val="0"/>
                <w:numId w:val="50"/>
              </w:numPr>
              <w:spacing w:before="0" w:after="19"/>
              <w:ind w:hanging="283" w:left="283" w:right="0"/>
              <w:rPr>
                <w:rFonts w:ascii="Arial" w:hAnsi="Arial" w:cs="Arial"/>
                <w:sz w:val="20"/>
                <w:szCs w:val="20"/>
              </w:rPr>
            </w:pPr>
            <w:r>
              <w:rPr>
                <w:rFonts w:ascii="Arial" w:hAnsi="Arial" w:cs="Arial"/>
                <w:sz w:val="20"/>
                <w:szCs w:val="20"/>
              </w:rPr>
              <w:t>Initiation of medical rehabilitation measures</w:t>
            </w:r>
          </w:p>
          <w:p>
            <w:pPr>
              <w:framePr w:w="0" w:h="0" w:hRule="auto" w:vSpace="0" w:hSpace="0" w:wrap="auto" w:hAnchor="text" w:x="0" w:xAlign="left" w:yAlign="inline" w:anchorLock="0"/>
              <w:numPr>
                <w:ilvl w:val="0"/>
                <w:numId w:val="50"/>
              </w:numPr>
              <w:spacing w:before="0" w:after="19"/>
              <w:ind w:hanging="283" w:left="283" w:right="0"/>
              <w:rPr>
                <w:rFonts w:ascii="Arial" w:hAnsi="Arial" w:cs="Arial"/>
                <w:sz w:val="20"/>
                <w:szCs w:val="20"/>
              </w:rPr>
            </w:pPr>
            <w:r>
              <w:rPr>
                <w:rFonts w:ascii="Arial" w:hAnsi="Arial" w:cs="Arial"/>
                <w:sz w:val="20"/>
                <w:szCs w:val="20"/>
              </w:rPr>
              <w:t>Advice on social law and financial questions (e.g. legislation concerning the severely disabled, wage compensation benefits, pensions, benefit requirements, employee contributions, etc.)</w:t>
            </w:r>
          </w:p>
          <w:p>
            <w:pPr>
              <w:framePr w:w="0" w:h="0" w:hRule="auto" w:vSpace="0" w:hSpace="0" w:wrap="auto" w:hAnchor="text" w:x="0" w:xAlign="left" w:yAlign="inline" w:anchorLock="0"/>
              <w:numPr>
                <w:ilvl w:val="0"/>
                <w:numId w:val="50"/>
              </w:numPr>
              <w:spacing w:before="0" w:after="19"/>
              <w:ind w:hanging="283" w:left="283" w:right="0"/>
              <w:rPr>
                <w:rFonts w:ascii="Arial" w:hAnsi="Arial" w:cs="Arial"/>
                <w:sz w:val="20"/>
                <w:szCs w:val="20"/>
              </w:rPr>
            </w:pPr>
            <w:r>
              <w:rPr>
                <w:rFonts w:ascii="Arial" w:hAnsi="Arial" w:cs="Arial"/>
                <w:sz w:val="20"/>
                <w:szCs w:val="20"/>
              </w:rPr>
              <w:t>Help with application procedures</w:t>
            </w:r>
          </w:p>
          <w:p>
            <w:pPr>
              <w:framePr w:w="0" w:h="0" w:hRule="auto" w:vSpace="0" w:hSpace="0" w:wrap="auto" w:hAnchor="text" w:x="0" w:xAlign="left" w:yAlign="inline" w:anchorLock="0"/>
              <w:numPr>
                <w:ilvl w:val="0"/>
                <w:numId w:val="50"/>
              </w:numPr>
              <w:spacing w:before="0" w:after="19"/>
              <w:ind w:hanging="283" w:left="283" w:right="0"/>
              <w:rPr>
                <w:rFonts w:ascii="Arial" w:hAnsi="Arial" w:cs="Arial"/>
                <w:sz w:val="20"/>
                <w:szCs w:val="20"/>
              </w:rPr>
            </w:pPr>
            <w:r>
              <w:rPr>
                <w:rFonts w:ascii="Arial" w:hAnsi="Arial" w:cs="Arial"/>
                <w:sz w:val="20"/>
                <w:szCs w:val="20"/>
              </w:rPr>
              <w:t>Advice on outpatient and inpatient care options and help with accessing supportive measures and specialist services</w:t>
            </w:r>
          </w:p>
          <w:p>
            <w:pPr>
              <w:framePr w:w="0" w:h="0" w:hRule="auto" w:vSpace="0" w:hSpace="0" w:wrap="auto" w:hAnchor="text" w:x="0" w:xAlign="left" w:yAlign="inline" w:anchorLock="0"/>
              <w:numPr>
                <w:ilvl w:val="0"/>
                <w:numId w:val="50"/>
              </w:numPr>
              <w:spacing w:before="0" w:after="19"/>
              <w:ind w:hanging="283" w:left="283" w:right="0"/>
              <w:rPr>
                <w:rFonts w:ascii="Arial" w:hAnsi="Arial" w:cs="Arial"/>
                <w:sz w:val="20"/>
                <w:szCs w:val="20"/>
              </w:rPr>
            </w:pPr>
            <w:r>
              <w:rPr>
                <w:rFonts w:ascii="Arial" w:hAnsi="Arial" w:cs="Arial"/>
                <w:sz w:val="20"/>
                <w:szCs w:val="20"/>
              </w:rPr>
              <w:t>Support for professional and social reintegration</w:t>
            </w:r>
          </w:p>
          <w:p>
            <w:pPr>
              <w:framePr w:w="0" w:h="0" w:hRule="auto" w:vSpace="0" w:hSpace="0" w:wrap="auto" w:hAnchor="text" w:x="0" w:xAlign="left" w:yAlign="inline" w:anchorLock="0"/>
              <w:numPr>
                <w:ilvl w:val="0"/>
                <w:numId w:val="50"/>
              </w:numPr>
              <w:spacing w:before="0" w:after="19"/>
              <w:ind w:hanging="283" w:left="283" w:right="0"/>
              <w:rPr>
                <w:rFonts w:ascii="Arial" w:hAnsi="Arial" w:cs="Arial"/>
                <w:sz w:val="20"/>
                <w:szCs w:val="20"/>
              </w:rPr>
            </w:pPr>
            <w:r>
              <w:rPr>
                <w:rFonts w:ascii="Arial" w:hAnsi="Arial" w:cs="Arial"/>
                <w:sz w:val="20"/>
                <w:szCs w:val="20"/>
              </w:rPr>
              <w:t>Cooperation with social insurance bodies and care providers.</w:t>
            </w:r>
          </w:p>
          <w:p>
            <w:pPr>
              <w:framePr w:w="0" w:h="0" w:hRule="auto" w:vSpace="0" w:hSpace="0" w:wrap="auto" w:hAnchor="text" w:x="0" w:xAlign="left" w:yAlign="inline" w:anchorLock="0"/>
              <w:numPr>
                <w:ilvl w:val="0"/>
                <w:numId w:val="50"/>
              </w:numPr>
              <w:spacing w:before="0" w:after="19"/>
              <w:ind w:hanging="283" w:left="283" w:right="0"/>
              <w:rPr>
                <w:rFonts w:ascii="Arial" w:hAnsi="Arial" w:cs="Arial"/>
                <w:sz w:val="20"/>
                <w:szCs w:val="20"/>
              </w:rPr>
            </w:pPr>
            <w:r>
              <w:rPr>
                <w:rFonts w:ascii="Arial" w:hAnsi="Arial" w:cs="Arial"/>
                <w:sz w:val="20"/>
                <w:szCs w:val="20"/>
              </w:rPr>
              <w:t>Discharge management</w:t>
            </w:r>
          </w:p>
          <w:p>
            <w:pPr>
              <w:numPr>
                <w:ilvl w:val="0"/>
                <w:numId w:val="50"/>
              </w:numPr>
              <w:spacing w:before="0" w:after="19"/>
              <w:ind w:hanging="283" w:left="283"/>
              <w:rPr>
                <w:rFonts w:ascii="Arial" w:hAnsi="Arial" w:cs="Arial"/>
                <w:sz w:val="20"/>
                <w:szCs w:val="20"/>
                <w:lang w:val="ro-RO" w:bidi="ar-SA"/>
              </w:rPr>
            </w:pPr>
            <w:r>
              <w:rPr>
                <w:rFonts w:ascii="Arial" w:hAnsi="Arial" w:cs="Arial"/>
                <w:sz w:val="20"/>
                <w:szCs w:val="20"/>
              </w:rPr>
              <w:t>Intervention in emergencies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Other tasks:</w:t>
            </w:r>
          </w:p>
          <w:p>
            <w:pPr>
              <w:framePr w:w="0" w:h="0" w:hRule="auto" w:vSpace="0" w:hSpace="0" w:wrap="auto" w:hAnchor="text" w:x="0" w:xAlign="left" w:yAlign="inline" w:anchorLock="0"/>
              <w:numPr>
                <w:ilvl w:val="0"/>
                <w:numId w:val="51"/>
              </w:numPr>
              <w:spacing w:before="0" w:after="19"/>
              <w:ind w:hanging="283" w:left="283" w:right="0"/>
              <w:rPr>
                <w:rFonts w:ascii="Arial" w:hAnsi="Arial" w:cs="Arial"/>
                <w:sz w:val="20"/>
                <w:szCs w:val="20"/>
              </w:rPr>
            </w:pPr>
            <w:r>
              <w:rPr>
                <w:rFonts w:ascii="Arial" w:hAnsi="Arial" w:cs="Arial"/>
                <w:sz w:val="20"/>
                <w:szCs w:val="20"/>
              </w:rPr>
              <w:t>Offer educational/ informational sessions for other disciplines at the Center and/ or patients.</w:t>
            </w:r>
          </w:p>
          <w:p>
            <w:pPr>
              <w:framePr w:w="0" w:h="0" w:hRule="auto" w:vSpace="0" w:hSpace="0" w:wrap="auto" w:hAnchor="text" w:x="0" w:xAlign="left" w:yAlign="inline" w:anchorLock="0"/>
              <w:numPr>
                <w:ilvl w:val="0"/>
                <w:numId w:val="51"/>
              </w:numPr>
              <w:spacing w:before="0" w:after="19"/>
              <w:ind w:hanging="283" w:left="283" w:right="0"/>
              <w:rPr>
                <w:rFonts w:ascii="Arial" w:hAnsi="Arial" w:cs="Arial"/>
                <w:sz w:val="20"/>
                <w:szCs w:val="20"/>
              </w:rPr>
            </w:pPr>
            <w:r>
              <w:rPr>
                <w:rFonts w:ascii="Arial" w:hAnsi="Arial" w:cs="Arial"/>
                <w:sz w:val="20"/>
                <w:szCs w:val="20"/>
              </w:rPr>
              <w:t>Public relations and networking</w:t>
            </w:r>
          </w:p>
          <w:p>
            <w:pPr>
              <w:framePr w:w="0" w:h="0" w:hRule="auto" w:vSpace="0" w:hSpace="0" w:wrap="auto" w:hAnchor="text" w:x="0" w:xAlign="left" w:yAlign="inline" w:anchorLock="0"/>
              <w:numPr>
                <w:ilvl w:val="0"/>
                <w:numId w:val="51"/>
              </w:numPr>
              <w:spacing w:before="0" w:after="19"/>
              <w:ind w:hanging="283" w:left="283" w:right="0"/>
              <w:rPr>
                <w:rFonts w:ascii="Arial" w:hAnsi="Arial" w:cs="Arial"/>
                <w:sz w:val="20"/>
                <w:szCs w:val="20"/>
              </w:rPr>
            </w:pPr>
            <w:r>
              <w:rPr>
                <w:rFonts w:ascii="Arial" w:hAnsi="Arial" w:cs="Arial"/>
                <w:sz w:val="20"/>
                <w:szCs w:val="20"/>
              </w:rPr>
              <w:t>Participation in multi-professional case discussions, supervision</w:t>
            </w:r>
          </w:p>
          <w:p>
            <w:pPr>
              <w:numPr>
                <w:ilvl w:val="0"/>
                <w:numId w:val="51"/>
              </w:numPr>
              <w:spacing w:before="0" w:after="19"/>
              <w:ind w:hanging="283" w:left="283"/>
              <w:rPr>
                <w:rFonts w:ascii="Arial" w:hAnsi="Arial" w:cs="Arial"/>
                <w:sz w:val="20"/>
                <w:szCs w:val="20"/>
                <w:lang w:val="ro-RO" w:bidi="ar-SA"/>
              </w:rPr>
            </w:pPr>
            <w:r>
              <w:rPr>
                <w:rFonts w:ascii="Arial" w:hAnsi="Arial" w:cs="Arial"/>
                <w:sz w:val="20"/>
                <w:szCs w:val="20"/>
              </w:rPr>
              <w:t xml:space="preserve">Interdisciplinary cooperation, particularly with physicians, </w:t>
            </w:r>
            <w:r>
              <w:rPr>
                <w:rFonts w:ascii="Arial" w:hAnsi="Arial" w:cs="Arial"/>
                <w:sz w:val="20"/>
                <w:szCs w:val="20"/>
                <w:shd w:val="clear" w:color="auto" w:fill="00FD00"/>
              </w:rPr>
              <w:t xml:space="preserve">specialist </w:t>
            </w:r>
            <w:r>
              <w:rPr>
                <w:rFonts w:ascii="Arial" w:hAnsi="Arial" w:cs="Arial"/>
                <w:sz w:val="20"/>
                <w:szCs w:val="20"/>
              </w:rPr>
              <w:t>nurses, physiotherapists, psycho-oncologists, spiritual counselling, etc.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rPr>
                <w:rFonts w:ascii="Arial" w:hAnsi="Arial" w:cs="Arial"/>
                <w:sz w:val="20"/>
                <w:szCs w:val="20"/>
                <w:lang w:val="ro-RO" w:bidi="ar-SA"/>
              </w:rPr>
            </w:pPr>
            <w:r>
              <w:rPr>
                <w:rFonts w:ascii="Arial" w:hAnsi="Arial" w:cs="Arial"/>
                <w:sz w:val="20"/>
                <w:szCs w:val="20"/>
              </w:rPr>
              <w:t>The activities of social workers are to be documented and evaluated (e.g. Care SD, KIS).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framePr w:w="0" w:h="0" w:hRule="auto" w:vSpace="0" w:hSpace="0" w:wrap="auto" w:hAnchor="text" w:x="0" w:xAlign="left" w:yAlign="inline" w:anchorLock="0"/>
              <w:numPr>
                <w:ilvl w:val="0"/>
                <w:numId w:val="52"/>
              </w:numPr>
              <w:spacing w:before="0" w:after="19"/>
              <w:ind w:hanging="283" w:left="283" w:right="0"/>
              <w:rPr>
                <w:rFonts w:ascii="Arial" w:hAnsi="Arial" w:cs="Arial"/>
                <w:sz w:val="20"/>
                <w:szCs w:val="20"/>
              </w:rPr>
            </w:pPr>
            <w:r>
              <w:rPr>
                <w:rFonts w:ascii="Arial" w:hAnsi="Arial" w:cs="Arial"/>
                <w:sz w:val="20"/>
                <w:szCs w:val="20"/>
              </w:rPr>
              <w:t>At least one specific continuing education/ specialty training session for each staff member a year (at least one day a year).</w:t>
            </w:r>
          </w:p>
          <w:p>
            <w:pPr>
              <w:numPr>
                <w:ilvl w:val="0"/>
                <w:numId w:val="52"/>
              </w:numPr>
              <w:spacing w:before="0" w:after="19"/>
              <w:ind w:hanging="283" w:left="283"/>
              <w:rPr>
                <w:rFonts w:ascii="Arial" w:hAnsi="Arial" w:cs="Arial"/>
                <w:sz w:val="20"/>
                <w:szCs w:val="20"/>
                <w:lang w:val="ro-RO" w:bidi="ar-SA"/>
              </w:rPr>
            </w:pPr>
            <w:r>
              <w:rPr>
                <w:rFonts w:ascii="Arial" w:hAnsi="Arial" w:cs="Arial"/>
                <w:sz w:val="20"/>
                <w:szCs w:val="20"/>
              </w:rPr>
              <w:t>Offer of supervision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Choice of rehabilitation centre for each patient</w:t>
            </w:r>
          </w:p>
          <w:p>
            <w:pPr>
              <w:spacing w:before="0" w:after="19"/>
              <w:rPr>
                <w:rFonts w:ascii="Arial" w:hAnsi="Arial" w:cs="Arial"/>
                <w:sz w:val="20"/>
                <w:szCs w:val="20"/>
                <w:lang w:val="ro-RO" w:bidi="ar-SA"/>
              </w:rPr>
            </w:pPr>
            <w:r>
              <w:rPr>
                <w:rFonts w:ascii="Arial" w:hAnsi="Arial" w:cs="Arial"/>
                <w:sz w:val="20"/>
                <w:szCs w:val="20"/>
              </w:rPr>
              <w:t>If there is an existing indication the patient should be offered oncological rehabilitation in a consultation. (see also 1.5.7)</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1.6</w:t>
              <w:tab/>
              <w:t xml:space="preserve"> Patient involvement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Patient surveys</w:t>
            </w:r>
          </w:p>
          <w:p>
            <w:pPr>
              <w:framePr w:w="0" w:h="0" w:hRule="auto" w:vSpace="0" w:hSpace="0" w:wrap="auto" w:hAnchor="text" w:x="0" w:xAlign="left" w:yAlign="inline" w:anchorLock="0"/>
              <w:numPr>
                <w:ilvl w:val="0"/>
                <w:numId w:val="53"/>
              </w:numPr>
              <w:spacing w:before="0" w:after="19"/>
              <w:ind w:hanging="283" w:left="283" w:right="0"/>
              <w:rPr>
                <w:rFonts w:ascii="Arial" w:hAnsi="Arial" w:cs="Arial"/>
                <w:sz w:val="20"/>
                <w:szCs w:val="20"/>
              </w:rPr>
            </w:pPr>
            <w:r>
              <w:rPr>
                <w:rFonts w:ascii="Arial" w:hAnsi="Arial" w:cs="Arial"/>
                <w:sz w:val="20"/>
                <w:szCs w:val="20"/>
              </w:rPr>
              <w:t>At least every three years patients are to be given the opportunity to participate once in a patient survey over a period of three months.</w:t>
            </w:r>
          </w:p>
          <w:p>
            <w:pPr>
              <w:framePr w:w="0" w:h="0" w:hRule="auto" w:vSpace="0" w:hSpace="0" w:wrap="auto" w:hAnchor="text" w:x="0" w:xAlign="left" w:yAlign="inline" w:anchorLock="0"/>
              <w:numPr>
                <w:ilvl w:val="0"/>
                <w:numId w:val="53"/>
              </w:numPr>
              <w:spacing w:before="0" w:after="19"/>
              <w:ind w:hanging="283" w:left="283" w:right="0"/>
              <w:rPr>
                <w:rFonts w:ascii="Arial" w:hAnsi="Arial" w:cs="Arial"/>
                <w:sz w:val="20"/>
                <w:szCs w:val="20"/>
              </w:rPr>
            </w:pPr>
            <w:r>
              <w:rPr>
                <w:rFonts w:ascii="Arial" w:hAnsi="Arial" w:cs="Arial"/>
                <w:sz w:val="20"/>
                <w:szCs w:val="20"/>
              </w:rPr>
              <w:t>The response rate should be higher than 30% (if lower, the result is to be evaluated).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Evaluation of the patient survey</w:t>
            </w:r>
          </w:p>
          <w:p>
            <w:pPr>
              <w:framePr w:w="0" w:h="0" w:hRule="auto" w:vSpace="0" w:hSpace="0" w:wrap="auto" w:hAnchor="text" w:x="0" w:xAlign="left" w:yAlign="inline" w:anchorLock="0"/>
              <w:numPr>
                <w:ilvl w:val="0"/>
                <w:numId w:val="54"/>
              </w:numPr>
              <w:spacing w:before="0" w:after="19"/>
              <w:ind w:hanging="283" w:left="283" w:right="0"/>
              <w:rPr>
                <w:rFonts w:ascii="Arial" w:hAnsi="Arial" w:cs="Arial"/>
                <w:sz w:val="20"/>
                <w:szCs w:val="20"/>
              </w:rPr>
            </w:pPr>
            <w:r>
              <w:rPr>
                <w:rFonts w:ascii="Arial" w:hAnsi="Arial" w:cs="Arial"/>
                <w:sz w:val="20"/>
                <w:szCs w:val="20"/>
              </w:rPr>
              <w:t>Responsibility for the evaluation is to be specified.</w:t>
            </w:r>
          </w:p>
          <w:p>
            <w:pPr>
              <w:framePr w:w="0" w:h="0" w:hRule="auto" w:vSpace="0" w:hSpace="0" w:wrap="auto" w:hAnchor="text" w:x="0" w:xAlign="left" w:yAlign="inline" w:anchorLock="0"/>
              <w:numPr>
                <w:ilvl w:val="0"/>
                <w:numId w:val="54"/>
              </w:numPr>
              <w:spacing w:before="0" w:after="19"/>
              <w:ind w:hanging="283" w:left="283" w:right="0"/>
              <w:rPr>
                <w:rFonts w:ascii="Arial" w:hAnsi="Arial" w:cs="Arial"/>
                <w:sz w:val="20"/>
                <w:szCs w:val="20"/>
              </w:rPr>
            </w:pPr>
            <w:r>
              <w:rPr>
                <w:rFonts w:ascii="Arial" w:hAnsi="Arial" w:cs="Arial"/>
                <w:sz w:val="20"/>
                <w:szCs w:val="20"/>
              </w:rPr>
              <w:t>The evaluation must refer to patients of the Oncology Centre.</w:t>
            </w:r>
          </w:p>
          <w:p>
            <w:pPr>
              <w:framePr w:w="0" w:h="0" w:hRule="auto" w:vSpace="0" w:hSpace="0" w:wrap="auto" w:hAnchor="text" w:x="0" w:xAlign="left" w:yAlign="inline" w:anchorLock="0"/>
              <w:numPr>
                <w:ilvl w:val="0"/>
                <w:numId w:val="54"/>
              </w:numPr>
              <w:spacing w:before="0" w:after="19"/>
              <w:ind w:hanging="283" w:left="283" w:right="0"/>
              <w:rPr>
                <w:rFonts w:ascii="Arial" w:hAnsi="Arial" w:cs="Arial"/>
                <w:sz w:val="20"/>
                <w:szCs w:val="20"/>
              </w:rPr>
            </w:pPr>
            <w:r>
              <w:rPr>
                <w:rFonts w:ascii="Arial" w:hAnsi="Arial" w:cs="Arial"/>
                <w:sz w:val="20"/>
                <w:szCs w:val="20"/>
              </w:rPr>
              <w:t>A documented evaluation must be made and is to be presented at the audit.</w:t>
            </w:r>
          </w:p>
          <w:p>
            <w:pPr>
              <w:framePr w:w="0" w:h="0" w:hRule="auto" w:vSpace="0" w:hSpace="0" w:wrap="auto" w:hAnchor="text" w:x="0" w:xAlign="left" w:yAlign="inline" w:anchorLock="0"/>
              <w:numPr>
                <w:ilvl w:val="0"/>
                <w:numId w:val="54"/>
              </w:numPr>
              <w:spacing w:before="0" w:after="19"/>
              <w:ind w:hanging="283" w:left="283" w:right="0"/>
              <w:rPr>
                <w:rFonts w:ascii="Arial" w:hAnsi="Arial" w:cs="Arial"/>
                <w:sz w:val="20"/>
                <w:szCs w:val="20"/>
              </w:rPr>
            </w:pPr>
            <w:r>
              <w:rPr>
                <w:rFonts w:ascii="Arial" w:hAnsi="Arial" w:cs="Arial"/>
                <w:sz w:val="20"/>
                <w:szCs w:val="20"/>
              </w:rPr>
              <w:t>Further action is to be determined on the basis of the evaluation.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Patient information (general)</w:t>
            </w:r>
          </w:p>
          <w:p>
            <w:pPr>
              <w:framePr w:w="0" w:h="0" w:hRule="auto" w:vSpace="0" w:hSpace="0" w:wrap="auto" w:hAnchor="text" w:x="0" w:xAlign="left" w:yAlign="inline" w:anchorLock="0"/>
              <w:numPr>
                <w:ilvl w:val="0"/>
                <w:numId w:val="55"/>
              </w:numPr>
              <w:spacing w:before="0" w:after="19"/>
              <w:ind w:hanging="283" w:left="283" w:right="0"/>
              <w:rPr>
                <w:rFonts w:ascii="Arial" w:hAnsi="Arial" w:cs="Arial"/>
                <w:sz w:val="20"/>
                <w:szCs w:val="20"/>
              </w:rPr>
            </w:pPr>
            <w:r>
              <w:rPr>
                <w:rFonts w:ascii="Arial" w:hAnsi="Arial" w:cs="Arial"/>
                <w:sz w:val="20"/>
                <w:szCs w:val="20"/>
              </w:rPr>
              <w:t>The Centre is to present itself and its treatment options as a whole (e.g. in a brochure, patient folder, its website).</w:t>
            </w:r>
          </w:p>
          <w:p>
            <w:pPr>
              <w:framePr w:w="0" w:h="0" w:hRule="auto" w:vSpace="0" w:hSpace="0" w:wrap="auto" w:hAnchor="text" w:x="0" w:xAlign="left" w:yAlign="inline" w:anchorLock="0"/>
              <w:numPr>
                <w:ilvl w:val="0"/>
                <w:numId w:val="55"/>
              </w:numPr>
              <w:spacing w:before="0" w:after="19"/>
              <w:ind w:hanging="283" w:left="283" w:right="0"/>
              <w:rPr>
                <w:rFonts w:ascii="Arial" w:hAnsi="Arial" w:cs="Arial"/>
                <w:sz w:val="20"/>
                <w:szCs w:val="20"/>
              </w:rPr>
            </w:pPr>
            <w:r>
              <w:rPr>
                <w:rFonts w:ascii="Arial" w:hAnsi="Arial" w:cs="Arial"/>
                <w:sz w:val="20"/>
                <w:szCs w:val="20"/>
              </w:rPr>
              <w:t>The cooperation partners and contact person are to be designated by name. The available treatments are to be described.</w:t>
            </w:r>
          </w:p>
          <w:p>
            <w:pPr>
              <w:numPr>
                <w:ilvl w:val="0"/>
                <w:numId w:val="55"/>
              </w:numPr>
              <w:spacing w:before="0" w:after="19"/>
              <w:ind w:hanging="283" w:left="283"/>
              <w:rPr>
                <w:rFonts w:ascii="Arial" w:hAnsi="Arial" w:cs="Arial"/>
                <w:sz w:val="20"/>
                <w:szCs w:val="20"/>
                <w:lang w:val="ro-RO" w:bidi="ar-SA"/>
              </w:rPr>
            </w:pPr>
            <w:r>
              <w:rPr>
                <w:rFonts w:ascii="Arial" w:hAnsi="Arial" w:cs="Arial"/>
                <w:sz w:val="20"/>
                <w:szCs w:val="20"/>
              </w:rPr>
              <w:t>The range of treatments presented must include: rehab/ post-treatment rehab, self-help, treatment measures and alternatives.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Discharge consultation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Each patient is given a discharge consultation (short documentation/checklist) during which at least the following subjects are touched on and corresponding information provided:</w:t>
            </w:r>
          </w:p>
          <w:p>
            <w:pPr>
              <w:framePr w:w="0" w:h="0" w:hRule="auto" w:vSpace="0" w:hSpace="0" w:wrap="auto" w:hAnchor="text" w:x="0" w:xAlign="left" w:yAlign="inline" w:anchorLock="0"/>
              <w:numPr>
                <w:ilvl w:val="0"/>
                <w:numId w:val="56"/>
              </w:numPr>
              <w:spacing w:before="0" w:after="19"/>
              <w:ind w:hanging="283" w:left="283" w:right="0"/>
              <w:rPr>
                <w:rFonts w:ascii="Arial" w:hAnsi="Arial" w:cs="Arial"/>
                <w:sz w:val="20"/>
                <w:szCs w:val="20"/>
              </w:rPr>
            </w:pPr>
            <w:r>
              <w:rPr>
                <w:rFonts w:ascii="Arial" w:hAnsi="Arial" w:cs="Arial"/>
                <w:sz w:val="20"/>
                <w:szCs w:val="20"/>
              </w:rPr>
              <w:t>Therapy plan</w:t>
            </w:r>
          </w:p>
          <w:p>
            <w:pPr>
              <w:framePr w:w="0" w:h="0" w:hRule="auto" w:vSpace="0" w:hSpace="0" w:wrap="auto" w:hAnchor="text" w:x="0" w:xAlign="left" w:yAlign="inline" w:anchorLock="0"/>
              <w:numPr>
                <w:ilvl w:val="0"/>
                <w:numId w:val="56"/>
              </w:numPr>
              <w:spacing w:before="0" w:after="19"/>
              <w:ind w:hanging="283" w:left="283" w:right="0"/>
              <w:rPr>
                <w:rFonts w:ascii="Arial" w:hAnsi="Arial" w:cs="Arial"/>
                <w:sz w:val="20"/>
                <w:szCs w:val="20"/>
              </w:rPr>
            </w:pPr>
            <w:r>
              <w:rPr>
                <w:rFonts w:ascii="Arial" w:hAnsi="Arial" w:cs="Arial"/>
                <w:sz w:val="20"/>
                <w:szCs w:val="20"/>
              </w:rPr>
              <w:t xml:space="preserve">Individual aftercare plan </w:t>
            </w:r>
            <w:r>
              <w:rPr>
                <w:rFonts w:ascii="Arial" w:hAnsi="Arial" w:cs="Arial"/>
                <w:strike w:val="1"/>
                <w:sz w:val="20"/>
                <w:szCs w:val="20"/>
                <w:shd w:val="clear" w:color="auto" w:fill="00FE00"/>
              </w:rPr>
              <w:t>(handing over of aftercare pass)</w:t>
            </w:r>
          </w:p>
          <w:p>
            <w:pPr>
              <w:framePr w:w="0" w:h="0" w:hRule="auto" w:vSpace="0" w:hSpace="0" w:wrap="auto" w:hAnchor="text" w:x="0" w:xAlign="left" w:yAlign="inline" w:anchorLock="0"/>
              <w:numPr>
                <w:ilvl w:val="0"/>
                <w:numId w:val="56"/>
              </w:numPr>
              <w:spacing w:before="0" w:after="19"/>
              <w:ind w:hanging="283" w:left="283" w:right="0"/>
              <w:rPr>
                <w:rFonts w:ascii="Arial" w:hAnsi="Arial" w:cs="Arial"/>
                <w:sz w:val="20"/>
                <w:szCs w:val="20"/>
              </w:rPr>
            </w:pPr>
            <w:r>
              <w:rPr>
                <w:rFonts w:ascii="Arial" w:hAnsi="Arial" w:cs="Arial"/>
                <w:sz w:val="20"/>
                <w:szCs w:val="20"/>
              </w:rPr>
              <w:t xml:space="preserve">If available, “Patient guideline” </w:t>
            </w:r>
            <w:hyperlink xmlns:r="http://schemas.openxmlformats.org/officeDocument/2006/relationships" r:id="RB" w:tgtFrame="_blank">
              <w:r>
                <w:rPr>
                  <w:rFonts w:ascii="Arial" w:hAnsi="Arial" w:cs="Arial"/>
                  <w:color w:val="0000FF"/>
                  <w:sz w:val="20"/>
                  <w:szCs w:val="20"/>
                  <w:u w:val="single"/>
                </w:rPr>
                <w:t>www.leitlinienprogramm-onkologie.de</w:t>
              </w:r>
            </w:hyperlink>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Patient information should be evidence-based and free of any interests. Information should therefore preferably be used from the German Cancer Aid, the regional cancer associations, cancer self-help organisations and the Krebsinformationsdienst (Cancer Information Service).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Patient event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Oncology Centre is to stage an information event for patients and/or interested parties at least once a year. If possible, in cooperation with self-help groups.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If patient events are (co-)financed by industry, this fact including potential conflicts of interest of the speakers must be disclosed. The centre must rule out any direct influence on patients by industry representatives.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Complaints management</w:t>
            </w:r>
          </w:p>
          <w:p>
            <w:pPr>
              <w:spacing w:before="0" w:after="19"/>
              <w:rPr>
                <w:rFonts w:ascii="Arial" w:hAnsi="Arial" w:cs="Arial"/>
                <w:sz w:val="20"/>
                <w:szCs w:val="20"/>
                <w:lang w:val="ro-RO" w:bidi="ar-SA"/>
              </w:rPr>
            </w:pPr>
            <w:r>
              <w:rPr>
                <w:rFonts w:ascii="Arial" w:hAnsi="Arial" w:cs="Arial"/>
                <w:sz w:val="20"/>
                <w:szCs w:val="20"/>
              </w:rPr>
              <w:t>Formalised complaints management is in place. The patients are given feedback. Complaints are taken into account for the improvement of procedures.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1.6.7.a G-BA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Self-help groups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self-help groups and self-help centres, with which the Oncology Centre actively cooperates, are to be designated by name.</w:t>
            </w:r>
          </w:p>
          <w:p>
            <w:pPr>
              <w:framePr w:w="0" w:h="0" w:hRule="auto" w:vSpace="0" w:hSpace="0" w:wrap="auto" w:hAnchor="text" w:x="0" w:xAlign="left" w:yAlign="inline" w:anchorLock="0"/>
              <w:numPr>
                <w:ilvl w:val="0"/>
                <w:numId w:val="57"/>
              </w:numPr>
              <w:spacing w:before="0" w:after="19"/>
              <w:ind w:hanging="283" w:left="283" w:right="0"/>
              <w:rPr>
                <w:rFonts w:ascii="Arial" w:hAnsi="Arial" w:cs="Arial"/>
                <w:sz w:val="20"/>
                <w:szCs w:val="20"/>
              </w:rPr>
            </w:pPr>
            <w:r>
              <w:rPr>
                <w:rFonts w:ascii="Arial" w:hAnsi="Arial" w:cs="Arial"/>
                <w:sz w:val="20"/>
                <w:szCs w:val="20"/>
              </w:rPr>
              <w:t>A contact person must be designated by name.</w:t>
            </w:r>
          </w:p>
          <w:p>
            <w:pPr>
              <w:framePr w:w="0" w:h="0" w:hRule="auto" w:vSpace="0" w:hSpace="0" w:wrap="auto" w:hAnchor="text" w:x="0" w:xAlign="left" w:yAlign="inline" w:anchorLock="0"/>
              <w:numPr>
                <w:ilvl w:val="0"/>
                <w:numId w:val="57"/>
              </w:numPr>
              <w:spacing w:before="0" w:after="19"/>
              <w:ind w:hanging="283" w:left="283" w:right="0"/>
              <w:rPr>
                <w:rFonts w:ascii="Arial" w:hAnsi="Arial" w:cs="Arial"/>
                <w:sz w:val="20"/>
                <w:szCs w:val="20"/>
              </w:rPr>
            </w:pPr>
            <w:r>
              <w:rPr>
                <w:rFonts w:ascii="Arial" w:hAnsi="Arial" w:cs="Arial"/>
                <w:sz w:val="20"/>
                <w:szCs w:val="20"/>
              </w:rPr>
              <w:t>Cooperation must be announced (e.g. on the website), possibly including cooperation with nationwide, entity-specific self-help organisations</w:t>
            </w:r>
          </w:p>
          <w:p>
            <w:pPr>
              <w:numPr>
                <w:ilvl w:val="0"/>
                <w:numId w:val="57"/>
              </w:numPr>
              <w:spacing w:before="0" w:after="19"/>
              <w:ind w:hanging="283" w:left="283"/>
              <w:rPr>
                <w:rFonts w:ascii="Arial" w:hAnsi="Arial" w:cs="Arial"/>
                <w:sz w:val="20"/>
                <w:szCs w:val="20"/>
                <w:lang w:val="ro-RO" w:bidi="ar-SA"/>
              </w:rPr>
            </w:pPr>
            <w:r>
              <w:rPr>
                <w:rFonts w:ascii="Arial" w:hAnsi="Arial" w:cs="Arial"/>
                <w:sz w:val="20"/>
                <w:szCs w:val="20"/>
              </w:rPr>
              <w:t>The tasks of the self-help groups may only be carried out by members of the self-help groups.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1.6.7.b G-BA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Written agreements are to be entered into with the self-help groups. These agreements should be updated at least every 5 years and should encompass the following points:</w:t>
            </w:r>
          </w:p>
          <w:p>
            <w:pPr>
              <w:framePr w:w="0" w:h="0" w:hRule="auto" w:vSpace="0" w:hSpace="0" w:wrap="auto" w:hAnchor="text" w:x="0" w:xAlign="left" w:yAlign="inline" w:anchorLock="0"/>
              <w:numPr>
                <w:ilvl w:val="0"/>
                <w:numId w:val="58"/>
              </w:numPr>
              <w:spacing w:before="0" w:after="19"/>
              <w:ind w:hanging="283" w:left="283" w:right="0"/>
              <w:rPr>
                <w:rFonts w:ascii="Arial" w:hAnsi="Arial" w:cs="Arial"/>
                <w:sz w:val="20"/>
                <w:szCs w:val="20"/>
              </w:rPr>
            </w:pPr>
            <w:r>
              <w:rPr>
                <w:rFonts w:ascii="Arial" w:hAnsi="Arial" w:cs="Arial"/>
                <w:sz w:val="20"/>
                <w:szCs w:val="20"/>
              </w:rPr>
              <w:t xml:space="preserve">Access to self-help groups at all stages of treatment (initial diagnosis, hospitalisation, </w:t>
            </w:r>
            <w:r>
              <w:rPr>
                <w:rFonts w:ascii="Arial" w:hAnsi="Arial" w:cs="Arial"/>
                <w:sz w:val="20"/>
                <w:szCs w:val="20"/>
                <w:shd w:val="clear" w:color="auto" w:fill="00FF00"/>
              </w:rPr>
              <w:t>systemic anticancer therapy</w:t>
            </w:r>
            <w:r>
              <w:rPr>
                <w:rFonts w:ascii="Arial" w:hAnsi="Arial" w:cs="Arial"/>
                <w:sz w:val="20"/>
                <w:szCs w:val="20"/>
              </w:rPr>
              <w:t xml:space="preserve"> </w:t>
            </w:r>
            <w:r>
              <w:rPr>
                <w:rFonts w:ascii="Arial" w:hAnsi="Arial" w:cs="Arial"/>
                <w:strike w:val="1"/>
                <w:sz w:val="20"/>
                <w:szCs w:val="20"/>
                <w:shd w:val="clear" w:color="auto" w:fill="00FE00"/>
              </w:rPr>
              <w:t>chemotherapy</w:t>
            </w:r>
            <w:r>
              <w:rPr>
                <w:rFonts w:ascii="Arial" w:hAnsi="Arial" w:cs="Arial"/>
                <w:sz w:val="20"/>
                <w:szCs w:val="20"/>
              </w:rPr>
              <w:t>, aftercare…)</w:t>
            </w:r>
          </w:p>
          <w:p>
            <w:pPr>
              <w:framePr w:w="0" w:h="0" w:hRule="auto" w:vSpace="0" w:hSpace="0" w:wrap="auto" w:hAnchor="text" w:x="0" w:xAlign="left" w:yAlign="inline" w:anchorLock="0"/>
              <w:numPr>
                <w:ilvl w:val="0"/>
                <w:numId w:val="58"/>
              </w:numPr>
              <w:spacing w:before="0" w:after="19"/>
              <w:ind w:hanging="283" w:left="283" w:right="0"/>
              <w:rPr>
                <w:rFonts w:ascii="Arial" w:hAnsi="Arial" w:cs="Arial"/>
                <w:sz w:val="20"/>
                <w:szCs w:val="20"/>
              </w:rPr>
            </w:pPr>
            <w:r>
              <w:rPr>
                <w:rFonts w:ascii="Arial" w:hAnsi="Arial" w:cs="Arial"/>
                <w:sz w:val="20"/>
                <w:szCs w:val="20"/>
              </w:rPr>
              <w:t>Publication of contact details of self-help groups e.g. in patient brochures, OC website)</w:t>
            </w:r>
          </w:p>
          <w:p>
            <w:pPr>
              <w:framePr w:w="0" w:h="0" w:hRule="auto" w:vSpace="0" w:hSpace="0" w:wrap="auto" w:hAnchor="text" w:x="0" w:xAlign="left" w:yAlign="inline" w:anchorLock="0"/>
              <w:numPr>
                <w:ilvl w:val="0"/>
                <w:numId w:val="58"/>
              </w:numPr>
              <w:spacing w:before="0" w:after="19"/>
              <w:ind w:hanging="283" w:left="283" w:right="0"/>
              <w:rPr>
                <w:rFonts w:ascii="Arial" w:hAnsi="Arial" w:cs="Arial"/>
                <w:sz w:val="20"/>
                <w:szCs w:val="20"/>
              </w:rPr>
            </w:pPr>
            <w:r>
              <w:rPr>
                <w:rFonts w:ascii="Arial" w:hAnsi="Arial" w:cs="Arial"/>
                <w:sz w:val="20"/>
                <w:szCs w:val="20"/>
              </w:rPr>
              <w:t>Possibility for self-help groups to display information brochures</w:t>
            </w:r>
          </w:p>
          <w:p>
            <w:pPr>
              <w:framePr w:w="0" w:h="0" w:hRule="auto" w:vSpace="0" w:hSpace="0" w:wrap="auto" w:hAnchor="text" w:x="0" w:xAlign="left" w:yAlign="inline" w:anchorLock="0"/>
              <w:numPr>
                <w:ilvl w:val="0"/>
                <w:numId w:val="58"/>
              </w:numPr>
              <w:spacing w:before="0" w:after="19"/>
              <w:ind w:hanging="283" w:left="283" w:right="0"/>
              <w:rPr>
                <w:rFonts w:ascii="Arial" w:hAnsi="Arial" w:cs="Arial"/>
                <w:sz w:val="20"/>
                <w:szCs w:val="20"/>
              </w:rPr>
            </w:pPr>
            <w:r>
              <w:rPr>
                <w:rFonts w:ascii="Arial" w:hAnsi="Arial" w:cs="Arial"/>
                <w:sz w:val="20"/>
                <w:szCs w:val="20"/>
              </w:rPr>
              <w:t>Clinics approach the local self-help groups or the federal associations if information material is required</w:t>
            </w:r>
          </w:p>
          <w:p>
            <w:pPr>
              <w:framePr w:w="0" w:h="0" w:hRule="auto" w:vSpace="0" w:hSpace="0" w:wrap="auto" w:hAnchor="text" w:x="0" w:xAlign="left" w:yAlign="inline" w:anchorLock="0"/>
              <w:numPr>
                <w:ilvl w:val="0"/>
                <w:numId w:val="58"/>
              </w:numPr>
              <w:spacing w:before="0" w:after="19"/>
              <w:ind w:hanging="283" w:left="283" w:right="0"/>
              <w:rPr>
                <w:rFonts w:ascii="Arial" w:hAnsi="Arial" w:cs="Arial"/>
                <w:sz w:val="20"/>
                <w:szCs w:val="20"/>
              </w:rPr>
            </w:pPr>
            <w:r>
              <w:rPr>
                <w:rFonts w:ascii="Arial" w:hAnsi="Arial" w:cs="Arial"/>
                <w:sz w:val="20"/>
                <w:szCs w:val="20"/>
              </w:rPr>
              <w:t>Regular provision of premises at the OC for discussions with patients</w:t>
            </w:r>
          </w:p>
          <w:p>
            <w:pPr>
              <w:framePr w:w="0" w:h="0" w:hRule="auto" w:vSpace="0" w:hSpace="0" w:wrap="auto" w:hAnchor="text" w:x="0" w:xAlign="left" w:yAlign="inline" w:anchorLock="0"/>
              <w:numPr>
                <w:ilvl w:val="0"/>
                <w:numId w:val="58"/>
              </w:numPr>
              <w:spacing w:before="0" w:after="19"/>
              <w:ind w:hanging="283" w:left="283" w:right="0"/>
              <w:rPr>
                <w:rFonts w:ascii="Arial" w:hAnsi="Arial" w:cs="Arial"/>
                <w:sz w:val="20"/>
                <w:szCs w:val="20"/>
              </w:rPr>
            </w:pPr>
            <w:r>
              <w:rPr>
                <w:rFonts w:ascii="Arial" w:hAnsi="Arial" w:cs="Arial"/>
                <w:sz w:val="20"/>
                <w:szCs w:val="20"/>
              </w:rPr>
              <w:t>Quality circle with participation of representatives from psycho-oncology, self-help groups, social services, spiritual counselling, nursing and medical care.</w:t>
            </w:r>
          </w:p>
          <w:p>
            <w:pPr>
              <w:framePr w:w="0" w:h="0" w:hRule="auto" w:vSpace="0" w:hSpace="0" w:wrap="auto" w:hAnchor="text" w:x="0" w:xAlign="left" w:yAlign="inline" w:anchorLock="0"/>
              <w:numPr>
                <w:ilvl w:val="0"/>
                <w:numId w:val="58"/>
              </w:numPr>
              <w:spacing w:before="0" w:after="19"/>
              <w:ind w:hanging="283" w:left="283" w:right="0"/>
              <w:rPr>
                <w:rFonts w:ascii="Arial" w:hAnsi="Arial" w:cs="Arial"/>
                <w:sz w:val="20"/>
                <w:szCs w:val="20"/>
              </w:rPr>
            </w:pPr>
            <w:r>
              <w:rPr>
                <w:rFonts w:ascii="Arial" w:hAnsi="Arial" w:cs="Arial"/>
                <w:sz w:val="20"/>
                <w:szCs w:val="20"/>
              </w:rPr>
              <w:t>Personal discussions between self-help groups and the OC for the purposes of jointly staging or coordinating actions and events. The results of the discussions are to be documented.</w:t>
            </w:r>
          </w:p>
          <w:p>
            <w:pPr>
              <w:numPr>
                <w:ilvl w:val="0"/>
                <w:numId w:val="58"/>
              </w:numPr>
              <w:spacing w:before="0" w:after="19"/>
              <w:ind w:hanging="283" w:left="283"/>
              <w:rPr>
                <w:rFonts w:ascii="Arial" w:hAnsi="Arial" w:cs="Arial"/>
                <w:sz w:val="20"/>
                <w:szCs w:val="20"/>
                <w:lang w:val="ro-RO" w:bidi="ar-SA"/>
              </w:rPr>
            </w:pPr>
            <w:r>
              <w:rPr>
                <w:rFonts w:ascii="Arial" w:hAnsi="Arial" w:cs="Arial"/>
                <w:sz w:val="20"/>
                <w:szCs w:val="20"/>
              </w:rPr>
              <w:t>Participation of all medical staff in events of the self-help group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1.6.8 G-BA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Accessibility</w:t>
            </w:r>
          </w:p>
          <w:p>
            <w:pPr>
              <w:framePr w:w="0" w:h="0" w:hRule="auto" w:vSpace="0" w:hSpace="0" w:wrap="auto" w:hAnchor="text" w:x="0" w:xAlign="left" w:yAlign="inline" w:anchorLock="0"/>
              <w:numPr>
                <w:ilvl w:val="0"/>
                <w:numId w:val="59"/>
              </w:numPr>
              <w:spacing w:before="0" w:after="19"/>
              <w:ind w:hanging="283" w:left="283" w:right="0"/>
              <w:rPr>
                <w:rFonts w:ascii="Arial" w:hAnsi="Arial" w:cs="Arial"/>
                <w:sz w:val="20"/>
                <w:szCs w:val="20"/>
              </w:rPr>
            </w:pPr>
            <w:r>
              <w:rPr>
                <w:rFonts w:ascii="Arial" w:hAnsi="Arial" w:cs="Arial"/>
                <w:sz w:val="20"/>
                <w:szCs w:val="20"/>
              </w:rPr>
              <w:t>Access to the hospital is basically barrier-free.</w:t>
            </w:r>
          </w:p>
          <w:p>
            <w:pPr>
              <w:framePr w:w="0" w:h="0" w:hRule="auto" w:vSpace="0" w:hSpace="0" w:wrap="auto" w:hAnchor="text" w:x="0" w:xAlign="left" w:yAlign="inline" w:anchorLock="0"/>
              <w:numPr>
                <w:ilvl w:val="0"/>
                <w:numId w:val="59"/>
              </w:numPr>
              <w:spacing w:before="0" w:after="19"/>
              <w:ind w:hanging="283" w:left="283" w:right="0"/>
              <w:rPr>
                <w:rFonts w:ascii="Arial" w:hAnsi="Arial" w:cs="Arial"/>
                <w:sz w:val="20"/>
                <w:szCs w:val="20"/>
              </w:rPr>
            </w:pPr>
            <w:r>
              <w:rPr>
                <w:rFonts w:ascii="Arial" w:hAnsi="Arial" w:cs="Arial"/>
                <w:sz w:val="20"/>
                <w:szCs w:val="20"/>
              </w:rPr>
              <w:t>The rooms for patient care and examination must be accessible to people with disabilities.</w:t>
            </w:r>
          </w:p>
          <w:p>
            <w:pPr>
              <w:numPr>
                <w:ilvl w:val="0"/>
                <w:numId w:val="59"/>
              </w:numPr>
              <w:spacing w:before="0" w:after="19"/>
              <w:ind w:hanging="283" w:left="283"/>
              <w:rPr>
                <w:rFonts w:ascii="Arial" w:hAnsi="Arial" w:cs="Arial"/>
                <w:sz w:val="20"/>
                <w:szCs w:val="20"/>
                <w:lang w:val="ro-RO" w:bidi="ar-SA"/>
              </w:rPr>
            </w:pPr>
            <w:r>
              <w:rPr>
                <w:rFonts w:ascii="Arial" w:hAnsi="Arial" w:cs="Arial"/>
                <w:sz w:val="20"/>
                <w:szCs w:val="20"/>
              </w:rPr>
              <w:t>The centre shall designate a contact person or competent authority for persons with disabilities and publish this information in the quality report of the approved hospitals pursuant to Section 136b (1) No. 3 SGB V.</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1.7</w:t>
              <w:tab/>
              <w:t xml:space="preserve"> Study management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statements below refer to the following cooperation partners: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General remark</w:t>
            </w:r>
          </w:p>
          <w:p>
            <w:pPr>
              <w:spacing w:before="0" w:after="19"/>
              <w:rPr>
                <w:rFonts w:ascii="Arial" w:hAnsi="Arial" w:cs="Arial"/>
                <w:sz w:val="20"/>
                <w:szCs w:val="20"/>
                <w:lang w:val="ro-RO" w:bidi="ar-SA"/>
              </w:rPr>
            </w:pPr>
            <w:r>
              <w:rPr>
                <w:rFonts w:ascii="Arial" w:hAnsi="Arial" w:cs="Arial"/>
                <w:sz w:val="20"/>
                <w:szCs w:val="20"/>
              </w:rPr>
              <w:t>Each of the cooperation partners of the Oncology Centre, that offers or conducts studies for tumour patients, must prove that it meets the requirements in this section of the Catalogue. Hence, each cooperation partner from this specialty is to process this section in detail or to make specific statements in this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Investigator/ Study leader</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To be designated by name in the “study organisation”. Investigator and study leader may be the same person.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Definition investigator</w:t>
            </w:r>
          </w:p>
          <w:p>
            <w:pPr>
              <w:framePr w:w="0" w:h="0" w:hRule="auto" w:vSpace="0" w:hSpace="0" w:wrap="auto" w:hAnchor="text" w:x="0" w:xAlign="left" w:yAlign="inline" w:anchorLock="0"/>
              <w:numPr>
                <w:ilvl w:val="0"/>
                <w:numId w:val="60"/>
              </w:numPr>
              <w:spacing w:before="0" w:after="19"/>
              <w:ind w:hanging="283" w:left="283" w:right="0"/>
              <w:rPr>
                <w:rFonts w:ascii="Arial" w:hAnsi="Arial" w:cs="Arial"/>
                <w:sz w:val="20"/>
                <w:szCs w:val="20"/>
              </w:rPr>
            </w:pPr>
            <w:r>
              <w:rPr>
                <w:rFonts w:ascii="Arial" w:hAnsi="Arial" w:cs="Arial"/>
                <w:sz w:val="20"/>
                <w:szCs w:val="20"/>
              </w:rPr>
              <w:t xml:space="preserve">Responsible for conducting the study in accordance with Section 40 Medicinal Products Act (AMG) </w:t>
            </w:r>
          </w:p>
          <w:p>
            <w:pPr>
              <w:framePr w:w="0" w:h="0" w:hRule="auto" w:vSpace="0" w:hSpace="0" w:wrap="auto" w:hAnchor="text" w:x="0" w:xAlign="left" w:yAlign="inline" w:anchorLock="0"/>
              <w:numPr>
                <w:ilvl w:val="0"/>
                <w:numId w:val="60"/>
              </w:numPr>
              <w:spacing w:before="0" w:after="19"/>
              <w:ind w:hanging="283" w:left="283" w:right="0"/>
              <w:rPr>
                <w:rFonts w:ascii="Arial" w:hAnsi="Arial" w:cs="Arial"/>
                <w:sz w:val="20"/>
                <w:szCs w:val="20"/>
              </w:rPr>
            </w:pPr>
            <w:r>
              <w:rPr>
                <w:rFonts w:ascii="Arial" w:hAnsi="Arial" w:cs="Arial"/>
                <w:sz w:val="20"/>
                <w:szCs w:val="20"/>
              </w:rPr>
              <w:t xml:space="preserve">Minimum two years’ experience in clinical drug trials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Definition study leader</w:t>
            </w:r>
          </w:p>
          <w:p>
            <w:pPr>
              <w:framePr w:w="0" w:h="0" w:hRule="auto" w:vSpace="0" w:hSpace="0" w:wrap="auto" w:hAnchor="text" w:x="0" w:xAlign="left" w:yAlign="inline" w:anchorLock="0"/>
              <w:numPr>
                <w:ilvl w:val="0"/>
                <w:numId w:val="61"/>
              </w:numPr>
              <w:spacing w:before="0" w:after="19"/>
              <w:ind w:hanging="283" w:left="283" w:right="0"/>
              <w:rPr>
                <w:rFonts w:ascii="Arial" w:hAnsi="Arial" w:cs="Arial"/>
                <w:sz w:val="20"/>
                <w:szCs w:val="20"/>
              </w:rPr>
            </w:pPr>
            <w:r>
              <w:rPr>
                <w:rFonts w:ascii="Arial" w:hAnsi="Arial" w:cs="Arial"/>
                <w:sz w:val="20"/>
                <w:szCs w:val="20"/>
              </w:rPr>
              <w:t>Physician named by the investigator</w:t>
            </w:r>
          </w:p>
          <w:p>
            <w:pPr>
              <w:framePr w:w="0" w:h="0" w:hRule="auto" w:vSpace="0" w:hSpace="0" w:wrap="auto" w:hAnchor="text" w:x="0" w:xAlign="left" w:yAlign="inline" w:anchorLock="0"/>
              <w:numPr>
                <w:ilvl w:val="0"/>
                <w:numId w:val="61"/>
              </w:numPr>
              <w:spacing w:before="0" w:after="19"/>
              <w:ind w:hanging="283" w:left="283" w:right="0"/>
              <w:rPr>
                <w:rFonts w:ascii="Arial" w:hAnsi="Arial" w:cs="Arial"/>
                <w:sz w:val="20"/>
                <w:szCs w:val="20"/>
              </w:rPr>
            </w:pPr>
            <w:r>
              <w:rPr>
                <w:rFonts w:ascii="Arial" w:hAnsi="Arial" w:cs="Arial"/>
                <w:sz w:val="20"/>
                <w:szCs w:val="20"/>
              </w:rPr>
              <w:t>Investigator delegates tasks to the study leader</w:t>
            </w:r>
          </w:p>
          <w:p>
            <w:pPr>
              <w:numPr>
                <w:ilvl w:val="0"/>
                <w:numId w:val="61"/>
              </w:numPr>
              <w:spacing w:before="0" w:after="19"/>
              <w:ind w:hanging="283" w:left="283"/>
              <w:rPr>
                <w:rFonts w:ascii="Arial" w:hAnsi="Arial" w:cs="Arial"/>
                <w:sz w:val="20"/>
                <w:szCs w:val="20"/>
                <w:lang w:val="ro-RO" w:bidi="ar-SA"/>
              </w:rPr>
            </w:pPr>
            <w:r>
              <w:rPr>
                <w:rFonts w:ascii="Arial" w:hAnsi="Arial" w:cs="Arial"/>
                <w:sz w:val="20"/>
                <w:szCs w:val="20"/>
              </w:rPr>
              <w:t xml:space="preserve">When a new study leader is appointed, proof of dedicated continuing education in studies is to be provided.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Study assistant</w:t>
            </w:r>
          </w:p>
          <w:p>
            <w:pPr>
              <w:framePr w:w="0" w:h="0" w:hRule="auto" w:vSpace="0" w:hSpace="0" w:wrap="auto" w:hAnchor="text" w:x="0" w:xAlign="left" w:yAlign="inline" w:anchorLock="0"/>
              <w:numPr>
                <w:ilvl w:val="0"/>
                <w:numId w:val="62"/>
              </w:numPr>
              <w:spacing w:before="0" w:after="19"/>
              <w:ind w:hanging="283" w:left="283" w:right="0"/>
              <w:rPr>
                <w:rFonts w:ascii="Arial" w:hAnsi="Arial" w:cs="Arial"/>
                <w:sz w:val="20"/>
                <w:szCs w:val="20"/>
              </w:rPr>
            </w:pPr>
            <w:r>
              <w:rPr>
                <w:rFonts w:ascii="Arial" w:hAnsi="Arial" w:cs="Arial"/>
                <w:sz w:val="20"/>
                <w:szCs w:val="20"/>
              </w:rPr>
              <w:t xml:space="preserve">A study assistant is to be designated by name in the “study organigram” for “each ongoing study unit” (Annex 2). </w:t>
            </w:r>
          </w:p>
          <w:p>
            <w:pPr>
              <w:numPr>
                <w:ilvl w:val="0"/>
                <w:numId w:val="62"/>
              </w:numPr>
              <w:spacing w:before="0" w:after="19"/>
              <w:ind w:hanging="283" w:left="283"/>
              <w:rPr>
                <w:rFonts w:ascii="Arial" w:hAnsi="Arial" w:cs="Arial"/>
                <w:sz w:val="20"/>
                <w:szCs w:val="20"/>
                <w:lang w:val="ro-RO" w:bidi="ar-SA"/>
              </w:rPr>
            </w:pPr>
            <w:r>
              <w:rPr>
                <w:rFonts w:ascii="Arial" w:hAnsi="Arial" w:cs="Arial"/>
                <w:sz w:val="20"/>
                <w:szCs w:val="20"/>
              </w:rPr>
              <w:t>In exceptional situations, this assistant may be actively involved in several parallel studies.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Study assistant - qualifications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If possible, specialist medical training (e.g. medical technical assistant, </w:t>
            </w:r>
            <w:r>
              <w:rPr>
                <w:rFonts w:ascii="Arial" w:hAnsi="Arial" w:cs="Arial"/>
                <w:strike w:val="1"/>
                <w:sz w:val="20"/>
                <w:szCs w:val="20"/>
                <w:shd w:val="clear" w:color="auto" w:fill="00FE00"/>
              </w:rPr>
              <w:t>health care assistant/nurse</w:t>
            </w:r>
            <w:r>
              <w:rPr>
                <w:rFonts w:ascii="Arial" w:hAnsi="Arial" w:cs="Arial"/>
                <w:sz w:val="20"/>
                <w:szCs w:val="20"/>
              </w:rPr>
              <w:t xml:space="preserve"> </w:t>
            </w:r>
            <w:r>
              <w:rPr>
                <w:rFonts w:ascii="Arial" w:hAnsi="Arial" w:cs="Arial"/>
                <w:sz w:val="20"/>
                <w:szCs w:val="20"/>
                <w:shd w:val="clear" w:color="auto" w:fill="00FF00"/>
              </w:rPr>
              <w:t>specialist nurses</w:t>
            </w:r>
            <w:r>
              <w:rPr>
                <w:rFonts w:ascii="Arial" w:hAnsi="Arial" w:cs="Arial"/>
                <w:sz w:val="20"/>
                <w:szCs w:val="20"/>
              </w:rPr>
              <w:t>, medical assistant)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Training</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Documentation is to be provided of dedicated training for the study assistant function.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At the time of initial certification at least one application for a training course must have been submitted. The course is to be completed within one year. During the training the investigator/study leader must compensate for any qualification deficits.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Study assistant - tasks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range of tasks is to be specified in writing (e.g. via job/function descriptions) and may include the following contents:</w:t>
            </w:r>
          </w:p>
          <w:p>
            <w:pPr>
              <w:framePr w:w="0" w:h="0" w:hRule="auto" w:vSpace="0" w:hSpace="0" w:wrap="auto" w:hAnchor="text" w:x="0" w:xAlign="left" w:yAlign="inline" w:anchorLock="0"/>
              <w:numPr>
                <w:ilvl w:val="0"/>
                <w:numId w:val="63"/>
              </w:numPr>
              <w:spacing w:before="0" w:after="19"/>
              <w:ind w:hanging="283" w:left="283" w:right="0"/>
              <w:rPr>
                <w:rFonts w:ascii="Arial" w:hAnsi="Arial" w:cs="Arial"/>
                <w:sz w:val="20"/>
                <w:szCs w:val="20"/>
              </w:rPr>
            </w:pPr>
            <w:r>
              <w:rPr>
                <w:rFonts w:ascii="Arial" w:hAnsi="Arial" w:cs="Arial"/>
                <w:sz w:val="20"/>
                <w:szCs w:val="20"/>
              </w:rPr>
              <w:t>Conduct of studies together with the investigator</w:t>
            </w:r>
          </w:p>
          <w:p>
            <w:pPr>
              <w:framePr w:w="0" w:h="0" w:hRule="auto" w:vSpace="0" w:hSpace="0" w:wrap="auto" w:hAnchor="text" w:x="0" w:xAlign="left" w:yAlign="inline" w:anchorLock="0"/>
              <w:numPr>
                <w:ilvl w:val="0"/>
                <w:numId w:val="63"/>
              </w:numPr>
              <w:spacing w:before="0" w:after="19"/>
              <w:ind w:hanging="283" w:left="283" w:right="0"/>
              <w:rPr>
                <w:rFonts w:ascii="Arial" w:hAnsi="Arial" w:cs="Arial"/>
                <w:sz w:val="20"/>
                <w:szCs w:val="20"/>
              </w:rPr>
            </w:pPr>
            <w:r>
              <w:rPr>
                <w:rFonts w:ascii="Arial" w:hAnsi="Arial" w:cs="Arial"/>
                <w:sz w:val="20"/>
                <w:szCs w:val="20"/>
              </w:rPr>
              <w:t>Recruiting, registering and providing supportive information to patients</w:t>
            </w:r>
          </w:p>
          <w:p>
            <w:pPr>
              <w:framePr w:w="0" w:h="0" w:hRule="auto" w:vSpace="0" w:hSpace="0" w:wrap="auto" w:hAnchor="text" w:x="0" w:xAlign="left" w:yAlign="inline" w:anchorLock="0"/>
              <w:numPr>
                <w:ilvl w:val="0"/>
                <w:numId w:val="63"/>
              </w:numPr>
              <w:spacing w:before="0" w:after="19"/>
              <w:ind w:hanging="283" w:left="283" w:right="0"/>
              <w:rPr>
                <w:rFonts w:ascii="Arial" w:hAnsi="Arial" w:cs="Arial"/>
                <w:sz w:val="20"/>
                <w:szCs w:val="20"/>
              </w:rPr>
            </w:pPr>
            <w:r>
              <w:rPr>
                <w:rFonts w:ascii="Arial" w:hAnsi="Arial" w:cs="Arial"/>
                <w:sz w:val="20"/>
                <w:szCs w:val="20"/>
              </w:rPr>
              <w:t>Patient support during the study and in aftercare</w:t>
            </w:r>
          </w:p>
          <w:p>
            <w:pPr>
              <w:framePr w:w="0" w:h="0" w:hRule="auto" w:vSpace="0" w:hSpace="0" w:wrap="auto" w:hAnchor="text" w:x="0" w:xAlign="left" w:yAlign="inline" w:anchorLock="0"/>
              <w:numPr>
                <w:ilvl w:val="0"/>
                <w:numId w:val="63"/>
              </w:numPr>
              <w:spacing w:before="0" w:after="19"/>
              <w:ind w:hanging="283" w:left="283" w:right="0"/>
              <w:rPr>
                <w:rFonts w:ascii="Arial" w:hAnsi="Arial" w:cs="Arial"/>
                <w:sz w:val="20"/>
                <w:szCs w:val="20"/>
              </w:rPr>
            </w:pPr>
            <w:r>
              <w:rPr>
                <w:rFonts w:ascii="Arial" w:hAnsi="Arial" w:cs="Arial"/>
                <w:sz w:val="20"/>
                <w:szCs w:val="20"/>
              </w:rPr>
              <w:t>Organisation, coordination of diagnostics, laboratory, sample shipment and test medication</w:t>
            </w:r>
          </w:p>
          <w:p>
            <w:pPr>
              <w:framePr w:w="0" w:h="0" w:hRule="auto" w:vSpace="0" w:hSpace="0" w:wrap="auto" w:hAnchor="text" w:x="0" w:xAlign="left" w:yAlign="inline" w:anchorLock="0"/>
              <w:numPr>
                <w:ilvl w:val="0"/>
                <w:numId w:val="63"/>
              </w:numPr>
              <w:spacing w:before="0" w:after="19"/>
              <w:ind w:hanging="283" w:left="283" w:right="0"/>
              <w:rPr>
                <w:rFonts w:ascii="Arial" w:hAnsi="Arial" w:cs="Arial"/>
                <w:sz w:val="20"/>
                <w:szCs w:val="20"/>
              </w:rPr>
            </w:pPr>
            <w:r>
              <w:rPr>
                <w:rFonts w:ascii="Arial" w:hAnsi="Arial" w:cs="Arial"/>
                <w:sz w:val="20"/>
                <w:szCs w:val="20"/>
              </w:rPr>
              <w:t>Collection and documentation of all relevant study data</w:t>
            </w:r>
          </w:p>
          <w:p>
            <w:pPr>
              <w:framePr w:w="0" w:h="0" w:hRule="auto" w:vSpace="0" w:hSpace="0" w:wrap="auto" w:hAnchor="text" w:x="0" w:xAlign="left" w:yAlign="inline" w:anchorLock="0"/>
              <w:numPr>
                <w:ilvl w:val="0"/>
                <w:numId w:val="63"/>
              </w:numPr>
              <w:spacing w:before="0" w:after="19"/>
              <w:ind w:hanging="283" w:left="283" w:right="0"/>
              <w:rPr>
                <w:rFonts w:ascii="Arial" w:hAnsi="Arial" w:cs="Arial"/>
                <w:sz w:val="20"/>
                <w:szCs w:val="20"/>
              </w:rPr>
            </w:pPr>
            <w:r>
              <w:rPr>
                <w:rFonts w:ascii="Arial" w:hAnsi="Arial" w:cs="Arial"/>
                <w:sz w:val="20"/>
                <w:szCs w:val="20"/>
              </w:rPr>
              <w:t>Preparation and support for audits and official inspections</w:t>
            </w:r>
          </w:p>
          <w:p>
            <w:pPr>
              <w:framePr w:w="0" w:h="0" w:hRule="auto" w:vSpace="0" w:hSpace="0" w:wrap="auto" w:hAnchor="text" w:x="0" w:xAlign="left" w:yAlign="inline" w:anchorLock="0"/>
              <w:numPr>
                <w:ilvl w:val="0"/>
                <w:numId w:val="63"/>
              </w:numPr>
              <w:spacing w:before="0" w:after="19"/>
              <w:ind w:hanging="283" w:left="283" w:right="0"/>
              <w:rPr>
                <w:rFonts w:ascii="Arial" w:hAnsi="Arial" w:cs="Arial"/>
                <w:sz w:val="20"/>
                <w:szCs w:val="20"/>
              </w:rPr>
            </w:pPr>
            <w:r>
              <w:rPr>
                <w:rFonts w:ascii="Arial" w:hAnsi="Arial" w:cs="Arial"/>
                <w:sz w:val="20"/>
                <w:szCs w:val="20"/>
              </w:rPr>
              <w:t>Cover staff rules</w:t>
            </w:r>
          </w:p>
          <w:p>
            <w:pPr>
              <w:spacing w:before="0" w:after="19"/>
              <w:rPr>
                <w:rFonts w:ascii="Arial" w:hAnsi="Arial" w:cs="Arial"/>
                <w:sz w:val="20"/>
                <w:szCs w:val="20"/>
                <w:lang w:val="ro-RO" w:bidi="ar-SA"/>
              </w:rPr>
            </w:pPr>
            <w:r>
              <w:rPr>
                <w:rFonts w:ascii="Arial" w:hAnsi="Arial" w:cs="Arial"/>
                <w:sz w:val="20"/>
                <w:szCs w:val="20"/>
              </w:rPr>
              <w:t xml:space="preserve">The activity of the study assistant can be combined with other activities like tumour documentation.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Cooperation study assistant - investigator</w:t>
            </w:r>
          </w:p>
          <w:p>
            <w:pPr>
              <w:spacing w:before="0" w:after="19"/>
              <w:rPr>
                <w:rFonts w:ascii="Arial" w:hAnsi="Arial" w:cs="Arial"/>
                <w:sz w:val="20"/>
                <w:szCs w:val="20"/>
                <w:lang w:val="ro-RO" w:bidi="ar-SA"/>
              </w:rPr>
            </w:pPr>
            <w:r>
              <w:rPr>
                <w:rFonts w:ascii="Arial" w:hAnsi="Arial" w:cs="Arial"/>
                <w:sz w:val="20"/>
                <w:szCs w:val="20"/>
              </w:rPr>
              <w:t xml:space="preserve">Study assistant must have direct access to the investigator or study leader (documented for instance by means of a regular exchange).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Study secretariat</w:t>
            </w:r>
          </w:p>
          <w:p>
            <w:pPr>
              <w:spacing w:before="0" w:after="19"/>
              <w:rPr>
                <w:rFonts w:ascii="Arial" w:hAnsi="Arial" w:cs="Arial"/>
                <w:sz w:val="20"/>
                <w:szCs w:val="20"/>
                <w:lang w:val="ro-RO" w:bidi="ar-SA"/>
              </w:rPr>
            </w:pPr>
            <w:r>
              <w:rPr>
                <w:rFonts w:ascii="Arial" w:hAnsi="Arial" w:cs="Arial"/>
                <w:sz w:val="20"/>
                <w:szCs w:val="20"/>
              </w:rPr>
              <w:t>Dedicated premises are to be assigned for documentation and document storage activities.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Standard operating procedures (SOPs)</w:t>
              <w:br w:type="textWrapping"/>
              <w:t>The procedures for the acceptance/ initiation of new studies and the conduct of studies are to be specified, including responsibilities. This encompasses for instance:</w:t>
            </w:r>
          </w:p>
          <w:p>
            <w:pPr>
              <w:framePr w:w="0" w:h="0" w:hRule="auto" w:vSpace="0" w:hSpace="0" w:wrap="auto" w:hAnchor="text" w:x="0" w:xAlign="left" w:yAlign="inline" w:anchorLock="0"/>
              <w:numPr>
                <w:ilvl w:val="0"/>
                <w:numId w:val="64"/>
              </w:numPr>
              <w:spacing w:before="0" w:after="19"/>
              <w:ind w:hanging="283" w:left="283" w:right="0"/>
              <w:rPr>
                <w:rFonts w:ascii="Arial" w:hAnsi="Arial" w:cs="Arial"/>
                <w:sz w:val="20"/>
                <w:szCs w:val="20"/>
              </w:rPr>
            </w:pPr>
            <w:r>
              <w:rPr>
                <w:rFonts w:ascii="Arial" w:hAnsi="Arial" w:cs="Arial"/>
                <w:sz w:val="20"/>
                <w:szCs w:val="20"/>
              </w:rPr>
              <w:t>Selection of new studies incl. approval decisions</w:t>
            </w:r>
          </w:p>
          <w:p>
            <w:pPr>
              <w:framePr w:w="0" w:h="0" w:hRule="auto" w:vSpace="0" w:hSpace="0" w:wrap="auto" w:hAnchor="text" w:x="0" w:xAlign="left" w:yAlign="inline" w:anchorLock="0"/>
              <w:numPr>
                <w:ilvl w:val="0"/>
                <w:numId w:val="64"/>
              </w:numPr>
              <w:spacing w:before="0" w:after="19"/>
              <w:ind w:hanging="283" w:left="283" w:right="0"/>
              <w:rPr>
                <w:rFonts w:ascii="Arial" w:hAnsi="Arial" w:cs="Arial"/>
                <w:sz w:val="20"/>
                <w:szCs w:val="20"/>
              </w:rPr>
            </w:pPr>
            <w:r>
              <w:rPr>
                <w:rFonts w:ascii="Arial" w:hAnsi="Arial" w:cs="Arial"/>
                <w:sz w:val="20"/>
                <w:szCs w:val="20"/>
              </w:rPr>
              <w:t>Internal announcement of new studies (updating of study list (see Annex 2), …)</w:t>
            </w:r>
          </w:p>
          <w:p>
            <w:pPr>
              <w:framePr w:w="0" w:h="0" w:hRule="auto" w:vSpace="0" w:hSpace="0" w:wrap="auto" w:hAnchor="text" w:x="0" w:xAlign="left" w:yAlign="inline" w:anchorLock="0"/>
              <w:numPr>
                <w:ilvl w:val="0"/>
                <w:numId w:val="64"/>
              </w:numPr>
              <w:spacing w:before="0" w:after="19"/>
              <w:ind w:hanging="283" w:left="283" w:right="0"/>
              <w:rPr>
                <w:rFonts w:ascii="Arial" w:hAnsi="Arial" w:cs="Arial"/>
                <w:sz w:val="20"/>
                <w:szCs w:val="20"/>
              </w:rPr>
            </w:pPr>
            <w:r>
              <w:rPr>
                <w:rFonts w:ascii="Arial" w:hAnsi="Arial" w:cs="Arial"/>
                <w:sz w:val="20"/>
                <w:szCs w:val="20"/>
              </w:rPr>
              <w:t>Qualification of staff members involved</w:t>
            </w:r>
          </w:p>
          <w:p>
            <w:pPr>
              <w:framePr w:w="0" w:h="0" w:hRule="auto" w:vSpace="0" w:hSpace="0" w:wrap="auto" w:hAnchor="text" w:x="0" w:xAlign="left" w:yAlign="inline" w:anchorLock="0"/>
              <w:numPr>
                <w:ilvl w:val="0"/>
                <w:numId w:val="64"/>
              </w:numPr>
              <w:spacing w:before="0" w:after="19"/>
              <w:ind w:hanging="283" w:left="283" w:right="0"/>
              <w:rPr>
                <w:rFonts w:ascii="Arial" w:hAnsi="Arial" w:cs="Arial"/>
                <w:sz w:val="20"/>
                <w:szCs w:val="20"/>
              </w:rPr>
            </w:pPr>
            <w:r>
              <w:rPr>
                <w:rFonts w:ascii="Arial" w:hAnsi="Arial" w:cs="Arial"/>
                <w:sz w:val="20"/>
                <w:szCs w:val="20"/>
              </w:rPr>
              <w:t>Study organisation (specifics of support for study patients, documentation…)</w:t>
            </w:r>
          </w:p>
          <w:p>
            <w:pPr>
              <w:framePr w:w="0" w:h="0" w:hRule="auto" w:vSpace="0" w:hSpace="0" w:wrap="auto" w:hAnchor="text" w:x="0" w:xAlign="left" w:yAlign="inline" w:anchorLock="0"/>
              <w:numPr>
                <w:ilvl w:val="0"/>
                <w:numId w:val="64"/>
              </w:numPr>
              <w:spacing w:before="0" w:after="19"/>
              <w:ind w:hanging="283" w:left="283" w:right="0"/>
              <w:rPr>
                <w:rFonts w:ascii="Arial" w:hAnsi="Arial" w:cs="Arial"/>
                <w:sz w:val="20"/>
                <w:szCs w:val="20"/>
              </w:rPr>
            </w:pPr>
            <w:r>
              <w:rPr>
                <w:rFonts w:ascii="Arial" w:hAnsi="Arial" w:cs="Arial"/>
                <w:sz w:val="20"/>
                <w:szCs w:val="20"/>
              </w:rPr>
              <w:t>Communication exchange/ distribution of tasks between study secretariat and staff conducting the study</w:t>
            </w:r>
          </w:p>
          <w:p>
            <w:pPr>
              <w:framePr w:w="0" w:h="0" w:hRule="auto" w:vSpace="0" w:hSpace="0" w:wrap="auto" w:hAnchor="text" w:x="0" w:xAlign="left" w:yAlign="inline" w:anchorLock="0"/>
              <w:numPr>
                <w:ilvl w:val="0"/>
                <w:numId w:val="64"/>
              </w:numPr>
              <w:spacing w:before="0" w:after="19"/>
              <w:ind w:hanging="283" w:left="283" w:right="0"/>
              <w:rPr>
                <w:rFonts w:ascii="Arial" w:hAnsi="Arial" w:cs="Arial"/>
                <w:sz w:val="20"/>
                <w:szCs w:val="20"/>
              </w:rPr>
            </w:pPr>
            <w:r>
              <w:rPr>
                <w:rFonts w:ascii="Arial" w:hAnsi="Arial" w:cs="Arial"/>
                <w:sz w:val="20"/>
                <w:szCs w:val="20"/>
              </w:rPr>
              <w:t>Method of sharing study results (e.g. staff, patients)</w:t>
            </w:r>
          </w:p>
          <w:p>
            <w:pPr>
              <w:numPr>
                <w:ilvl w:val="0"/>
                <w:numId w:val="64"/>
              </w:numPr>
              <w:spacing w:before="0" w:after="19"/>
              <w:ind w:hanging="283" w:left="283"/>
              <w:rPr>
                <w:rFonts w:ascii="Arial" w:hAnsi="Arial" w:cs="Arial"/>
                <w:sz w:val="20"/>
                <w:szCs w:val="20"/>
                <w:lang w:val="ro-RO" w:bidi="ar-SA"/>
              </w:rPr>
            </w:pPr>
            <w:r>
              <w:rPr>
                <w:rFonts w:ascii="Arial" w:hAnsi="Arial" w:cs="Arial"/>
                <w:sz w:val="20"/>
                <w:szCs w:val="20"/>
              </w:rPr>
              <w:t>If drugs are prepared/ manufactured in the pharmacy as part of the study, the pharmacy must be involved prior to initiation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Access to studies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Access to the studies must be possible for patients. The studies conducted at the Oncology Centre are to be listed and, for instance, published on the website (incl. short description of the study).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Assignment to a study</w:t>
            </w:r>
          </w:p>
          <w:p>
            <w:pPr>
              <w:framePr w:w="0" w:h="0" w:hRule="auto" w:vSpace="0" w:hSpace="0" w:wrap="auto" w:hAnchor="text" w:x="0" w:xAlign="left" w:yAlign="inline" w:anchorLock="0"/>
              <w:numPr>
                <w:ilvl w:val="0"/>
                <w:numId w:val="65"/>
              </w:numPr>
              <w:spacing w:before="0" w:after="19"/>
              <w:ind w:hanging="283" w:left="283" w:right="0"/>
              <w:rPr>
                <w:rFonts w:ascii="Arial" w:hAnsi="Arial" w:cs="Arial"/>
                <w:sz w:val="20"/>
                <w:szCs w:val="20"/>
              </w:rPr>
            </w:pPr>
            <w:r>
              <w:rPr>
                <w:rFonts w:ascii="Arial" w:hAnsi="Arial" w:cs="Arial"/>
                <w:sz w:val="20"/>
                <w:szCs w:val="20"/>
              </w:rPr>
              <w:t>Before participation in a study is recommended to a patient, a patient-related discussion must have taken place in the interdisciplinary tumour board.</w:t>
            </w:r>
          </w:p>
          <w:p>
            <w:pPr>
              <w:framePr w:w="0" w:h="0" w:hRule="auto" w:vSpace="0" w:hSpace="0" w:wrap="auto" w:hAnchor="text" w:x="0" w:xAlign="left" w:yAlign="inline" w:anchorLock="0"/>
              <w:numPr>
                <w:ilvl w:val="0"/>
                <w:numId w:val="65"/>
              </w:numPr>
              <w:spacing w:before="0" w:after="19"/>
              <w:ind w:hanging="283" w:left="283" w:right="0"/>
              <w:rPr>
                <w:rFonts w:ascii="Arial" w:hAnsi="Arial" w:cs="Arial"/>
                <w:sz w:val="20"/>
                <w:szCs w:val="20"/>
              </w:rPr>
            </w:pPr>
            <w:r>
              <w:rPr>
                <w:rFonts w:ascii="Arial" w:hAnsi="Arial" w:cs="Arial"/>
                <w:sz w:val="20"/>
                <w:szCs w:val="20"/>
              </w:rPr>
              <w:t>The provisions for study participation are formulated in the organ-specific requirements (Organ Cancer Centre, Module, Focus). 5% of all tumour patients treated in the Oncology Centre should participate in studies.</w:t>
            </w:r>
          </w:p>
          <w:p>
            <w:pPr>
              <w:framePr w:w="0" w:h="0" w:hRule="auto" w:vSpace="0" w:hSpace="0" w:wrap="auto" w:hAnchor="text" w:x="0" w:xAlign="left" w:yAlign="inline" w:anchorLock="0"/>
              <w:numPr>
                <w:ilvl w:val="0"/>
                <w:numId w:val="65"/>
              </w:numPr>
              <w:spacing w:before="0" w:after="19"/>
              <w:ind w:hanging="283" w:left="283" w:right="0"/>
              <w:rPr>
                <w:rFonts w:ascii="Arial" w:hAnsi="Arial" w:cs="Arial"/>
                <w:sz w:val="20"/>
                <w:szCs w:val="20"/>
              </w:rPr>
            </w:pPr>
            <w:r>
              <w:rPr>
                <w:rFonts w:ascii="Arial" w:hAnsi="Arial" w:cs="Arial"/>
                <w:i w:val="1"/>
                <w:strike w:val="1"/>
                <w:sz w:val="20"/>
                <w:szCs w:val="20"/>
                <w:shd w:val="clear" w:color="auto" w:fill="00FE00"/>
              </w:rPr>
              <w:t>[only relevant for corresponding pilot project in CR GC]</w:t>
            </w:r>
            <w:r>
              <w:rPr>
                <w:rFonts w:ascii="Arial" w:hAnsi="Arial" w:cs="Arial"/>
                <w:sz w:val="20"/>
                <w:szCs w:val="20"/>
              </w:rPr>
              <w:t xml:space="preserve"> Study patients can be counted for 2 centers, provided that the sending center itself conducts at least one </w:t>
            </w:r>
            <w:r>
              <w:rPr>
                <w:rFonts w:ascii="Arial" w:hAnsi="Arial" w:cs="Arial"/>
                <w:strike w:val="1"/>
                <w:sz w:val="20"/>
                <w:szCs w:val="20"/>
                <w:shd w:val="clear" w:color="auto" w:fill="00FE00"/>
              </w:rPr>
              <w:t>own</w:t>
            </w:r>
            <w:r>
              <w:rPr>
                <w:rFonts w:ascii="Arial" w:hAnsi="Arial" w:cs="Arial"/>
                <w:sz w:val="20"/>
                <w:szCs w:val="20"/>
              </w:rPr>
              <w:t xml:space="preserve"> study for the tumor entity corresponding to the scope of the certificate. If this method of counting is chosen (facultative), the center must show how many patients are brought into its own studies, sent to other centers/clinics for study participation and taken over from other centers/clinics for study participation.</w:t>
            </w:r>
          </w:p>
          <w:p>
            <w:pPr>
              <w:framePr w:w="0" w:h="0" w:hRule="auto" w:vSpace="0" w:hSpace="0" w:wrap="auto" w:hAnchor="text" w:x="0" w:xAlign="left" w:yAlign="inline" w:anchorLock="0"/>
              <w:numPr>
                <w:ilvl w:val="0"/>
                <w:numId w:val="65"/>
              </w:numPr>
              <w:spacing w:before="0" w:after="19"/>
              <w:ind w:hanging="283" w:left="283" w:right="0"/>
              <w:rPr>
                <w:rFonts w:ascii="Arial" w:hAnsi="Arial" w:cs="Arial"/>
                <w:sz w:val="20"/>
                <w:szCs w:val="20"/>
              </w:rPr>
            </w:pPr>
            <w:r>
              <w:rPr>
                <w:rFonts w:ascii="Arial" w:hAnsi="Arial" w:cs="Arial"/>
                <w:sz w:val="20"/>
                <w:szCs w:val="20"/>
              </w:rPr>
              <w:t>Study participation is solely deemed to be the inclusion of patients in studies following a positive vote by the ethical committee combined with a study plan (non-interventionist/diagnostic studies are also recognised).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Communication of serious events </w:t>
            </w:r>
          </w:p>
          <w:p>
            <w:pPr>
              <w:spacing w:before="0" w:after="19"/>
              <w:rPr>
                <w:rFonts w:ascii="Arial" w:hAnsi="Arial" w:cs="Arial"/>
                <w:sz w:val="20"/>
                <w:szCs w:val="20"/>
                <w:lang w:val="ro-RO" w:bidi="ar-SA"/>
              </w:rPr>
            </w:pPr>
            <w:r>
              <w:rPr>
                <w:rFonts w:ascii="Arial" w:hAnsi="Arial" w:cs="Arial"/>
                <w:sz w:val="20"/>
                <w:szCs w:val="20"/>
              </w:rPr>
              <w:t>It must be ensured that the corresponding study secretariat is informed immediately of any serious adverse events (SAEs). This presupposes that the study status of each patient is absolutely clear to the specialty department.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If the unit conducting the study is not part of the clinic</w:t>
            </w:r>
          </w:p>
          <w:p>
            <w:pPr>
              <w:spacing w:before="0" w:after="19"/>
              <w:rPr>
                <w:rFonts w:ascii="Arial" w:hAnsi="Arial" w:cs="Arial"/>
                <w:sz w:val="20"/>
                <w:szCs w:val="20"/>
                <w:lang w:val="ro-RO" w:bidi="ar-SA"/>
              </w:rPr>
            </w:pPr>
            <w:r>
              <w:rPr>
                <w:rFonts w:ascii="Arial" w:hAnsi="Arial" w:cs="Arial"/>
                <w:sz w:val="20"/>
                <w:szCs w:val="20"/>
              </w:rPr>
              <w:t>Documentation of a written cooperation agreement is to be provided, that ensures compliance with all the Technical and Medical Requirements set out in this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1.7.13 G-BA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Research activity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Oncology Centre fulfils at least one of the following requirements for the field of oncology:</w:t>
            </w:r>
          </w:p>
          <w:p>
            <w:pPr>
              <w:framePr w:w="0" w:h="0" w:hRule="auto" w:vSpace="0" w:hSpace="0" w:wrap="auto" w:hAnchor="text" w:x="0" w:xAlign="left" w:yAlign="inline" w:anchorLock="0"/>
              <w:numPr>
                <w:ilvl w:val="0"/>
                <w:numId w:val="66"/>
              </w:numPr>
              <w:spacing w:before="0" w:after="19"/>
              <w:ind w:hanging="283" w:left="283" w:right="0"/>
              <w:rPr>
                <w:rFonts w:ascii="Arial" w:hAnsi="Arial" w:cs="Arial"/>
                <w:sz w:val="20"/>
                <w:szCs w:val="20"/>
              </w:rPr>
            </w:pPr>
            <w:r>
              <w:rPr>
                <w:rFonts w:ascii="Arial" w:hAnsi="Arial" w:cs="Arial"/>
                <w:sz w:val="20"/>
                <w:szCs w:val="20"/>
              </w:rPr>
              <w:t>Collaboration on guidelines and consensus papers (name and guideline/ consensus paper) and/or</w:t>
            </w:r>
          </w:p>
          <w:p>
            <w:pPr>
              <w:framePr w:w="0" w:h="0" w:hRule="auto" w:vSpace="0" w:hSpace="0" w:wrap="auto" w:hAnchor="text" w:x="0" w:xAlign="left" w:yAlign="inline" w:anchorLock="0"/>
              <w:numPr>
                <w:ilvl w:val="0"/>
                <w:numId w:val="66"/>
              </w:numPr>
              <w:spacing w:before="0" w:after="19"/>
              <w:ind w:hanging="283" w:left="283" w:right="0"/>
              <w:rPr>
                <w:rFonts w:ascii="Arial" w:hAnsi="Arial" w:cs="Arial"/>
                <w:sz w:val="20"/>
                <w:szCs w:val="20"/>
              </w:rPr>
            </w:pPr>
            <w:r>
              <w:rPr>
                <w:rFonts w:ascii="Arial" w:hAnsi="Arial" w:cs="Arial"/>
                <w:sz w:val="20"/>
                <w:szCs w:val="20"/>
              </w:rPr>
              <w:t>At least one annual scientific publication (international publication, peer-review procedure) (name of at least 1 publication with associated centre/ module) and/ or</w:t>
            </w:r>
          </w:p>
          <w:p>
            <w:pPr>
              <w:numPr>
                <w:ilvl w:val="0"/>
                <w:numId w:val="66"/>
              </w:numPr>
              <w:spacing w:before="0" w:after="19"/>
              <w:ind w:hanging="283" w:left="283"/>
              <w:rPr>
                <w:rFonts w:ascii="Arial" w:hAnsi="Arial" w:cs="Arial"/>
                <w:sz w:val="20"/>
                <w:szCs w:val="20"/>
                <w:lang w:val="ro-RO" w:bidi="ar-SA"/>
              </w:rPr>
            </w:pPr>
            <w:r>
              <w:rPr>
                <w:rFonts w:ascii="Arial" w:hAnsi="Arial" w:cs="Arial"/>
                <w:sz w:val="20"/>
                <w:szCs w:val="20"/>
              </w:rPr>
              <w:t>Participation in multicentre studies of evidence level Ib or lla</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1.8</w:t>
              <w:tab/>
              <w:t xml:space="preserve"> Nursing care</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Specialist oncology nurses (with the exception of paediatric oncological care).</w:t>
            </w:r>
          </w:p>
          <w:p>
            <w:pPr>
              <w:framePr w:w="0" w:h="0" w:hRule="auto" w:vSpace="0" w:hSpace="0" w:wrap="auto" w:hAnchor="text" w:x="0" w:xAlign="left" w:yAlign="inline" w:anchorLock="0"/>
              <w:numPr>
                <w:ilvl w:val="0"/>
                <w:numId w:val="67"/>
              </w:numPr>
              <w:spacing w:before="0" w:after="19"/>
              <w:ind w:hanging="283" w:left="283" w:right="0"/>
              <w:rPr>
                <w:rFonts w:ascii="Arial" w:hAnsi="Arial" w:cs="Arial"/>
                <w:sz w:val="20"/>
                <w:szCs w:val="20"/>
              </w:rPr>
            </w:pPr>
            <w:r>
              <w:rPr>
                <w:rFonts w:ascii="Arial" w:hAnsi="Arial" w:cs="Arial"/>
                <w:sz w:val="20"/>
                <w:szCs w:val="20"/>
              </w:rPr>
              <w:t>At least 2 full-time active specialist oncology nurses must be employed on day duty in the Oncology Centre.</w:t>
            </w:r>
          </w:p>
          <w:p>
            <w:pPr>
              <w:framePr w:w="0" w:h="0" w:hRule="auto" w:vSpace="0" w:hSpace="0" w:wrap="auto" w:hAnchor="text" w:x="0" w:xAlign="left" w:yAlign="inline" w:anchorLock="0"/>
              <w:numPr>
                <w:ilvl w:val="0"/>
                <w:numId w:val="67"/>
              </w:numPr>
              <w:spacing w:before="0" w:after="19"/>
              <w:ind w:hanging="283" w:left="283" w:right="0"/>
              <w:rPr>
                <w:rFonts w:ascii="Arial" w:hAnsi="Arial" w:cs="Arial"/>
                <w:sz w:val="20"/>
                <w:szCs w:val="20"/>
              </w:rPr>
            </w:pPr>
            <w:r>
              <w:rPr>
                <w:rFonts w:ascii="Arial" w:hAnsi="Arial" w:cs="Arial"/>
                <w:sz w:val="20"/>
                <w:szCs w:val="20"/>
              </w:rPr>
              <w:t>Specialist oncology nurses must be designated by name.</w:t>
            </w:r>
          </w:p>
          <w:p>
            <w:pPr>
              <w:framePr w:w="0" w:h="0" w:hRule="auto" w:vSpace="0" w:hSpace="0" w:wrap="auto" w:hAnchor="text" w:x="0" w:xAlign="left" w:yAlign="inline" w:anchorLock="0"/>
              <w:numPr>
                <w:ilvl w:val="0"/>
                <w:numId w:val="67"/>
              </w:numPr>
              <w:spacing w:before="0" w:after="19"/>
              <w:ind w:hanging="283" w:left="283" w:right="0"/>
              <w:rPr>
                <w:rFonts w:ascii="Arial" w:hAnsi="Arial" w:cs="Arial"/>
                <w:sz w:val="20"/>
                <w:szCs w:val="20"/>
              </w:rPr>
            </w:pPr>
            <w:r>
              <w:rPr>
                <w:rFonts w:ascii="Arial" w:hAnsi="Arial" w:cs="Arial"/>
                <w:sz w:val="20"/>
                <w:szCs w:val="20"/>
              </w:rPr>
              <w:t>Active care by a specialist oncology nurse must be documented in the units in which patients receive inpatient oncology care.</w:t>
            </w:r>
          </w:p>
          <w:p>
            <w:pPr>
              <w:framePr w:w="0" w:h="0" w:hRule="auto" w:vSpace="0" w:hSpace="0" w:wrap="auto" w:hAnchor="text" w:x="0" w:xAlign="left" w:yAlign="inline" w:anchorLock="0"/>
              <w:numPr>
                <w:ilvl w:val="0"/>
                <w:numId w:val="67"/>
              </w:numPr>
              <w:spacing w:before="0" w:after="19"/>
              <w:ind w:hanging="283" w:left="283" w:right="0"/>
              <w:rPr>
                <w:rFonts w:ascii="Arial" w:hAnsi="Arial" w:cs="Arial"/>
                <w:sz w:val="20"/>
                <w:szCs w:val="20"/>
              </w:rPr>
            </w:pPr>
            <w:r>
              <w:rPr>
                <w:rFonts w:ascii="Arial" w:hAnsi="Arial" w:cs="Arial"/>
                <w:sz w:val="20"/>
                <w:szCs w:val="20"/>
              </w:rPr>
              <w:t>If no specialist oncology nurse is directly employed in an inpatient oncology unit, a specialist oncology nurse is to be designated by name and his/ her performance of tasks is to be formalised in writing and documented.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The preconditions for recognition as </w:t>
            </w:r>
            <w:r>
              <w:rPr>
                <w:rFonts w:ascii="Arial" w:hAnsi="Arial" w:cs="Arial"/>
                <w:sz w:val="20"/>
                <w:szCs w:val="20"/>
                <w:shd w:val="clear" w:color="auto" w:fill="00FF00"/>
              </w:rPr>
              <w:t>specialist oncology nurse</w:t>
            </w:r>
            <w:r>
              <w:rPr>
                <w:rFonts w:ascii="Arial" w:hAnsi="Arial" w:cs="Arial"/>
                <w:strike w:val="1"/>
                <w:sz w:val="20"/>
                <w:szCs w:val="20"/>
                <w:shd w:val="clear" w:color="auto" w:fill="00FF00"/>
              </w:rPr>
              <w:t xml:space="preserve"> </w:t>
            </w:r>
            <w:r>
              <w:rPr>
                <w:rFonts w:ascii="Arial" w:hAnsi="Arial" w:cs="Arial"/>
                <w:strike w:val="1"/>
                <w:sz w:val="20"/>
                <w:szCs w:val="20"/>
                <w:shd w:val="clear" w:color="auto" w:fill="00FE00"/>
              </w:rPr>
              <w:t>oncology nursing staff</w:t>
            </w:r>
            <w:r>
              <w:rPr>
                <w:rFonts w:ascii="Arial" w:hAnsi="Arial" w:cs="Arial"/>
                <w:sz w:val="20"/>
                <w:szCs w:val="20"/>
              </w:rPr>
              <w:t xml:space="preserve"> are</w:t>
            </w:r>
          </w:p>
          <w:p>
            <w:pPr>
              <w:framePr w:w="0" w:h="0" w:hRule="auto" w:vSpace="0" w:hSpace="0" w:wrap="auto" w:hAnchor="text" w:x="0" w:xAlign="left" w:yAlign="inline" w:anchorLock="0"/>
              <w:numPr>
                <w:ilvl w:val="0"/>
                <w:numId w:val="68"/>
              </w:numPr>
              <w:spacing w:before="0" w:after="19"/>
              <w:ind w:hanging="283" w:left="283" w:right="0"/>
              <w:rPr>
                <w:rFonts w:ascii="Arial" w:hAnsi="Arial" w:cs="Arial"/>
                <w:sz w:val="20"/>
                <w:szCs w:val="20"/>
              </w:rPr>
            </w:pPr>
            <w:r>
              <w:rPr>
                <w:rFonts w:ascii="Arial" w:hAnsi="Arial" w:cs="Arial"/>
                <w:sz w:val="20"/>
                <w:szCs w:val="20"/>
              </w:rPr>
              <w:t>Continuing education as</w:t>
            </w:r>
            <w:r>
              <w:rPr>
                <w:rFonts w:ascii="Arial" w:hAnsi="Arial" w:cs="Arial"/>
                <w:sz w:val="20"/>
                <w:szCs w:val="20"/>
                <w:shd w:val="clear" w:color="auto" w:fill="00FF00"/>
              </w:rPr>
              <w:t xml:space="preserve"> specialist oncology nurse </w:t>
            </w:r>
            <w:r>
              <w:rPr>
                <w:rFonts w:ascii="Arial" w:hAnsi="Arial" w:cs="Arial"/>
                <w:strike w:val="1"/>
                <w:sz w:val="20"/>
                <w:szCs w:val="20"/>
                <w:shd w:val="clear" w:color="auto" w:fill="00FF00"/>
              </w:rPr>
              <w:t>on</w:t>
            </w:r>
            <w:r>
              <w:rPr>
                <w:rFonts w:ascii="Arial" w:hAnsi="Arial" w:cs="Arial"/>
                <w:strike w:val="1"/>
                <w:sz w:val="20"/>
                <w:szCs w:val="20"/>
                <w:shd w:val="clear" w:color="auto" w:fill="00FE00"/>
              </w:rPr>
              <w:t>cology nursing staff</w:t>
            </w:r>
            <w:r>
              <w:rPr>
                <w:rFonts w:ascii="Arial" w:hAnsi="Arial" w:cs="Arial"/>
                <w:sz w:val="20"/>
                <w:szCs w:val="20"/>
              </w:rPr>
              <w:t xml:space="preserve"> according to the country-specific regulations</w:t>
            </w:r>
          </w:p>
          <w:p>
            <w:pPr>
              <w:framePr w:w="0" w:h="0" w:hRule="auto" w:vSpace="0" w:hSpace="0" w:wrap="auto" w:hAnchor="text" w:x="0" w:xAlign="left" w:yAlign="inline" w:anchorLock="0"/>
              <w:numPr>
                <w:ilvl w:val="0"/>
                <w:numId w:val="68"/>
              </w:numPr>
              <w:spacing w:before="0" w:after="19"/>
              <w:ind w:hanging="283" w:left="283" w:right="0"/>
              <w:rPr>
                <w:rFonts w:ascii="Arial" w:hAnsi="Arial" w:cs="Arial"/>
                <w:sz w:val="20"/>
                <w:szCs w:val="20"/>
              </w:rPr>
            </w:pPr>
            <w:r>
              <w:rPr>
                <w:rFonts w:ascii="Arial" w:hAnsi="Arial" w:cs="Arial"/>
                <w:sz w:val="20"/>
                <w:szCs w:val="20"/>
              </w:rPr>
              <w:t>Or according to the model of the German Hospital Federation (Deutsche Krankenhausgesellschaft e.V. DKG)</w:t>
            </w:r>
            <w:r>
              <w:rPr>
                <w:rFonts w:ascii="Arial" w:hAnsi="Arial" w:cs="Arial"/>
                <w:sz w:val="20"/>
                <w:szCs w:val="20"/>
                <w:shd w:val="clear" w:color="auto" w:fill="00FD00"/>
              </w:rPr>
              <w:t xml:space="preserve"> or continuing education regulations of a state nursing chamber</w:t>
            </w:r>
          </w:p>
          <w:p>
            <w:pPr>
              <w:framePr w:w="0" w:h="0" w:hRule="auto" w:vSpace="0" w:hSpace="0" w:wrap="auto" w:hAnchor="text" w:x="0" w:xAlign="left" w:yAlign="inline" w:anchorLock="0"/>
              <w:numPr>
                <w:ilvl w:val="0"/>
                <w:numId w:val="68"/>
              </w:numPr>
              <w:spacing w:before="0" w:after="19"/>
              <w:ind w:hanging="283" w:left="283" w:right="0"/>
              <w:rPr>
                <w:rFonts w:ascii="Arial" w:hAnsi="Arial" w:cs="Arial"/>
                <w:sz w:val="20"/>
                <w:szCs w:val="20"/>
              </w:rPr>
            </w:pPr>
            <w:r>
              <w:rPr>
                <w:rFonts w:ascii="Arial" w:hAnsi="Arial" w:cs="Arial"/>
                <w:sz w:val="20"/>
                <w:szCs w:val="20"/>
                <w:shd w:val="clear" w:color="auto" w:fill="00FD00"/>
              </w:rPr>
              <w:t>Or a BSc degree in nursing with sufficient oncology content, for which a KOK committee has assessed and confirmed equivalence to the above-mentioned degrees based on defined criteria, plus 2 years of practical professional experienc</w:t>
            </w:r>
            <w:r>
              <w:rPr>
                <w:rFonts w:ascii="Arial" w:hAnsi="Arial" w:cs="Arial"/>
                <w:sz w:val="20"/>
                <w:szCs w:val="20"/>
                <w:shd w:val="clear" w:color="auto" w:fill="00FF00"/>
              </w:rPr>
              <w:t xml:space="preserve">e (equivalent to a full time position) in the </w:t>
            </w:r>
            <w:r>
              <w:rPr>
                <w:rFonts w:ascii="Arial" w:hAnsi="Arial" w:cs="Arial"/>
                <w:sz w:val="20"/>
                <w:szCs w:val="20"/>
                <w:shd w:val="clear" w:color="auto" w:fill="00FD00"/>
              </w:rPr>
              <w:t>oncology field to be certified.</w:t>
            </w:r>
          </w:p>
          <w:p>
            <w:pPr>
              <w:framePr w:w="0" w:h="0" w:hRule="auto" w:vSpace="0" w:hSpace="0" w:wrap="auto" w:hAnchor="text" w:x="0" w:xAlign="left" w:yAlign="inline" w:anchorLock="0"/>
              <w:numPr>
                <w:ilvl w:val="0"/>
                <w:numId w:val="68"/>
              </w:numPr>
              <w:spacing w:before="0" w:after="19"/>
              <w:ind w:hanging="283" w:left="283" w:right="0"/>
              <w:rPr>
                <w:rFonts w:ascii="Arial" w:hAnsi="Arial" w:cs="Arial"/>
                <w:sz w:val="20"/>
                <w:szCs w:val="20"/>
              </w:rPr>
            </w:pPr>
            <w:r>
              <w:rPr>
                <w:rFonts w:ascii="Arial" w:hAnsi="Arial" w:cs="Arial"/>
                <w:sz w:val="20"/>
                <w:szCs w:val="20"/>
              </w:rPr>
              <w:t>Or Advanced Practice Nurse (Master’s Programme name) plus 2 years’ practical on-the-job experience (equivalent to a full time position) in the oncological sector to be certified.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shd w:val="clear" w:color="auto" w:fill="00FF00"/>
              </w:rPr>
              <w:t>The specialist oncology nurses are to be listed in Appendix 4.</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Responsibilities/ tasks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Patient-related tasks:</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rPr>
              <w:t>If applicable, (symptom) screening in oncological patients (see section 1.2.17) and specialist assessment of symptoms, side effects and stress/ strain</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rPr>
              <w:t>Individual derivation of interventions based on the nursing standards</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rPr>
              <w:t>Conduct and evaluation of nursing and therapeutic measures</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rPr>
              <w:t>Identification of individual patient-based counselling needs.</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rPr>
              <w:t>The specialist counselling needs are already to be defined in the nursing concept of the individual Organ Cancer Centres.</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rPr>
              <w:t>Ongoing information and counselling of patients (and their family members) during the entire course of the disease</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rPr>
              <w:t>Conduct, coordination and documentation of structured counselling sessions and guidance of patients and family members, if necessary on the basis of the above-mentioned screening/assessment, including other areas of support.</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rPr>
              <w:t>Participation in the tumour board</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rPr>
              <w:t>Initiation of and participation in multi-disciplinary case discussions/nursing visits; the aim is to find a solution in complex nursing situations; criteria for the selection of patients are to be laid down</w:t>
            </w:r>
            <w:r>
              <w:rPr>
                <w:rFonts w:ascii="Arial" w:hAnsi="Arial" w:cs="Arial"/>
                <w:strike w:val="1"/>
                <w:sz w:val="20"/>
                <w:szCs w:val="20"/>
                <w:shd w:val="clear" w:color="auto" w:fill="00FE00"/>
              </w:rPr>
              <w:t>; per year and Oncology Centre case discussions/nursing visits are to be documented regularly of the Oncology Centre</w:t>
            </w:r>
          </w:p>
          <w:p>
            <w:pPr>
              <w:framePr w:w="0" w:h="0" w:hRule="auto" w:vSpace="0" w:hSpace="0" w:wrap="auto" w:hAnchor="text" w:x="0" w:xAlign="left" w:yAlign="inline" w:anchorLock="0"/>
              <w:numPr>
                <w:ilvl w:val="0"/>
                <w:numId w:val="69"/>
              </w:numPr>
              <w:spacing w:before="0" w:after="19"/>
              <w:ind w:hanging="283" w:left="283" w:right="0"/>
              <w:rPr>
                <w:rFonts w:ascii="Arial" w:hAnsi="Arial" w:cs="Arial"/>
                <w:sz w:val="20"/>
                <w:szCs w:val="20"/>
              </w:rPr>
            </w:pPr>
            <w:r>
              <w:rPr>
                <w:rFonts w:ascii="Arial" w:hAnsi="Arial" w:cs="Arial"/>
                <w:sz w:val="20"/>
                <w:szCs w:val="20"/>
                <w:shd w:val="clear" w:color="auto" w:fill="00FF00"/>
              </w:rPr>
              <w:t>The implementation of oncology nursing rounds at the centre must be documented in accordance with the model SOP ‘Oncology Nursing Rounds’. At least one nursing round or case discussion per month must be documented in each organ cancer centre.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Overarching activities:</w:t>
            </w:r>
          </w:p>
          <w:p>
            <w:pPr>
              <w:framePr w:w="0" w:h="0" w:hRule="auto" w:vSpace="0" w:hSpace="0" w:wrap="auto" w:hAnchor="text" w:x="0" w:xAlign="left" w:yAlign="inline" w:anchorLock="0"/>
              <w:numPr>
                <w:ilvl w:val="0"/>
                <w:numId w:val="70"/>
              </w:numPr>
              <w:spacing w:before="0" w:after="19"/>
              <w:ind w:hanging="283" w:left="283" w:right="0"/>
              <w:rPr>
                <w:rFonts w:ascii="Arial" w:hAnsi="Arial" w:cs="Arial"/>
                <w:sz w:val="20"/>
                <w:szCs w:val="20"/>
              </w:rPr>
            </w:pPr>
            <w:r>
              <w:rPr>
                <w:rFonts w:ascii="Arial" w:hAnsi="Arial" w:cs="Arial"/>
                <w:sz w:val="20"/>
                <w:szCs w:val="20"/>
              </w:rPr>
              <w:t>A nursing concept is to be developed and implemented in which the organ-specific features of oncological nursing care are to be taken into account in the Organ Cancer Centres/ Modules.</w:t>
            </w:r>
          </w:p>
          <w:p>
            <w:pPr>
              <w:framePr w:w="0" w:h="0" w:hRule="auto" w:vSpace="0" w:hSpace="0" w:wrap="auto" w:hAnchor="text" w:x="0" w:xAlign="left" w:yAlign="inline" w:anchorLock="0"/>
              <w:numPr>
                <w:ilvl w:val="0"/>
                <w:numId w:val="70"/>
              </w:numPr>
              <w:spacing w:before="0" w:after="19"/>
              <w:ind w:hanging="283" w:left="283" w:right="0"/>
              <w:rPr>
                <w:rFonts w:ascii="Arial" w:hAnsi="Arial" w:cs="Arial"/>
                <w:sz w:val="20"/>
                <w:szCs w:val="20"/>
              </w:rPr>
            </w:pPr>
            <w:r>
              <w:rPr>
                <w:rFonts w:ascii="Arial" w:hAnsi="Arial" w:cs="Arial"/>
                <w:sz w:val="20"/>
                <w:szCs w:val="20"/>
              </w:rPr>
              <w:t>Drawing up of specialist, in-house standards on the basis of (if possible) evidence-based guidelines (e.g. S3 Evidence-based Guideline for Supportive Therapy).</w:t>
            </w:r>
          </w:p>
          <w:p>
            <w:pPr>
              <w:framePr w:w="0" w:h="0" w:hRule="auto" w:vSpace="0" w:hSpace="0" w:wrap="auto" w:hAnchor="text" w:x="0" w:xAlign="left" w:yAlign="inline" w:anchorLock="0"/>
              <w:numPr>
                <w:ilvl w:val="0"/>
                <w:numId w:val="70"/>
              </w:numPr>
              <w:spacing w:before="0" w:after="19"/>
              <w:ind w:hanging="283" w:left="283" w:right="0"/>
              <w:rPr>
                <w:rFonts w:ascii="Arial" w:hAnsi="Arial" w:cs="Arial"/>
                <w:sz w:val="20"/>
                <w:szCs w:val="20"/>
              </w:rPr>
            </w:pPr>
            <w:r>
              <w:rPr>
                <w:rFonts w:ascii="Arial" w:hAnsi="Arial" w:cs="Arial"/>
                <w:sz w:val="20"/>
                <w:szCs w:val="20"/>
              </w:rPr>
              <w:t>Offer of consultation/supervision by colleagues</w:t>
            </w:r>
          </w:p>
          <w:p>
            <w:pPr>
              <w:framePr w:w="0" w:h="0" w:hRule="auto" w:vSpace="0" w:hSpace="0" w:wrap="auto" w:hAnchor="text" w:x="0" w:xAlign="left" w:yAlign="inline" w:anchorLock="0"/>
              <w:numPr>
                <w:ilvl w:val="0"/>
                <w:numId w:val="70"/>
              </w:numPr>
              <w:spacing w:before="0" w:after="19"/>
              <w:ind w:hanging="283" w:left="283" w:right="0"/>
              <w:rPr>
                <w:rFonts w:ascii="Arial" w:hAnsi="Arial" w:cs="Arial"/>
                <w:sz w:val="20"/>
                <w:szCs w:val="20"/>
              </w:rPr>
            </w:pPr>
            <w:r>
              <w:rPr>
                <w:rFonts w:ascii="Arial" w:hAnsi="Arial" w:cs="Arial"/>
                <w:sz w:val="20"/>
                <w:szCs w:val="20"/>
              </w:rPr>
              <w:t>Networking of specialist oncological nurses in the Oncology Centre, for instance in the joint quality circles</w:t>
            </w:r>
          </w:p>
          <w:p>
            <w:pPr>
              <w:framePr w:w="0" w:h="0" w:hRule="auto" w:vSpace="0" w:hSpace="0" w:wrap="auto" w:hAnchor="text" w:x="0" w:xAlign="left" w:yAlign="inline" w:anchorLock="0"/>
              <w:numPr>
                <w:ilvl w:val="0"/>
                <w:numId w:val="70"/>
              </w:numPr>
              <w:spacing w:before="0" w:after="19"/>
              <w:ind w:hanging="283" w:left="283" w:right="0"/>
              <w:rPr>
                <w:rFonts w:ascii="Arial" w:hAnsi="Arial" w:cs="Arial"/>
                <w:sz w:val="20"/>
                <w:szCs w:val="20"/>
              </w:rPr>
            </w:pPr>
            <w:r>
              <w:rPr>
                <w:rFonts w:ascii="Arial" w:hAnsi="Arial" w:cs="Arial"/>
                <w:sz w:val="20"/>
                <w:szCs w:val="20"/>
              </w:rPr>
              <w:t>And, there, organisation of the training plan for the Oncology Centre with its Organ Cancer Centres/ Modules (in line with Section 1.8.5).</w:t>
            </w:r>
          </w:p>
          <w:p>
            <w:pPr>
              <w:framePr w:w="0" w:h="0" w:hRule="auto" w:vSpace="0" w:hSpace="0" w:wrap="auto" w:hAnchor="text" w:x="0" w:xAlign="left" w:yAlign="inline" w:anchorLock="0"/>
              <w:numPr>
                <w:ilvl w:val="0"/>
                <w:numId w:val="70"/>
              </w:numPr>
              <w:spacing w:before="0" w:after="19"/>
              <w:ind w:hanging="283" w:left="283" w:right="0"/>
              <w:rPr>
                <w:rFonts w:ascii="Arial" w:hAnsi="Arial" w:cs="Arial"/>
                <w:sz w:val="20"/>
                <w:szCs w:val="20"/>
              </w:rPr>
            </w:pPr>
            <w:r>
              <w:rPr>
                <w:rFonts w:ascii="Arial" w:hAnsi="Arial" w:cs="Arial"/>
                <w:sz w:val="20"/>
                <w:szCs w:val="20"/>
              </w:rPr>
              <w:t>Exchange with all professional groups involved in treatment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Responsibility for implementing the requirements to be met by the </w:t>
            </w:r>
            <w:r>
              <w:rPr>
                <w:rFonts w:ascii="Arial" w:hAnsi="Arial" w:cs="Arial"/>
                <w:sz w:val="20"/>
                <w:szCs w:val="20"/>
                <w:shd w:val="clear" w:color="auto" w:fill="00FF00"/>
              </w:rPr>
              <w:t xml:space="preserve">specialist oncological </w:t>
            </w:r>
            <w:r>
              <w:rPr>
                <w:rFonts w:ascii="Arial" w:hAnsi="Arial" w:cs="Arial"/>
                <w:sz w:val="20"/>
                <w:szCs w:val="20"/>
              </w:rPr>
              <w:t>nurse administering chemotherapy (see Section 6.2.3)</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Induction</w:t>
            </w:r>
          </w:p>
          <w:p>
            <w:pPr>
              <w:spacing w:before="0" w:after="19"/>
              <w:rPr>
                <w:rFonts w:ascii="Arial" w:hAnsi="Arial" w:cs="Arial"/>
                <w:sz w:val="20"/>
                <w:szCs w:val="20"/>
                <w:lang w:val="ro-RO" w:bidi="ar-SA"/>
              </w:rPr>
            </w:pPr>
            <w:r>
              <w:rPr>
                <w:rFonts w:ascii="Arial" w:hAnsi="Arial" w:cs="Arial"/>
                <w:sz w:val="20"/>
                <w:szCs w:val="20"/>
              </w:rPr>
              <w:t>The induction of new staff members is to be done on the basis of an oncological induction catalogue/plan with the participation of the specialist oncology nurse.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framePr w:w="0" w:h="0" w:hRule="auto" w:vSpace="0" w:hSpace="0" w:wrap="auto" w:hAnchor="text" w:x="0" w:xAlign="left" w:yAlign="inline" w:anchorLock="0"/>
              <w:numPr>
                <w:ilvl w:val="0"/>
                <w:numId w:val="71"/>
              </w:numPr>
              <w:spacing w:before="0" w:after="19"/>
              <w:ind w:hanging="283" w:left="283" w:right="0"/>
              <w:rPr>
                <w:rFonts w:ascii="Arial" w:hAnsi="Arial" w:cs="Arial"/>
                <w:sz w:val="20"/>
                <w:szCs w:val="20"/>
              </w:rPr>
            </w:pPr>
            <w:r>
              <w:rPr>
                <w:rFonts w:ascii="Arial" w:hAnsi="Arial" w:cs="Arial"/>
                <w:sz w:val="20"/>
                <w:szCs w:val="20"/>
              </w:rPr>
              <w:t>A qualification plan for nursing staff is to be presented listing the planned qualification sessions for the period of one year.</w:t>
            </w:r>
          </w:p>
          <w:p>
            <w:pPr>
              <w:numPr>
                <w:ilvl w:val="0"/>
                <w:numId w:val="71"/>
              </w:numPr>
              <w:spacing w:before="0" w:after="19"/>
              <w:ind w:hanging="283" w:left="283"/>
              <w:rPr>
                <w:rFonts w:ascii="Arial" w:hAnsi="Arial" w:cs="Arial"/>
                <w:sz w:val="20"/>
                <w:szCs w:val="20"/>
                <w:lang w:val="ro-RO" w:bidi="ar-SA"/>
              </w:rPr>
            </w:pPr>
            <w:r>
              <w:rPr>
                <w:rFonts w:ascii="Arial" w:hAnsi="Arial" w:cs="Arial"/>
                <w:sz w:val="20"/>
                <w:szCs w:val="20"/>
              </w:rPr>
              <w:t>At least one specific continuing education/specialty training session for each staff member (minimum one day a year) if they carry out quality-relevant activities for the Oncology Centre.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1.9</w:t>
              <w:tab/>
              <w:t xml:space="preserve"> General service areas (pharmacy, nutritional counselling, speech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Pharmaceutical care qualification</w:t>
            </w:r>
          </w:p>
          <w:p>
            <w:pPr>
              <w:framePr w:w="0" w:h="0" w:hRule="auto" w:vSpace="0" w:hSpace="0" w:wrap="auto" w:hAnchor="text" w:x="0" w:xAlign="left" w:yAlign="inline" w:anchorLock="0"/>
              <w:numPr>
                <w:ilvl w:val="0"/>
                <w:numId w:val="72"/>
              </w:numPr>
              <w:spacing w:before="0" w:after="19"/>
              <w:ind w:hanging="283" w:left="283" w:right="0"/>
              <w:rPr>
                <w:rFonts w:ascii="Arial" w:hAnsi="Arial" w:cs="Arial"/>
                <w:sz w:val="20"/>
                <w:szCs w:val="20"/>
              </w:rPr>
            </w:pPr>
            <w:r>
              <w:rPr>
                <w:rFonts w:ascii="Arial" w:hAnsi="Arial" w:cs="Arial"/>
                <w:sz w:val="20"/>
                <w:szCs w:val="20"/>
              </w:rPr>
              <w:t>Qualified pharmacist</w:t>
            </w:r>
          </w:p>
          <w:p>
            <w:pPr>
              <w:framePr w:w="0" w:h="0" w:hRule="auto" w:vSpace="0" w:hSpace="0" w:wrap="auto" w:hAnchor="text" w:x="0" w:xAlign="left" w:yAlign="inline" w:anchorLock="0"/>
              <w:numPr>
                <w:ilvl w:val="0"/>
                <w:numId w:val="72"/>
              </w:numPr>
              <w:spacing w:before="0" w:after="19"/>
              <w:ind w:hanging="283" w:left="283" w:right="0"/>
              <w:rPr>
                <w:rFonts w:ascii="Arial" w:hAnsi="Arial" w:cs="Arial"/>
                <w:sz w:val="20"/>
                <w:szCs w:val="20"/>
              </w:rPr>
            </w:pPr>
            <w:r>
              <w:rPr>
                <w:rFonts w:ascii="Arial" w:hAnsi="Arial" w:cs="Arial"/>
                <w:sz w:val="20"/>
                <w:szCs w:val="20"/>
              </w:rPr>
              <w:t>Desired additional qualifications:</w:t>
            </w:r>
          </w:p>
          <w:p>
            <w:pPr>
              <w:spacing w:before="0" w:after="19"/>
              <w:rPr>
                <w:rFonts w:ascii="Arial" w:hAnsi="Arial" w:cs="Arial"/>
                <w:sz w:val="20"/>
                <w:szCs w:val="20"/>
                <w:lang w:val="ro-RO" w:bidi="ar-SA"/>
              </w:rPr>
            </w:pPr>
            <w:r>
              <w:rPr>
                <w:rFonts w:ascii="Arial" w:hAnsi="Arial" w:cs="Arial"/>
                <w:sz w:val="20"/>
                <w:szCs w:val="20"/>
              </w:rPr>
              <w:t>Continuing education/ specialty training approved by the pharmaceutical associations (Apothekenkammern) or DGOP in the field of oncological pharmaceutics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Offer and access</w:t>
            </w:r>
          </w:p>
          <w:p>
            <w:pPr>
              <w:spacing w:before="0" w:after="19"/>
              <w:rPr>
                <w:rFonts w:ascii="Arial" w:hAnsi="Arial" w:cs="Arial"/>
                <w:sz w:val="20"/>
                <w:szCs w:val="20"/>
                <w:lang w:val="ro-RO" w:bidi="ar-SA"/>
              </w:rPr>
            </w:pPr>
            <w:r>
              <w:rPr>
                <w:rFonts w:ascii="Arial" w:hAnsi="Arial" w:cs="Arial"/>
                <w:sz w:val="20"/>
                <w:szCs w:val="20"/>
              </w:rPr>
              <w:t>If required, the pharmacist specialised in oncology is to provide physicians, nursing staff and patients with information and advice (must be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Resources</w:t>
            </w:r>
          </w:p>
          <w:p>
            <w:pPr>
              <w:spacing w:before="0" w:after="19"/>
              <w:rPr>
                <w:rFonts w:ascii="Arial" w:hAnsi="Arial" w:cs="Arial"/>
                <w:sz w:val="20"/>
                <w:szCs w:val="20"/>
                <w:lang w:val="ro-RO" w:bidi="ar-SA"/>
              </w:rPr>
            </w:pPr>
            <w:r>
              <w:rPr>
                <w:rFonts w:ascii="Arial" w:hAnsi="Arial" w:cs="Arial"/>
                <w:sz w:val="20"/>
                <w:szCs w:val="20"/>
              </w:rPr>
              <w:t>Adequate resources are to be assigned to pharmaceutical care and support.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Organisation chart</w:t>
            </w:r>
          </w:p>
          <w:p>
            <w:pPr>
              <w:spacing w:before="0" w:after="19"/>
              <w:rPr>
                <w:rFonts w:ascii="Arial" w:hAnsi="Arial" w:cs="Arial"/>
                <w:sz w:val="20"/>
                <w:szCs w:val="20"/>
                <w:lang w:val="ro-RO" w:bidi="ar-SA"/>
              </w:rPr>
            </w:pPr>
            <w:r>
              <w:rPr>
                <w:rFonts w:ascii="Arial" w:hAnsi="Arial" w:cs="Arial"/>
                <w:sz w:val="20"/>
                <w:szCs w:val="20"/>
              </w:rPr>
              <w:t>If pharmaceutical-oncological care and support are provided by external cooperation partners or for several clinical sites and clinic facilities, the performance of tasks is to be laid down in an organisation chart in which, inter alia, resource availability and local processes (deliveries, orders, etc.) are clearly set out.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Pharmacy – task profile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Objectives and tasks of pharmaceutical care and support:</w:t>
            </w:r>
          </w:p>
          <w:p>
            <w:pPr>
              <w:framePr w:w="0" w:h="0" w:hRule="auto" w:vSpace="0" w:hSpace="0" w:wrap="auto" w:hAnchor="text" w:x="0" w:xAlign="left" w:yAlign="inline" w:anchorLock="0"/>
              <w:numPr>
                <w:ilvl w:val="0"/>
                <w:numId w:val="73"/>
              </w:numPr>
              <w:spacing w:before="0" w:after="19"/>
              <w:ind w:hanging="283" w:left="283" w:right="0"/>
              <w:rPr>
                <w:rFonts w:ascii="Arial" w:hAnsi="Arial" w:cs="Arial"/>
                <w:sz w:val="20"/>
                <w:szCs w:val="20"/>
              </w:rPr>
            </w:pPr>
            <w:r>
              <w:rPr>
                <w:rFonts w:ascii="Arial" w:hAnsi="Arial" w:cs="Arial"/>
                <w:sz w:val="20"/>
                <w:szCs w:val="20"/>
              </w:rPr>
              <w:t>Possibility of daily (7d) centralised quality-assured production of the active ingredients needed for intravenous tumour therapy</w:t>
            </w:r>
          </w:p>
          <w:p>
            <w:pPr>
              <w:framePr w:w="0" w:h="0" w:hRule="auto" w:vSpace="0" w:hSpace="0" w:wrap="auto" w:hAnchor="text" w:x="0" w:xAlign="left" w:yAlign="inline" w:anchorLock="0"/>
              <w:numPr>
                <w:ilvl w:val="0"/>
                <w:numId w:val="73"/>
              </w:numPr>
              <w:spacing w:before="0" w:after="19"/>
              <w:ind w:hanging="283" w:left="283" w:right="0"/>
              <w:rPr>
                <w:rFonts w:ascii="Arial" w:hAnsi="Arial" w:cs="Arial"/>
                <w:sz w:val="20"/>
                <w:szCs w:val="20"/>
              </w:rPr>
            </w:pPr>
            <w:r>
              <w:rPr>
                <w:rFonts w:ascii="Arial" w:hAnsi="Arial" w:cs="Arial"/>
                <w:sz w:val="20"/>
                <w:szCs w:val="20"/>
              </w:rPr>
              <w:t>Monitoring of stability and compatibility of therapy regimens</w:t>
            </w:r>
          </w:p>
          <w:p>
            <w:pPr>
              <w:framePr w:w="0" w:h="0" w:hRule="auto" w:vSpace="0" w:hSpace="0" w:wrap="auto" w:hAnchor="text" w:x="0" w:xAlign="left" w:yAlign="inline" w:anchorLock="0"/>
              <w:numPr>
                <w:ilvl w:val="0"/>
                <w:numId w:val="73"/>
              </w:numPr>
              <w:spacing w:before="0" w:after="19"/>
              <w:ind w:hanging="283" w:left="283" w:right="0"/>
              <w:rPr>
                <w:rFonts w:ascii="Arial" w:hAnsi="Arial" w:cs="Arial"/>
                <w:sz w:val="20"/>
                <w:szCs w:val="20"/>
              </w:rPr>
            </w:pPr>
            <w:r>
              <w:rPr>
                <w:rFonts w:ascii="Arial" w:hAnsi="Arial" w:cs="Arial"/>
                <w:sz w:val="20"/>
                <w:szCs w:val="20"/>
              </w:rPr>
              <w:t>Plausibility analysis of dosage taking into account individual patient laboratory parameters</w:t>
            </w:r>
          </w:p>
          <w:p>
            <w:pPr>
              <w:framePr w:w="0" w:h="0" w:hRule="auto" w:vSpace="0" w:hSpace="0" w:wrap="auto" w:hAnchor="text" w:x="0" w:xAlign="left" w:yAlign="inline" w:anchorLock="0"/>
              <w:numPr>
                <w:ilvl w:val="0"/>
                <w:numId w:val="73"/>
              </w:numPr>
              <w:spacing w:before="0" w:after="19"/>
              <w:ind w:hanging="283" w:left="283" w:right="0"/>
              <w:rPr>
                <w:rFonts w:ascii="Arial" w:hAnsi="Arial" w:cs="Arial"/>
                <w:sz w:val="20"/>
                <w:szCs w:val="20"/>
              </w:rPr>
            </w:pPr>
            <w:r>
              <w:rPr>
                <w:rFonts w:ascii="Arial" w:hAnsi="Arial" w:cs="Arial"/>
                <w:sz w:val="20"/>
                <w:szCs w:val="20"/>
              </w:rPr>
              <w:t>Support for risk assessment, staff instruction, decontamination, extravasation and disposal of cytostatic drugs</w:t>
            </w:r>
          </w:p>
          <w:p>
            <w:pPr>
              <w:framePr w:w="0" w:h="0" w:hRule="auto" w:vSpace="0" w:hSpace="0" w:wrap="auto" w:hAnchor="text" w:x="0" w:xAlign="left" w:yAlign="inline" w:anchorLock="0"/>
              <w:numPr>
                <w:ilvl w:val="0"/>
                <w:numId w:val="73"/>
              </w:numPr>
              <w:spacing w:before="0" w:after="19"/>
              <w:ind w:hanging="283" w:left="283" w:right="0"/>
              <w:rPr>
                <w:rFonts w:ascii="Arial" w:hAnsi="Arial" w:cs="Arial"/>
                <w:sz w:val="20"/>
                <w:szCs w:val="20"/>
              </w:rPr>
            </w:pPr>
            <w:r>
              <w:rPr>
                <w:rFonts w:ascii="Arial" w:hAnsi="Arial" w:cs="Arial"/>
                <w:sz w:val="20"/>
                <w:szCs w:val="20"/>
              </w:rPr>
              <w:t>Correct reception, storage, production or preparation, distribution and disposal of the test drugs</w:t>
            </w:r>
          </w:p>
          <w:p>
            <w:pPr>
              <w:framePr w:w="0" w:h="0" w:hRule="auto" w:vSpace="0" w:hSpace="0" w:wrap="auto" w:hAnchor="text" w:x="0" w:xAlign="left" w:yAlign="inline" w:anchorLock="0"/>
              <w:numPr>
                <w:ilvl w:val="0"/>
                <w:numId w:val="73"/>
              </w:numPr>
              <w:spacing w:before="0" w:after="19"/>
              <w:ind w:hanging="283" w:left="283" w:right="0"/>
              <w:rPr>
                <w:rFonts w:ascii="Arial" w:hAnsi="Arial" w:cs="Arial"/>
                <w:sz w:val="20"/>
                <w:szCs w:val="20"/>
              </w:rPr>
            </w:pPr>
            <w:r>
              <w:rPr>
                <w:rFonts w:ascii="Arial" w:hAnsi="Arial" w:cs="Arial"/>
                <w:sz w:val="20"/>
                <w:szCs w:val="20"/>
              </w:rPr>
              <w:t>Information and advice for physicians, nursing staff and patients by pharmacist if necessary</w:t>
            </w:r>
          </w:p>
          <w:p>
            <w:pPr>
              <w:numPr>
                <w:ilvl w:val="0"/>
                <w:numId w:val="73"/>
              </w:numPr>
              <w:spacing w:before="0" w:after="19"/>
              <w:ind w:hanging="283" w:left="283"/>
              <w:rPr>
                <w:rFonts w:ascii="Arial" w:hAnsi="Arial" w:cs="Arial"/>
                <w:sz w:val="20"/>
                <w:szCs w:val="20"/>
                <w:lang w:val="ro-RO" w:bidi="ar-SA"/>
              </w:rPr>
            </w:pPr>
            <w:r>
              <w:rPr>
                <w:rFonts w:ascii="Arial" w:hAnsi="Arial" w:cs="Arial"/>
                <w:sz w:val="20"/>
                <w:szCs w:val="20"/>
              </w:rPr>
              <w:t>Participation in tumour board and meetings of the study centres (in line with section 1.2)</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rPr>
                <w:rFonts w:ascii="Arial" w:hAnsi="Arial" w:cs="Arial"/>
                <w:sz w:val="20"/>
                <w:szCs w:val="20"/>
                <w:lang w:val="ro-RO" w:bidi="ar-SA"/>
              </w:rPr>
            </w:pPr>
            <w:r>
              <w:rPr>
                <w:rFonts w:ascii="Arial" w:hAnsi="Arial" w:cs="Arial"/>
                <w:sz w:val="20"/>
                <w:szCs w:val="20"/>
              </w:rPr>
              <w:t>Pharmaceutic support is to be documented and evaluated continuously with the aid of suitable instruments (e.g. computer-aided documentation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1.9.7</w:t>
            </w:r>
          </w:p>
        </w:tc>
        <w:tc>
          <w:tcPr>
            <w:tcW w:w="1" w:type="dxa"/>
          </w:tcPr>
          <w:p>
            <w:pPr>
              <w:spacing w:before="0" w:after="19"/>
              <w:rPr>
                <w:rFonts w:ascii="Arial" w:hAnsi="Arial" w:cs="Arial"/>
                <w:sz w:val="20"/>
                <w:szCs w:val="20"/>
                <w:lang w:val="ro-RO" w:bidi="ar-SA"/>
              </w:rPr>
            </w:pPr>
            <w:r>
              <w:rPr>
                <w:rFonts w:ascii="Arial" w:hAnsi="Arial" w:cs="Arial"/>
                <w:sz w:val="20"/>
                <w:szCs w:val="20"/>
              </w:rPr>
              <w:t>External approval of a QM system is recommended (e.g. pharmacy-specific QM in cytostatic production (DGOP)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spacing w:before="0" w:after="19"/>
              <w:rPr>
                <w:rFonts w:ascii="Arial" w:hAnsi="Arial" w:cs="Arial"/>
                <w:sz w:val="20"/>
                <w:szCs w:val="20"/>
                <w:lang w:val="ro-RO" w:bidi="ar-SA"/>
              </w:rPr>
            </w:pPr>
            <w:r>
              <w:rPr>
                <w:rFonts w:ascii="Arial" w:hAnsi="Arial" w:cs="Arial"/>
                <w:sz w:val="20"/>
                <w:szCs w:val="20"/>
              </w:rPr>
              <w:t>At least two dedicated continuing education sessions for each staff member in cytostatic production who carries out quality-relevant tasks for the OC.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Pain therapy</w:t>
            </w:r>
          </w:p>
          <w:p>
            <w:pPr>
              <w:framePr w:w="0" w:h="0" w:hRule="auto" w:vSpace="0" w:hSpace="0" w:wrap="auto" w:hAnchor="text" w:x="0" w:xAlign="left" w:yAlign="inline" w:anchorLock="0"/>
              <w:numPr>
                <w:ilvl w:val="0"/>
                <w:numId w:val="74"/>
              </w:numPr>
              <w:spacing w:before="0" w:after="19"/>
              <w:ind w:hanging="283" w:left="283" w:right="0"/>
              <w:rPr>
                <w:rFonts w:ascii="Arial" w:hAnsi="Arial" w:cs="Arial"/>
                <w:sz w:val="20"/>
                <w:szCs w:val="20"/>
              </w:rPr>
            </w:pPr>
            <w:r>
              <w:rPr>
                <w:rFonts w:ascii="Arial" w:hAnsi="Arial" w:cs="Arial"/>
                <w:sz w:val="20"/>
                <w:szCs w:val="20"/>
              </w:rPr>
              <w:t>For central areas of the Oncology Centre (operating theatre, medicinal therapy, radiotherapy) a “pain treatment” SOP must be available</w:t>
            </w:r>
          </w:p>
          <w:p>
            <w:pPr>
              <w:framePr w:w="0" w:h="0" w:hRule="auto" w:vSpace="0" w:hSpace="0" w:wrap="auto" w:hAnchor="text" w:x="0" w:xAlign="left" w:yAlign="inline" w:anchorLock="0"/>
              <w:numPr>
                <w:ilvl w:val="0"/>
                <w:numId w:val="74"/>
              </w:numPr>
              <w:spacing w:before="0" w:after="19"/>
              <w:ind w:hanging="283" w:left="283" w:right="0"/>
              <w:rPr>
                <w:rFonts w:ascii="Arial" w:hAnsi="Arial" w:cs="Arial"/>
                <w:sz w:val="20"/>
                <w:szCs w:val="20"/>
              </w:rPr>
            </w:pPr>
            <w:r>
              <w:rPr>
                <w:rFonts w:ascii="Arial" w:hAnsi="Arial" w:cs="Arial"/>
                <w:sz w:val="20"/>
                <w:szCs w:val="20"/>
              </w:rPr>
              <w:t>The names of designated contacts for pain therapy/ pain consultations are to be provided</w:t>
            </w:r>
          </w:p>
          <w:p>
            <w:pPr>
              <w:numPr>
                <w:ilvl w:val="0"/>
                <w:numId w:val="74"/>
              </w:numPr>
              <w:spacing w:before="0" w:after="19"/>
              <w:ind w:hanging="283" w:left="283"/>
              <w:rPr>
                <w:rFonts w:ascii="Arial" w:hAnsi="Arial" w:cs="Arial"/>
                <w:sz w:val="20"/>
                <w:szCs w:val="20"/>
                <w:lang w:val="ro-RO" w:bidi="ar-SA"/>
              </w:rPr>
            </w:pPr>
            <w:r>
              <w:rPr>
                <w:rFonts w:ascii="Arial" w:hAnsi="Arial" w:cs="Arial"/>
                <w:sz w:val="20"/>
                <w:szCs w:val="20"/>
              </w:rPr>
              <w:t>An information leaflet “Pain therapy” should be available to patients for each area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Nutritional counselling</w:t>
            </w:r>
          </w:p>
          <w:p>
            <w:pPr>
              <w:framePr w:w="0" w:h="0" w:hRule="auto" w:vSpace="0" w:hSpace="0" w:wrap="auto" w:hAnchor="text" w:x="0" w:xAlign="left" w:yAlign="inline" w:anchorLock="0"/>
              <w:numPr>
                <w:ilvl w:val="0"/>
                <w:numId w:val="75"/>
              </w:numPr>
              <w:spacing w:before="0" w:after="19"/>
              <w:ind w:hanging="283" w:left="283" w:right="0"/>
              <w:rPr>
                <w:rFonts w:ascii="Arial" w:hAnsi="Arial" w:cs="Arial"/>
                <w:sz w:val="20"/>
                <w:szCs w:val="20"/>
              </w:rPr>
            </w:pPr>
            <w:r>
              <w:rPr>
                <w:rFonts w:ascii="Arial" w:hAnsi="Arial" w:cs="Arial"/>
                <w:sz w:val="20"/>
                <w:szCs w:val="20"/>
              </w:rPr>
              <w:t>Nutritional counselling must be part of the Oncology Centre. An SOP should be available</w:t>
            </w:r>
          </w:p>
          <w:p>
            <w:pPr>
              <w:framePr w:w="0" w:h="0" w:hRule="auto" w:vSpace="0" w:hSpace="0" w:wrap="auto" w:hAnchor="text" w:x="0" w:xAlign="left" w:yAlign="inline" w:anchorLock="0"/>
              <w:numPr>
                <w:ilvl w:val="0"/>
                <w:numId w:val="75"/>
              </w:numPr>
              <w:spacing w:before="0" w:after="19"/>
              <w:ind w:hanging="283" w:left="283" w:right="0"/>
              <w:rPr>
                <w:rFonts w:ascii="Arial" w:hAnsi="Arial" w:cs="Arial"/>
                <w:sz w:val="20"/>
                <w:szCs w:val="20"/>
              </w:rPr>
            </w:pPr>
            <w:r>
              <w:rPr>
                <w:rFonts w:ascii="Arial" w:hAnsi="Arial" w:cs="Arial"/>
                <w:sz w:val="20"/>
                <w:szCs w:val="20"/>
              </w:rPr>
              <w:t>Need for nutritional counselling is to be actively identified and provided for each patient</w:t>
            </w:r>
          </w:p>
          <w:p>
            <w:pPr>
              <w:framePr w:w="0" w:h="0" w:hRule="auto" w:vSpace="0" w:hSpace="0" w:wrap="auto" w:hAnchor="text" w:x="0" w:xAlign="left" w:yAlign="inline" w:anchorLock="0"/>
              <w:numPr>
                <w:ilvl w:val="0"/>
                <w:numId w:val="75"/>
              </w:numPr>
              <w:spacing w:before="0" w:after="19"/>
              <w:ind w:hanging="283" w:left="283" w:right="0"/>
              <w:rPr>
                <w:rFonts w:ascii="Arial" w:hAnsi="Arial" w:cs="Arial"/>
                <w:sz w:val="20"/>
                <w:szCs w:val="20"/>
              </w:rPr>
            </w:pPr>
            <w:r>
              <w:rPr>
                <w:rFonts w:ascii="Arial" w:hAnsi="Arial" w:cs="Arial"/>
                <w:sz w:val="20"/>
                <w:szCs w:val="20"/>
              </w:rPr>
              <w:t>The metabolic risk (nutritional risk) should be recorded at the latest on inpatient admission using Nutritional Risk Screening (NRS), for instance in line with Kondrup 2003.</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Hygiene management</w:t>
            </w:r>
          </w:p>
          <w:p>
            <w:pPr>
              <w:framePr w:w="0" w:h="0" w:hRule="auto" w:vSpace="0" w:hSpace="0" w:wrap="auto" w:hAnchor="text" w:x="0" w:xAlign="left" w:yAlign="inline" w:anchorLock="0"/>
              <w:numPr>
                <w:ilvl w:val="0"/>
                <w:numId w:val="76"/>
              </w:numPr>
              <w:spacing w:before="0" w:after="19"/>
              <w:ind w:hanging="283" w:left="283" w:right="0"/>
              <w:rPr>
                <w:rFonts w:ascii="Arial" w:hAnsi="Arial" w:cs="Arial"/>
                <w:sz w:val="20"/>
                <w:szCs w:val="20"/>
              </w:rPr>
            </w:pPr>
            <w:r>
              <w:rPr>
                <w:rFonts w:ascii="Arial" w:hAnsi="Arial" w:cs="Arial"/>
                <w:sz w:val="20"/>
                <w:szCs w:val="20"/>
              </w:rPr>
              <w:t>For the scope of the OC physicians and nurses with responsibility for hygiene are to be designated by name.</w:t>
            </w:r>
          </w:p>
          <w:p>
            <w:pPr>
              <w:numPr>
                <w:ilvl w:val="0"/>
                <w:numId w:val="76"/>
              </w:numPr>
              <w:spacing w:before="0" w:after="19"/>
              <w:ind w:hanging="283" w:left="283"/>
              <w:rPr>
                <w:rFonts w:ascii="Arial" w:hAnsi="Arial" w:cs="Arial"/>
                <w:sz w:val="20"/>
                <w:szCs w:val="20"/>
                <w:lang w:val="ro-RO" w:bidi="ar-SA"/>
              </w:rPr>
            </w:pPr>
            <w:r>
              <w:rPr>
                <w:rFonts w:ascii="Arial" w:hAnsi="Arial" w:cs="Arial"/>
                <w:sz w:val="20"/>
                <w:szCs w:val="20"/>
              </w:rPr>
              <w:t>Compliance with the central hygiene requirements is to be documented for the individual areas (inter alia operating theatre, 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Antibiotic stewardship visits (ABS visits)</w:t>
            </w:r>
          </w:p>
          <w:p>
            <w:pPr>
              <w:framePr w:w="0" w:h="0" w:hRule="auto" w:vSpace="0" w:hSpace="0" w:wrap="auto" w:hAnchor="text" w:x="0" w:xAlign="left" w:yAlign="inline" w:anchorLock="0"/>
              <w:numPr>
                <w:ilvl w:val="0"/>
                <w:numId w:val="77"/>
              </w:numPr>
              <w:spacing w:before="0" w:after="19"/>
              <w:ind w:hanging="283" w:left="283" w:right="0"/>
              <w:rPr>
                <w:rFonts w:ascii="Arial" w:hAnsi="Arial" w:cs="Arial"/>
                <w:sz w:val="20"/>
                <w:szCs w:val="20"/>
              </w:rPr>
            </w:pPr>
            <w:r>
              <w:rPr>
                <w:rFonts w:ascii="Arial" w:hAnsi="Arial" w:cs="Arial"/>
                <w:sz w:val="20"/>
                <w:szCs w:val="20"/>
              </w:rPr>
              <w:t xml:space="preserve">A concept for antibiotic stewardship visits (ABS visits) or similar formats must be demonstrated for the scope of the OC. </w:t>
            </w:r>
          </w:p>
          <w:p>
            <w:pPr>
              <w:numPr>
                <w:ilvl w:val="0"/>
                <w:numId w:val="77"/>
              </w:numPr>
              <w:spacing w:before="0" w:after="19"/>
              <w:ind w:hanging="283" w:left="283"/>
              <w:rPr>
                <w:rFonts w:ascii="Arial" w:hAnsi="Arial" w:cs="Arial"/>
                <w:sz w:val="20"/>
                <w:szCs w:val="20"/>
                <w:lang w:val="ro-RO" w:bidi="ar-SA"/>
              </w:rPr>
            </w:pPr>
            <w:r>
              <w:rPr>
                <w:rFonts w:ascii="Arial" w:hAnsi="Arial" w:cs="Arial"/>
                <w:sz w:val="20"/>
                <w:szCs w:val="20"/>
              </w:rPr>
              <w:t>The visits should be carried out on a multi-professional basis.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1.9.13</w:t>
            </w:r>
          </w:p>
        </w:tc>
        <w:tc>
          <w:tcPr>
            <w:tcW w:w="1" w:type="dxa"/>
          </w:tcPr>
          <w:p>
            <w:pPr>
              <w:spacing w:before="0" w:after="19"/>
              <w:rPr>
                <w:rFonts w:ascii="Arial" w:hAnsi="Arial" w:cs="Arial"/>
                <w:sz w:val="20"/>
                <w:szCs w:val="20"/>
                <w:lang w:val="ro-RO" w:bidi="ar-SA"/>
              </w:rPr>
            </w:pPr>
            <w:r>
              <w:rPr>
                <w:rFonts w:ascii="Arial" w:hAnsi="Arial" w:cs="Arial"/>
                <w:sz w:val="20"/>
                <w:szCs w:val="20"/>
              </w:rPr>
              <w:t>The Oncology Centre must provide evidence of a concept for providing information on smoking advice/tobacco cessation.</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2.</w:t>
        <w:tab/>
        <w:t xml:space="preserve"> Organ-specific diagnostics</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2.1</w:t>
              <w:tab/>
              <w:t xml:space="preserve"> Consulting hours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requirements concerning the organ-specific consulting hours are contained in the Catalogues of Requirements of the corresponding Organ Cancer Centres/Modules and are to be fully complied with.</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departments which treat tumour entities, that are not or cannot be treated in a certified Organ Cancer Centre, must present proof of specialist qualifications and treatment concepts.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Organ-specific presentation in accordance with the template “Catalogue of Requirements Oncology Centre – Annex tumour entity”</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2.2</w:t>
              <w:tab/>
              <w:t xml:space="preserve"> Diagnostics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2.2.1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requirements concerning organ-specific consulting hours are contained in the Catalogues of Requirements of the corresponding Organ Cancer Centres/Modules and are to be fully complied with.</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departments which treat tumour entities, that are not or cannot be treated in a certified Organ Cancer Centre, must present proof of specialist qualifications and treatment concepts.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Organ-specific presentation in accordance with the template “Catalogue of Requirements Oncology Centre – Annex tumour entity”</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3.</w:t>
        <w:tab/>
        <w:t xml:space="preserve"> Radiology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framePr w:w="0" w:h="0" w:hRule="auto" w:vSpace="0" w:hSpace="0" w:wrap="auto" w:hAnchor="text" w:x="0" w:xAlign="left" w:yAlign="inline" w:anchorLock="0"/>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Specialists</w:t>
            </w:r>
          </w:p>
          <w:p>
            <w:pPr>
              <w:framePr w:w="0" w:h="0" w:hRule="auto" w:vSpace="0" w:hSpace="0" w:wrap="auto" w:hAnchor="text" w:x="0" w:xAlign="left" w:yAlign="inline" w:anchorLock="0"/>
              <w:numPr>
                <w:ilvl w:val="0"/>
                <w:numId w:val="78"/>
              </w:numPr>
              <w:spacing w:before="0" w:after="19"/>
              <w:ind w:hanging="283" w:left="283" w:right="0"/>
              <w:rPr>
                <w:rFonts w:ascii="Arial" w:hAnsi="Arial" w:cs="Arial"/>
                <w:sz w:val="20"/>
                <w:szCs w:val="20"/>
              </w:rPr>
            </w:pPr>
            <w:r>
              <w:rPr>
                <w:rFonts w:ascii="Arial" w:hAnsi="Arial" w:cs="Arial"/>
                <w:sz w:val="20"/>
                <w:szCs w:val="20"/>
              </w:rPr>
              <w:t>At least one radiology specialist</w:t>
            </w:r>
          </w:p>
          <w:p>
            <w:pPr>
              <w:framePr w:w="0" w:h="0" w:hRule="auto" w:vSpace="0" w:hSpace="0" w:wrap="auto" w:hAnchor="text" w:x="0" w:xAlign="left" w:yAlign="inline" w:anchorLock="0"/>
              <w:numPr>
                <w:ilvl w:val="0"/>
                <w:numId w:val="78"/>
              </w:numPr>
              <w:spacing w:before="0" w:after="19"/>
              <w:ind w:hanging="283" w:left="283" w:right="0"/>
              <w:rPr>
                <w:rFonts w:ascii="Arial" w:hAnsi="Arial" w:cs="Arial"/>
                <w:sz w:val="20"/>
                <w:szCs w:val="20"/>
              </w:rPr>
            </w:pPr>
            <w:r>
              <w:rPr>
                <w:rFonts w:ascii="Arial" w:hAnsi="Arial" w:cs="Arial"/>
                <w:sz w:val="20"/>
                <w:szCs w:val="20"/>
              </w:rPr>
              <w:t>Written documentation cover staff has same qualifications</w:t>
            </w:r>
          </w:p>
          <w:p>
            <w:pPr>
              <w:numPr>
                <w:ilvl w:val="0"/>
                <w:numId w:val="78"/>
              </w:numPr>
              <w:spacing w:before="0" w:after="19"/>
              <w:ind w:hanging="283" w:left="283"/>
              <w:rPr>
                <w:rFonts w:ascii="Arial" w:hAnsi="Arial" w:cs="Arial"/>
                <w:sz w:val="20"/>
                <w:szCs w:val="20"/>
                <w:lang w:val="ro-RO" w:bidi="ar-SA"/>
              </w:rPr>
            </w:pPr>
            <w:r>
              <w:rPr>
                <w:rFonts w:ascii="Arial" w:hAnsi="Arial" w:cs="Arial"/>
                <w:sz w:val="20"/>
                <w:szCs w:val="20"/>
              </w:rPr>
              <w:t>Specialist and cover staff are to be designated by name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trike w:val="1"/>
                <w:sz w:val="20"/>
                <w:szCs w:val="20"/>
                <w:shd w:val="clear" w:color="auto" w:fill="00FE00"/>
              </w:rPr>
              <w:t xml:space="preserve">Medical technical radiology assistants (MTR(= medical technologists for radiology) ) </w:t>
            </w:r>
            <w:r>
              <w:rPr>
                <w:rFonts w:ascii="Arial" w:hAnsi="Arial" w:cs="Arial"/>
                <w:sz w:val="20"/>
                <w:szCs w:val="20"/>
                <w:shd w:val="clear" w:color="auto" w:fill="00FF00"/>
              </w:rPr>
              <w:t>Qualified non-medical personnel</w:t>
            </w:r>
          </w:p>
          <w:p>
            <w:pPr>
              <w:spacing w:before="0" w:after="19"/>
              <w:rPr>
                <w:rFonts w:ascii="Arial" w:hAnsi="Arial" w:cs="Arial"/>
                <w:sz w:val="20"/>
                <w:szCs w:val="20"/>
                <w:lang w:val="ro-RO" w:bidi="ar-SA"/>
              </w:rPr>
            </w:pPr>
            <w:r>
              <w:rPr>
                <w:rFonts w:ascii="Arial" w:hAnsi="Arial" w:cs="Arial"/>
                <w:sz w:val="20"/>
                <w:szCs w:val="20"/>
              </w:rPr>
              <w:t xml:space="preserve">At least 2 qualified </w:t>
            </w:r>
            <w:r>
              <w:rPr>
                <w:rFonts w:ascii="Arial" w:hAnsi="Arial" w:cs="Arial"/>
                <w:strike w:val="1"/>
                <w:sz w:val="20"/>
                <w:szCs w:val="20"/>
                <w:shd w:val="clear" w:color="auto" w:fill="00FE00"/>
              </w:rPr>
              <w:t xml:space="preserve">MTR </w:t>
            </w:r>
            <w:r>
              <w:rPr>
                <w:rFonts w:ascii="Arial" w:hAnsi="Arial" w:cs="Arial"/>
                <w:sz w:val="20"/>
                <w:szCs w:val="20"/>
                <w:shd w:val="clear" w:color="auto" w:fill="00FF00"/>
              </w:rPr>
              <w:t>members of non-medical staff/radiology specialists (</w:t>
            </w:r>
            <w:r>
              <w:rPr>
                <w:rFonts w:ascii="Arial" w:hAnsi="Arial" w:cs="Arial"/>
                <w:sz w:val="20"/>
                <w:szCs w:val="20"/>
                <w:shd w:val="clear" w:color="auto" w:fill="00FE00"/>
              </w:rPr>
              <w:t>medical technologists for radiology (</w:t>
            </w:r>
            <w:r>
              <w:rPr>
                <w:rFonts w:ascii="Arial" w:hAnsi="Arial" w:cs="Arial"/>
                <w:sz w:val="20"/>
                <w:szCs w:val="20"/>
                <w:shd w:val="clear" w:color="auto" w:fill="00FF00"/>
              </w:rPr>
              <w:t xml:space="preserve">MTR) or nurses with radiation protection training under the constant supervision of a doctor specialising in radiation protection in accordance with the Radiation Protection Act) </w:t>
            </w:r>
            <w:r>
              <w:rPr>
                <w:rFonts w:ascii="Arial" w:hAnsi="Arial" w:cs="Arial"/>
                <w:sz w:val="20"/>
                <w:szCs w:val="20"/>
              </w:rPr>
              <w:t>must be available</w:t>
            </w:r>
            <w:r>
              <w:rPr>
                <w:rFonts w:ascii="Arial" w:hAnsi="Arial" w:cs="Arial"/>
                <w:sz w:val="20"/>
                <w:szCs w:val="20"/>
                <w:shd w:val="clear" w:color="auto" w:fill="00FF00"/>
              </w:rPr>
              <w:t xml:space="preserve"> and named.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Radiology methods that must be available: </w:t>
            </w:r>
          </w:p>
          <w:p>
            <w:pPr>
              <w:framePr w:w="0" w:h="0" w:hRule="auto" w:vSpace="0" w:hSpace="0" w:wrap="auto" w:hAnchor="text" w:x="0" w:xAlign="left" w:yAlign="inline" w:anchorLock="0"/>
              <w:numPr>
                <w:ilvl w:val="0"/>
                <w:numId w:val="79"/>
              </w:numPr>
              <w:spacing w:before="0" w:after="19"/>
              <w:ind w:hanging="283" w:left="283" w:right="0"/>
              <w:rPr>
                <w:rFonts w:ascii="Arial" w:hAnsi="Arial" w:cs="Arial"/>
                <w:sz w:val="20"/>
                <w:szCs w:val="20"/>
              </w:rPr>
            </w:pPr>
            <w:r>
              <w:rPr>
                <w:rFonts w:ascii="Arial" w:hAnsi="Arial" w:cs="Arial"/>
                <w:sz w:val="20"/>
                <w:szCs w:val="20"/>
              </w:rPr>
              <w:t>Conventional x-ray</w:t>
            </w:r>
          </w:p>
          <w:p>
            <w:pPr>
              <w:framePr w:w="0" w:h="0" w:hRule="auto" w:vSpace="0" w:hSpace="0" w:wrap="auto" w:hAnchor="text" w:x="0" w:xAlign="left" w:yAlign="inline" w:anchorLock="0"/>
              <w:numPr>
                <w:ilvl w:val="0"/>
                <w:numId w:val="79"/>
              </w:numPr>
              <w:spacing w:before="0" w:after="19"/>
              <w:ind w:hanging="283" w:left="283" w:right="0"/>
              <w:rPr>
                <w:rFonts w:ascii="Arial" w:hAnsi="Arial" w:cs="Arial"/>
                <w:sz w:val="20"/>
                <w:szCs w:val="20"/>
              </w:rPr>
            </w:pPr>
            <w:r>
              <w:rPr>
                <w:rFonts w:ascii="Arial" w:hAnsi="Arial" w:cs="Arial"/>
                <w:sz w:val="20"/>
                <w:szCs w:val="20"/>
              </w:rPr>
              <w:t>Angiography</w:t>
            </w:r>
          </w:p>
          <w:p>
            <w:pPr>
              <w:framePr w:w="0" w:h="0" w:hRule="auto" w:vSpace="0" w:hSpace="0" w:wrap="auto" w:hAnchor="text" w:x="0" w:xAlign="left" w:yAlign="inline" w:anchorLock="0"/>
              <w:numPr>
                <w:ilvl w:val="0"/>
                <w:numId w:val="79"/>
              </w:numPr>
              <w:spacing w:before="0" w:after="19"/>
              <w:ind w:hanging="283" w:left="283" w:right="0"/>
              <w:rPr>
                <w:rFonts w:ascii="Arial" w:hAnsi="Arial" w:cs="Arial"/>
                <w:sz w:val="20"/>
                <w:szCs w:val="20"/>
              </w:rPr>
            </w:pPr>
            <w:r>
              <w:rPr>
                <w:rFonts w:ascii="Arial" w:hAnsi="Arial" w:cs="Arial"/>
                <w:sz w:val="20"/>
                <w:szCs w:val="20"/>
              </w:rPr>
              <w:t>Sonography</w:t>
            </w:r>
          </w:p>
          <w:p>
            <w:pPr>
              <w:framePr w:w="0" w:h="0" w:hRule="auto" w:vSpace="0" w:hSpace="0" w:wrap="auto" w:hAnchor="text" w:x="0" w:xAlign="left" w:yAlign="inline" w:anchorLock="0"/>
              <w:numPr>
                <w:ilvl w:val="0"/>
                <w:numId w:val="79"/>
              </w:numPr>
              <w:spacing w:before="0" w:after="19"/>
              <w:ind w:hanging="283" w:left="283" w:right="0"/>
              <w:rPr>
                <w:rFonts w:ascii="Arial" w:hAnsi="Arial" w:cs="Arial"/>
                <w:sz w:val="20"/>
                <w:szCs w:val="20"/>
              </w:rPr>
            </w:pPr>
            <w:r>
              <w:rPr>
                <w:rFonts w:ascii="Arial" w:hAnsi="Arial" w:cs="Arial"/>
                <w:sz w:val="20"/>
                <w:szCs w:val="20"/>
              </w:rPr>
              <w:t>Spiral-CT</w:t>
            </w:r>
          </w:p>
          <w:p>
            <w:pPr>
              <w:numPr>
                <w:ilvl w:val="0"/>
                <w:numId w:val="79"/>
              </w:numPr>
              <w:spacing w:before="0" w:after="19"/>
              <w:ind w:hanging="283" w:left="283"/>
              <w:rPr>
                <w:rFonts w:ascii="Arial" w:hAnsi="Arial" w:cs="Arial"/>
                <w:sz w:val="20"/>
                <w:szCs w:val="20"/>
                <w:lang w:val="ro-RO" w:bidi="ar-SA"/>
              </w:rPr>
            </w:pPr>
            <w:r>
              <w:rPr>
                <w:rFonts w:ascii="Arial" w:hAnsi="Arial" w:cs="Arial"/>
                <w:sz w:val="20"/>
                <w:szCs w:val="20"/>
              </w:rPr>
              <w:t>MRl (field strength at least 1.5 Tesla)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Standard operating procedures for radiology (SOPs)</w:t>
            </w:r>
          </w:p>
          <w:p>
            <w:pPr>
              <w:spacing w:before="0" w:after="19"/>
              <w:rPr>
                <w:rFonts w:ascii="Arial" w:hAnsi="Arial" w:cs="Arial"/>
                <w:sz w:val="20"/>
                <w:szCs w:val="20"/>
                <w:lang w:val="ro-RO" w:bidi="ar-SA"/>
              </w:rPr>
            </w:pPr>
            <w:r>
              <w:rPr>
                <w:rFonts w:ascii="Arial" w:hAnsi="Arial" w:cs="Arial"/>
                <w:sz w:val="20"/>
                <w:szCs w:val="20"/>
              </w:rPr>
              <w:t>The imaging SOPs are to be described and checked once a year to ensure they are up to date.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Compilation of results</w:t>
            </w:r>
          </w:p>
          <w:p>
            <w:pPr>
              <w:spacing w:before="0" w:after="19"/>
              <w:rPr>
                <w:rFonts w:ascii="Arial" w:hAnsi="Arial" w:cs="Arial"/>
                <w:sz w:val="20"/>
                <w:szCs w:val="20"/>
                <w:lang w:val="ro-RO" w:bidi="ar-SA"/>
              </w:rPr>
            </w:pPr>
            <w:r>
              <w:rPr>
                <w:rFonts w:ascii="Arial" w:hAnsi="Arial" w:cs="Arial"/>
                <w:sz w:val="20"/>
                <w:szCs w:val="20"/>
              </w:rPr>
              <w:t>The radiologist’s written report must be available to the attending physicians at the latest 24 hours after the examination.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Induction of new staff members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Systematic, documented induction of new staff members is to be ensured, which imparts knowledge about the Oncology Centre’s respective field of activity. </w:t>
            </w:r>
          </w:p>
          <w:p>
            <w:pPr>
              <w:spacing w:before="0" w:after="19"/>
              <w:rPr>
                <w:rFonts w:ascii="Arial" w:hAnsi="Arial" w:cs="Arial"/>
                <w:sz w:val="20"/>
                <w:szCs w:val="20"/>
                <w:lang w:val="ro-RO" w:bidi="ar-SA"/>
              </w:rPr>
            </w:pPr>
            <w:r>
              <w:rPr>
                <w:rFonts w:ascii="Arial" w:hAnsi="Arial" w:cs="Arial"/>
                <w:sz w:val="20"/>
                <w:szCs w:val="20"/>
              </w:rPr>
              <w:t>This induction must take place within three months of commencement of employment.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framePr w:w="0" w:h="0" w:hRule="auto" w:vSpace="0" w:hSpace="0" w:wrap="auto" w:hAnchor="text" w:x="0" w:xAlign="left" w:yAlign="inline" w:anchorLock="0"/>
              <w:numPr>
                <w:ilvl w:val="0"/>
                <w:numId w:val="80"/>
              </w:numPr>
              <w:spacing w:before="0" w:after="19"/>
              <w:ind w:hanging="283" w:left="283" w:right="0"/>
              <w:rPr>
                <w:rFonts w:ascii="Arial" w:hAnsi="Arial" w:cs="Arial"/>
                <w:sz w:val="20"/>
                <w:szCs w:val="20"/>
              </w:rPr>
            </w:pPr>
            <w:r>
              <w:rPr>
                <w:rFonts w:ascii="Arial" w:hAnsi="Arial" w:cs="Arial"/>
                <w:sz w:val="20"/>
                <w:szCs w:val="20"/>
              </w:rPr>
              <w:t>A training plan for medical and nursing medical assisting staff is to be presented outlining the planned training sessions for the period of one year.</w:t>
            </w:r>
          </w:p>
          <w:p>
            <w:pPr>
              <w:numPr>
                <w:ilvl w:val="0"/>
                <w:numId w:val="80"/>
              </w:numPr>
              <w:spacing w:before="0" w:after="19"/>
              <w:ind w:hanging="283" w:left="283"/>
              <w:rPr>
                <w:rFonts w:ascii="Arial" w:hAnsi="Arial" w:cs="Arial"/>
                <w:sz w:val="20"/>
                <w:szCs w:val="20"/>
                <w:lang w:val="ro-RO" w:bidi="ar-SA"/>
              </w:rPr>
            </w:pPr>
            <w:r>
              <w:rPr>
                <w:rFonts w:ascii="Arial" w:hAnsi="Arial" w:cs="Arial"/>
                <w:sz w:val="20"/>
                <w:szCs w:val="20"/>
              </w:rPr>
              <w:t xml:space="preserve">At least 1 dedicated continuing education/ specialty training session for each staff member (minimum one day a year) who carries out quality-relevant tasks for the Oncology Centre.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Quality circles</w:t>
            </w:r>
          </w:p>
          <w:p>
            <w:pPr>
              <w:framePr w:w="0" w:h="0" w:hRule="auto" w:vSpace="0" w:hSpace="0" w:wrap="auto" w:hAnchor="text" w:x="0" w:xAlign="left" w:yAlign="inline" w:anchorLock="0"/>
              <w:numPr>
                <w:ilvl w:val="0"/>
                <w:numId w:val="81"/>
              </w:numPr>
              <w:spacing w:before="0" w:after="19"/>
              <w:ind w:hanging="283" w:left="283" w:right="0"/>
              <w:rPr>
                <w:rFonts w:ascii="Arial" w:hAnsi="Arial" w:cs="Arial"/>
                <w:sz w:val="20"/>
                <w:szCs w:val="20"/>
              </w:rPr>
            </w:pPr>
            <w:r>
              <w:rPr>
                <w:rFonts w:ascii="Arial" w:hAnsi="Arial" w:cs="Arial"/>
                <w:sz w:val="20"/>
                <w:szCs w:val="20"/>
              </w:rPr>
              <w:t>Staff are to stage or take part in at least three quality circles a year in which oncological topics are addressed.</w:t>
            </w:r>
          </w:p>
          <w:p>
            <w:pPr>
              <w:framePr w:w="0" w:h="0" w:hRule="auto" w:vSpace="0" w:hSpace="0" w:wrap="auto" w:hAnchor="text" w:x="0" w:xAlign="left" w:yAlign="inline" w:anchorLock="0"/>
              <w:numPr>
                <w:ilvl w:val="0"/>
                <w:numId w:val="81"/>
              </w:numPr>
              <w:spacing w:before="0" w:after="19"/>
              <w:ind w:hanging="283" w:left="283" w:right="0"/>
              <w:rPr>
                <w:rFonts w:ascii="Arial" w:hAnsi="Arial" w:cs="Arial"/>
                <w:sz w:val="20"/>
                <w:szCs w:val="20"/>
              </w:rPr>
            </w:pPr>
            <w:r>
              <w:rPr>
                <w:rFonts w:ascii="Arial" w:hAnsi="Arial" w:cs="Arial"/>
                <w:sz w:val="20"/>
                <w:szCs w:val="20"/>
              </w:rPr>
              <w:t>Scheduling, e.g. in training plan</w:t>
            </w:r>
          </w:p>
          <w:p>
            <w:pPr>
              <w:framePr w:w="0" w:h="0" w:hRule="auto" w:vSpace="0" w:hSpace="0" w:wrap="auto" w:hAnchor="text" w:x="0" w:xAlign="left" w:yAlign="inline" w:anchorLock="0"/>
              <w:numPr>
                <w:ilvl w:val="0"/>
                <w:numId w:val="81"/>
              </w:numPr>
              <w:spacing w:before="0" w:after="19"/>
              <w:ind w:hanging="283" w:left="283" w:right="0"/>
              <w:rPr>
                <w:rFonts w:ascii="Arial" w:hAnsi="Arial" w:cs="Arial"/>
                <w:sz w:val="20"/>
                <w:szCs w:val="20"/>
              </w:rPr>
            </w:pPr>
            <w:r>
              <w:rPr>
                <w:rFonts w:ascii="Arial" w:hAnsi="Arial" w:cs="Arial"/>
                <w:sz w:val="20"/>
                <w:szCs w:val="20"/>
              </w:rPr>
              <w:t>Quality circles are to be documented.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Participation in the quality circles organised centrally by the Oncology Centre is recognised (see “Catalogue of Requirements Section 1.2.14 Interdisciplinary Work”).</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4.</w:t>
        <w:tab/>
        <w:t xml:space="preserve"> Nuclear medicine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framePr w:w="0" w:h="0" w:hRule="auto" w:vSpace="0" w:hSpace="0" w:wrap="auto" w:hAnchor="text" w:x="0" w:xAlign="left" w:yAlign="inline" w:anchorLock="0"/>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Specialists in nuclear medicine</w:t>
            </w:r>
          </w:p>
          <w:p>
            <w:pPr>
              <w:framePr w:w="0" w:h="0" w:hRule="auto" w:vSpace="0" w:hSpace="0" w:wrap="auto" w:hAnchor="text" w:x="0" w:xAlign="left" w:yAlign="inline" w:anchorLock="0"/>
              <w:numPr>
                <w:ilvl w:val="0"/>
                <w:numId w:val="82"/>
              </w:numPr>
              <w:spacing w:before="0" w:after="19"/>
              <w:ind w:hanging="283" w:left="283" w:right="0"/>
              <w:rPr>
                <w:rFonts w:ascii="Arial" w:hAnsi="Arial" w:cs="Arial"/>
                <w:sz w:val="20"/>
                <w:szCs w:val="20"/>
              </w:rPr>
            </w:pPr>
            <w:r>
              <w:rPr>
                <w:rFonts w:ascii="Arial" w:hAnsi="Arial" w:cs="Arial"/>
                <w:sz w:val="20"/>
                <w:szCs w:val="20"/>
              </w:rPr>
              <w:t>At least one specialist for nuclear medicine is available.</w:t>
            </w:r>
          </w:p>
          <w:p>
            <w:pPr>
              <w:framePr w:w="0" w:h="0" w:hRule="auto" w:vSpace="0" w:hSpace="0" w:wrap="auto" w:hAnchor="text" w:x="0" w:xAlign="left" w:yAlign="inline" w:anchorLock="0"/>
              <w:numPr>
                <w:ilvl w:val="0"/>
                <w:numId w:val="82"/>
              </w:numPr>
              <w:spacing w:before="0" w:after="19"/>
              <w:ind w:hanging="283" w:left="283" w:right="0"/>
              <w:rPr>
                <w:rFonts w:ascii="Arial" w:hAnsi="Arial" w:cs="Arial"/>
                <w:sz w:val="20"/>
                <w:szCs w:val="20"/>
              </w:rPr>
            </w:pPr>
            <w:r>
              <w:rPr>
                <w:rFonts w:ascii="Arial" w:hAnsi="Arial" w:cs="Arial"/>
                <w:sz w:val="20"/>
                <w:szCs w:val="20"/>
              </w:rPr>
              <w:t>Written documentation that cover staff has same qualifications</w:t>
            </w:r>
          </w:p>
          <w:p>
            <w:pPr>
              <w:numPr>
                <w:ilvl w:val="0"/>
                <w:numId w:val="82"/>
              </w:numPr>
              <w:spacing w:before="0" w:after="19"/>
              <w:ind w:hanging="283" w:left="283"/>
              <w:rPr>
                <w:rFonts w:ascii="Arial" w:hAnsi="Arial" w:cs="Arial"/>
                <w:sz w:val="20"/>
                <w:szCs w:val="20"/>
                <w:lang w:val="ro-RO" w:bidi="ar-SA"/>
              </w:rPr>
            </w:pPr>
            <w:r>
              <w:rPr>
                <w:rFonts w:ascii="Arial" w:hAnsi="Arial" w:cs="Arial"/>
                <w:sz w:val="20"/>
                <w:szCs w:val="20"/>
              </w:rPr>
              <w:t>Specialist and cover staff are to be designated by name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MTR of nuclear medicine</w:t>
            </w:r>
          </w:p>
          <w:p>
            <w:pPr>
              <w:spacing w:before="0" w:after="19"/>
              <w:rPr>
                <w:rFonts w:ascii="Arial" w:hAnsi="Arial" w:cs="Arial"/>
                <w:sz w:val="20"/>
                <w:szCs w:val="20"/>
                <w:lang w:val="ro-RO" w:bidi="ar-SA"/>
              </w:rPr>
            </w:pPr>
            <w:r>
              <w:rPr>
                <w:rFonts w:ascii="Arial" w:hAnsi="Arial" w:cs="Arial"/>
                <w:sz w:val="20"/>
                <w:szCs w:val="20"/>
              </w:rPr>
              <w:t>At least two qualified MTR of nuclear medicine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Nuclear medicine methods that must be available:</w:t>
            </w:r>
          </w:p>
          <w:p>
            <w:pPr>
              <w:framePr w:w="0" w:h="0" w:hRule="auto" w:vSpace="0" w:hSpace="0" w:wrap="auto" w:hAnchor="text" w:x="0" w:xAlign="left" w:yAlign="inline" w:anchorLock="0"/>
              <w:numPr>
                <w:ilvl w:val="0"/>
                <w:numId w:val="83"/>
              </w:numPr>
              <w:spacing w:before="0" w:after="19"/>
              <w:ind w:hanging="283" w:left="283" w:right="0"/>
              <w:rPr>
                <w:rFonts w:ascii="Arial" w:hAnsi="Arial" w:cs="Arial"/>
                <w:sz w:val="20"/>
                <w:szCs w:val="20"/>
              </w:rPr>
            </w:pPr>
            <w:r>
              <w:rPr>
                <w:rFonts w:ascii="Arial" w:hAnsi="Arial" w:cs="Arial"/>
                <w:sz w:val="20"/>
                <w:szCs w:val="20"/>
              </w:rPr>
              <w:t>Bone scintigraphy (mandatory)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Optional:</w:t>
            </w:r>
          </w:p>
          <w:p>
            <w:pPr>
              <w:framePr w:w="0" w:h="0" w:hRule="auto" w:vSpace="0" w:hSpace="0" w:wrap="auto" w:hAnchor="text" w:x="0" w:xAlign="left" w:yAlign="inline" w:anchorLock="0"/>
              <w:numPr>
                <w:ilvl w:val="0"/>
                <w:numId w:val="84"/>
              </w:numPr>
              <w:spacing w:before="0" w:after="19"/>
              <w:ind w:hanging="283" w:left="283" w:right="0"/>
              <w:rPr>
                <w:rFonts w:ascii="Arial" w:hAnsi="Arial" w:cs="Arial"/>
                <w:sz w:val="20"/>
                <w:szCs w:val="20"/>
              </w:rPr>
            </w:pPr>
            <w:r>
              <w:rPr>
                <w:rFonts w:ascii="Arial" w:hAnsi="Arial" w:cs="Arial"/>
                <w:sz w:val="20"/>
                <w:szCs w:val="20"/>
              </w:rPr>
              <w:t>PET-CT, PET-MRI</w:t>
            </w:r>
          </w:p>
          <w:p>
            <w:pPr>
              <w:numPr>
                <w:ilvl w:val="0"/>
                <w:numId w:val="84"/>
              </w:numPr>
              <w:spacing w:before="0" w:after="19"/>
              <w:ind w:hanging="283" w:left="283"/>
              <w:rPr>
                <w:rFonts w:ascii="Arial" w:hAnsi="Arial" w:cs="Arial"/>
                <w:sz w:val="20"/>
                <w:szCs w:val="20"/>
                <w:lang w:val="ro-RO" w:bidi="ar-SA"/>
              </w:rPr>
            </w:pPr>
            <w:r>
              <w:rPr>
                <w:rFonts w:ascii="Arial" w:hAnsi="Arial" w:cs="Arial"/>
                <w:sz w:val="20"/>
                <w:szCs w:val="20"/>
              </w:rPr>
              <w:t>Inpatient radionuclide 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Standard operating procedures (SOPs)</w:t>
            </w:r>
          </w:p>
          <w:p>
            <w:pPr>
              <w:spacing w:before="0" w:after="19"/>
              <w:rPr>
                <w:rFonts w:ascii="Arial" w:hAnsi="Arial" w:cs="Arial"/>
                <w:sz w:val="20"/>
                <w:szCs w:val="20"/>
                <w:lang w:val="ro-RO" w:bidi="ar-SA"/>
              </w:rPr>
            </w:pPr>
            <w:r>
              <w:rPr>
                <w:rFonts w:ascii="Arial" w:hAnsi="Arial" w:cs="Arial"/>
                <w:sz w:val="20"/>
                <w:szCs w:val="20"/>
              </w:rPr>
              <w:t>The imaging procedures are to be described and checked once a year to ensure they are up to date.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Compilation of results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nuclear medicine "Scintigraphy" (gamma camera diagnostics) written report must be available to the attending physicians at the latest 24 hours after completion the examination.</w:t>
            </w:r>
          </w:p>
          <w:p>
            <w:pPr>
              <w:spacing w:before="0" w:after="19"/>
              <w:rPr>
                <w:rFonts w:ascii="Arial" w:hAnsi="Arial" w:cs="Arial"/>
                <w:sz w:val="20"/>
                <w:szCs w:val="20"/>
                <w:lang w:val="ro-RO" w:bidi="ar-SA"/>
              </w:rPr>
            </w:pPr>
            <w:r>
              <w:rPr>
                <w:rFonts w:ascii="Arial" w:hAnsi="Arial" w:cs="Arial"/>
                <w:sz w:val="20"/>
                <w:szCs w:val="20"/>
              </w:rPr>
              <w:t>A period of 24 hours per specialist discipline involved is provided for the preparation of the findings of radiological-nuclear medicine hybrid diagnostics.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Induction of new staff members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Systematic, documented induction of new staff members is to be ensured, which imparts knowledge about the Oncology Centre’s respective field of activity. </w:t>
            </w:r>
          </w:p>
          <w:p>
            <w:pPr>
              <w:spacing w:before="0" w:after="19"/>
              <w:rPr>
                <w:rFonts w:ascii="Arial" w:hAnsi="Arial" w:cs="Arial"/>
                <w:sz w:val="20"/>
                <w:szCs w:val="20"/>
                <w:lang w:val="ro-RO" w:bidi="ar-SA"/>
              </w:rPr>
            </w:pPr>
            <w:r>
              <w:rPr>
                <w:rFonts w:ascii="Arial" w:hAnsi="Arial" w:cs="Arial"/>
                <w:sz w:val="20"/>
                <w:szCs w:val="20"/>
              </w:rPr>
              <w:t>This induction must take place within three months of commencement of employment.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framePr w:w="0" w:h="0" w:hRule="auto" w:vSpace="0" w:hSpace="0" w:wrap="auto" w:hAnchor="text" w:x="0" w:xAlign="left" w:yAlign="inline" w:anchorLock="0"/>
              <w:numPr>
                <w:ilvl w:val="0"/>
                <w:numId w:val="85"/>
              </w:numPr>
              <w:spacing w:before="0" w:after="19"/>
              <w:ind w:hanging="283" w:left="283" w:right="0"/>
              <w:rPr>
                <w:rFonts w:ascii="Arial" w:hAnsi="Arial" w:cs="Arial"/>
                <w:sz w:val="20"/>
                <w:szCs w:val="20"/>
              </w:rPr>
            </w:pPr>
            <w:r>
              <w:rPr>
                <w:rFonts w:ascii="Arial" w:hAnsi="Arial" w:cs="Arial"/>
                <w:sz w:val="20"/>
                <w:szCs w:val="20"/>
              </w:rPr>
              <w:t>A training plan for medical and nursing staff is to be presented outlining the planned training sessions for the period of one year.</w:t>
            </w:r>
          </w:p>
          <w:p>
            <w:pPr>
              <w:numPr>
                <w:ilvl w:val="0"/>
                <w:numId w:val="85"/>
              </w:numPr>
              <w:spacing w:before="0" w:after="19"/>
              <w:ind w:hanging="283" w:left="283"/>
              <w:rPr>
                <w:rFonts w:ascii="Arial" w:hAnsi="Arial" w:cs="Arial"/>
                <w:sz w:val="20"/>
                <w:szCs w:val="20"/>
                <w:lang w:val="ro-RO" w:bidi="ar-SA"/>
              </w:rPr>
            </w:pPr>
            <w:r>
              <w:rPr>
                <w:rFonts w:ascii="Arial" w:hAnsi="Arial" w:cs="Arial"/>
                <w:sz w:val="20"/>
                <w:szCs w:val="20"/>
              </w:rPr>
              <w:t xml:space="preserve">At least one dedicated continuing education/specialty training session for each staff member (minimum one day a year) who carries out quality-relevant tasks for the Oncology Centre.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Quality circles</w:t>
            </w:r>
          </w:p>
          <w:p>
            <w:pPr>
              <w:framePr w:w="0" w:h="0" w:hRule="auto" w:vSpace="0" w:hSpace="0" w:wrap="auto" w:hAnchor="text" w:x="0" w:xAlign="left" w:yAlign="inline" w:anchorLock="0"/>
              <w:numPr>
                <w:ilvl w:val="0"/>
                <w:numId w:val="86"/>
              </w:numPr>
              <w:spacing w:before="0" w:after="19"/>
              <w:ind w:hanging="283" w:left="283" w:right="0"/>
              <w:rPr>
                <w:rFonts w:ascii="Arial" w:hAnsi="Arial" w:cs="Arial"/>
                <w:sz w:val="20"/>
                <w:szCs w:val="20"/>
              </w:rPr>
            </w:pPr>
            <w:r>
              <w:rPr>
                <w:rFonts w:ascii="Arial" w:hAnsi="Arial" w:cs="Arial"/>
                <w:sz w:val="20"/>
                <w:szCs w:val="20"/>
              </w:rPr>
              <w:t>Staff are to stage or take part in at least three quality circles a year in which oncological topics are addressed.</w:t>
            </w:r>
          </w:p>
          <w:p>
            <w:pPr>
              <w:framePr w:w="0" w:h="0" w:hRule="auto" w:vSpace="0" w:hSpace="0" w:wrap="auto" w:hAnchor="text" w:x="0" w:xAlign="left" w:yAlign="inline" w:anchorLock="0"/>
              <w:numPr>
                <w:ilvl w:val="0"/>
                <w:numId w:val="86"/>
              </w:numPr>
              <w:spacing w:before="0" w:after="19"/>
              <w:ind w:hanging="283" w:left="283" w:right="0"/>
              <w:rPr>
                <w:rFonts w:ascii="Arial" w:hAnsi="Arial" w:cs="Arial"/>
                <w:sz w:val="20"/>
                <w:szCs w:val="20"/>
              </w:rPr>
            </w:pPr>
            <w:r>
              <w:rPr>
                <w:rFonts w:ascii="Arial" w:hAnsi="Arial" w:cs="Arial"/>
                <w:sz w:val="20"/>
                <w:szCs w:val="20"/>
              </w:rPr>
              <w:t>Scheduling, e.g. in training plan</w:t>
            </w:r>
          </w:p>
          <w:p>
            <w:pPr>
              <w:framePr w:w="0" w:h="0" w:hRule="auto" w:vSpace="0" w:hSpace="0" w:wrap="auto" w:hAnchor="text" w:x="0" w:xAlign="left" w:yAlign="inline" w:anchorLock="0"/>
              <w:numPr>
                <w:ilvl w:val="0"/>
                <w:numId w:val="86"/>
              </w:numPr>
              <w:spacing w:before="0" w:after="19"/>
              <w:ind w:hanging="283" w:left="283" w:right="0"/>
              <w:rPr>
                <w:rFonts w:ascii="Arial" w:hAnsi="Arial" w:cs="Arial"/>
                <w:sz w:val="20"/>
                <w:szCs w:val="20"/>
              </w:rPr>
            </w:pPr>
            <w:r>
              <w:rPr>
                <w:rFonts w:ascii="Arial" w:hAnsi="Arial" w:cs="Arial"/>
                <w:sz w:val="20"/>
                <w:szCs w:val="20"/>
              </w:rPr>
              <w:t>Quality circles are to be documented.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Participation in the quality circles organised centrally by the Oncology Centre is recognised (see “Catalogue of Requirements Section 1.2.14 Interdisciplinary Work”).</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5.</w:t>
        <w:tab/>
        <w:t xml:space="preserve"> Surgical 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5.1</w:t>
              <w:tab/>
              <w:t xml:space="preserve"> Cross-organ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statements below refer to the following cooperation partners: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General remark</w:t>
            </w:r>
          </w:p>
          <w:p>
            <w:pPr>
              <w:spacing w:before="0" w:after="19"/>
              <w:rPr>
                <w:rFonts w:ascii="Arial" w:hAnsi="Arial" w:cs="Arial"/>
                <w:sz w:val="20"/>
                <w:szCs w:val="20"/>
                <w:lang w:val="ro-RO" w:bidi="ar-SA"/>
              </w:rPr>
            </w:pPr>
            <w:r>
              <w:rPr>
                <w:rFonts w:ascii="Arial" w:hAnsi="Arial" w:cs="Arial"/>
                <w:sz w:val="20"/>
                <w:szCs w:val="20"/>
              </w:rPr>
              <w:t>Each of the cooperation partners of the Oncology Centre in the field of surgery must prove that it meets the requirements in this section of the Catalogue. Hence, each cooperation partner from this specialty is to process this section in detail or to make specific statements in this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Specialists</w:t>
            </w:r>
          </w:p>
          <w:p>
            <w:pPr>
              <w:framePr w:w="0" w:h="0" w:hRule="auto" w:vSpace="0" w:hSpace="0" w:wrap="auto" w:hAnchor="text" w:x="0" w:xAlign="left" w:yAlign="inline" w:anchorLock="0"/>
              <w:numPr>
                <w:ilvl w:val="0"/>
                <w:numId w:val="87"/>
              </w:numPr>
              <w:spacing w:before="0" w:after="19"/>
              <w:ind w:hanging="283" w:left="283" w:right="0"/>
              <w:rPr>
                <w:rFonts w:ascii="Arial" w:hAnsi="Arial" w:cs="Arial"/>
                <w:sz w:val="20"/>
                <w:szCs w:val="20"/>
              </w:rPr>
            </w:pPr>
            <w:r>
              <w:rPr>
                <w:rFonts w:ascii="Arial" w:hAnsi="Arial" w:cs="Arial"/>
                <w:sz w:val="20"/>
                <w:szCs w:val="20"/>
              </w:rPr>
              <w:t>At least one specialist for visceral surgery Cover staff member with equivalent qualifications is to be designated in writing.</w:t>
            </w:r>
          </w:p>
          <w:p>
            <w:pPr>
              <w:numPr>
                <w:ilvl w:val="0"/>
                <w:numId w:val="87"/>
              </w:numPr>
              <w:spacing w:before="0" w:after="19"/>
              <w:ind w:hanging="283" w:left="283"/>
              <w:rPr>
                <w:rFonts w:ascii="Arial" w:hAnsi="Arial" w:cs="Arial"/>
                <w:sz w:val="20"/>
                <w:szCs w:val="20"/>
                <w:lang w:val="ro-RO" w:bidi="ar-SA"/>
              </w:rPr>
            </w:pPr>
            <w:r>
              <w:rPr>
                <w:rFonts w:ascii="Arial" w:hAnsi="Arial" w:cs="Arial"/>
                <w:sz w:val="20"/>
                <w:szCs w:val="20"/>
              </w:rPr>
              <w:t>Specialists are to be designated by name. If necessary documented in a cooperation agreement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Availability/ On call</w:t>
            </w:r>
          </w:p>
          <w:p>
            <w:pPr>
              <w:framePr w:w="0" w:h="0" w:hRule="auto" w:vSpace="0" w:hSpace="0" w:wrap="auto" w:hAnchor="text" w:x="0" w:xAlign="left" w:yAlign="inline" w:anchorLock="0"/>
              <w:numPr>
                <w:ilvl w:val="0"/>
                <w:numId w:val="88"/>
              </w:numPr>
              <w:spacing w:before="0" w:after="19"/>
              <w:ind w:hanging="283" w:left="283" w:right="0"/>
              <w:rPr>
                <w:rFonts w:ascii="Arial" w:hAnsi="Arial" w:cs="Arial"/>
                <w:sz w:val="20"/>
                <w:szCs w:val="20"/>
              </w:rPr>
            </w:pPr>
            <w:r>
              <w:rPr>
                <w:rFonts w:ascii="Arial" w:hAnsi="Arial" w:cs="Arial"/>
                <w:sz w:val="20"/>
                <w:szCs w:val="20"/>
              </w:rPr>
              <w:t>24h-availability of a surgical specialist including weekends and public holidays</w:t>
            </w:r>
          </w:p>
          <w:p>
            <w:pPr>
              <w:numPr>
                <w:ilvl w:val="0"/>
                <w:numId w:val="88"/>
              </w:numPr>
              <w:spacing w:before="0" w:after="19"/>
              <w:ind w:hanging="283" w:left="283"/>
              <w:rPr>
                <w:rFonts w:ascii="Arial" w:hAnsi="Arial" w:cs="Arial"/>
                <w:sz w:val="20"/>
                <w:szCs w:val="20"/>
                <w:lang w:val="ro-RO" w:bidi="ar-SA"/>
              </w:rPr>
            </w:pPr>
            <w:r>
              <w:rPr>
                <w:rFonts w:ascii="Arial" w:hAnsi="Arial" w:cs="Arial"/>
                <w:sz w:val="20"/>
                <w:szCs w:val="20"/>
              </w:rPr>
              <w:t>24 hour emergency surgical care must be guaranteed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Case numbers surgery</w:t>
            </w:r>
          </w:p>
          <w:p>
            <w:pPr>
              <w:numPr>
                <w:ilvl w:val="0"/>
                <w:numId w:val="89"/>
              </w:numPr>
              <w:spacing w:before="0" w:after="19"/>
              <w:ind w:hanging="283" w:left="283"/>
              <w:rPr>
                <w:rFonts w:ascii="Arial" w:hAnsi="Arial" w:cs="Arial"/>
                <w:sz w:val="20"/>
                <w:szCs w:val="20"/>
                <w:lang w:val="ro-RO" w:bidi="ar-SA"/>
              </w:rPr>
            </w:pPr>
            <w:r>
              <w:rPr>
                <w:rFonts w:ascii="Arial" w:hAnsi="Arial" w:cs="Arial"/>
                <w:sz w:val="20"/>
                <w:szCs w:val="20"/>
              </w:rPr>
              <w:t>The organ-specific requirements are documented in Section 5.2 of the organ-specific Catalogues of Requirements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Interdisciplinary approach</w:t>
            </w:r>
          </w:p>
          <w:p>
            <w:pPr>
              <w:numPr>
                <w:ilvl w:val="0"/>
                <w:numId w:val="90"/>
              </w:numPr>
              <w:spacing w:before="0" w:after="19"/>
              <w:ind w:hanging="283" w:left="283"/>
              <w:rPr>
                <w:rFonts w:ascii="Arial" w:hAnsi="Arial" w:cs="Arial"/>
                <w:sz w:val="20"/>
                <w:szCs w:val="20"/>
                <w:lang w:val="ro-RO" w:bidi="ar-SA"/>
              </w:rPr>
            </w:pPr>
            <w:r>
              <w:rPr>
                <w:rFonts w:ascii="Arial" w:hAnsi="Arial" w:cs="Arial"/>
                <w:sz w:val="20"/>
                <w:szCs w:val="20"/>
              </w:rPr>
              <w:t>For every tumour patient at an advanced stage of disease and/or with remote metastasis, the approach to be adopted is to be planned and documented prior to surgery by the specialist disciplines involved in line with the recommendation of the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Standard operating procedures (SOPs)</w:t>
            </w:r>
          </w:p>
          <w:p>
            <w:pPr>
              <w:framePr w:w="0" w:h="0" w:hRule="auto" w:vSpace="0" w:hSpace="0" w:wrap="auto" w:hAnchor="text" w:x="0" w:xAlign="left" w:yAlign="inline" w:anchorLock="0"/>
              <w:numPr>
                <w:ilvl w:val="0"/>
                <w:numId w:val="91"/>
              </w:numPr>
              <w:spacing w:before="0" w:after="19"/>
              <w:ind w:hanging="283" w:left="283" w:right="0"/>
              <w:rPr>
                <w:rFonts w:ascii="Arial" w:hAnsi="Arial" w:cs="Arial"/>
                <w:sz w:val="20"/>
                <w:szCs w:val="20"/>
              </w:rPr>
            </w:pPr>
            <w:r>
              <w:rPr>
                <w:rFonts w:ascii="Arial" w:hAnsi="Arial" w:cs="Arial"/>
                <w:sz w:val="20"/>
                <w:szCs w:val="20"/>
              </w:rPr>
              <w:t>The care concepts for special surgical treatment needs (metastasis, advanced stages of recurrence, etc.) are to be presented (e.g. cooperation urology, neurosurgery, casualty surgery, thoracic surgery, vascular surgery)</w:t>
            </w:r>
          </w:p>
          <w:p>
            <w:pPr>
              <w:framePr w:w="0" w:h="0" w:hRule="auto" w:vSpace="0" w:hSpace="0" w:wrap="auto" w:hAnchor="text" w:x="0" w:xAlign="left" w:yAlign="inline" w:anchorLock="0"/>
              <w:numPr>
                <w:ilvl w:val="0"/>
                <w:numId w:val="91"/>
              </w:numPr>
              <w:spacing w:before="0" w:after="19"/>
              <w:ind w:hanging="283" w:left="283" w:right="0"/>
              <w:rPr>
                <w:rFonts w:ascii="Arial" w:hAnsi="Arial" w:cs="Arial"/>
                <w:sz w:val="20"/>
                <w:szCs w:val="20"/>
              </w:rPr>
            </w:pPr>
            <w:r>
              <w:rPr>
                <w:rFonts w:ascii="Arial" w:hAnsi="Arial" w:cs="Arial"/>
                <w:sz w:val="20"/>
                <w:szCs w:val="20"/>
              </w:rPr>
              <w:t>For patients with myelon compression and neurological symptoms, an SOP for "treatment must be established within 24h of suspected diagnosis"</w:t>
            </w:r>
          </w:p>
          <w:p>
            <w:pPr>
              <w:framePr w:w="0" w:h="0" w:hRule="auto" w:vSpace="0" w:hSpace="0" w:wrap="auto" w:hAnchor="text" w:x="0" w:xAlign="left" w:yAlign="inline" w:anchorLock="0"/>
              <w:numPr>
                <w:ilvl w:val="0"/>
                <w:numId w:val="91"/>
              </w:numPr>
              <w:spacing w:before="0" w:after="19"/>
              <w:ind w:hanging="283" w:left="283" w:right="0"/>
              <w:rPr>
                <w:rFonts w:ascii="Arial" w:hAnsi="Arial" w:cs="Arial"/>
                <w:sz w:val="20"/>
                <w:szCs w:val="20"/>
              </w:rPr>
            </w:pPr>
            <w:r>
              <w:rPr>
                <w:rFonts w:ascii="Arial" w:hAnsi="Arial" w:cs="Arial"/>
                <w:sz w:val="20"/>
                <w:szCs w:val="20"/>
              </w:rPr>
              <w:t>The interdisciplinary procedure for surgical procedures, bearing in mind the interfaces, must be described, and the concept with corresponding cooperation agreements must be presented at certification</w:t>
            </w:r>
          </w:p>
          <w:p>
            <w:pPr>
              <w:framePr w:w="0" w:h="0" w:hRule="auto" w:vSpace="0" w:hSpace="0" w:wrap="auto" w:hAnchor="text" w:x="0" w:xAlign="left" w:yAlign="inline" w:anchorLock="0"/>
              <w:numPr>
                <w:ilvl w:val="0"/>
                <w:numId w:val="91"/>
              </w:numPr>
              <w:spacing w:before="0" w:after="19"/>
              <w:ind w:hanging="283" w:left="283" w:right="0"/>
              <w:rPr>
                <w:rFonts w:ascii="Arial" w:hAnsi="Arial" w:cs="Arial"/>
                <w:sz w:val="20"/>
                <w:szCs w:val="20"/>
              </w:rPr>
            </w:pPr>
            <w:r>
              <w:rPr>
                <w:rFonts w:ascii="Arial" w:hAnsi="Arial" w:cs="Arial"/>
                <w:sz w:val="20"/>
                <w:szCs w:val="20"/>
              </w:rPr>
              <w:t>Post-operative care of patients with intraoperative surgical results</w:t>
            </w:r>
          </w:p>
          <w:p>
            <w:pPr>
              <w:framePr w:w="0" w:h="0" w:hRule="auto" w:vSpace="0" w:hSpace="0" w:wrap="auto" w:hAnchor="text" w:x="0" w:xAlign="left" w:yAlign="inline" w:anchorLock="0"/>
              <w:numPr>
                <w:ilvl w:val="0"/>
                <w:numId w:val="91"/>
              </w:numPr>
              <w:spacing w:before="0" w:after="19"/>
              <w:ind w:hanging="283" w:left="283" w:right="0"/>
              <w:rPr>
                <w:rFonts w:ascii="Arial" w:hAnsi="Arial" w:cs="Arial"/>
                <w:sz w:val="20"/>
                <w:szCs w:val="20"/>
              </w:rPr>
            </w:pPr>
            <w:r>
              <w:rPr>
                <w:rFonts w:ascii="Arial" w:hAnsi="Arial" w:cs="Arial"/>
                <w:sz w:val="20"/>
                <w:szCs w:val="20"/>
              </w:rPr>
              <w:t>Options for intensive medical care</w:t>
            </w:r>
          </w:p>
          <w:p>
            <w:pPr>
              <w:framePr w:w="0" w:h="0" w:hRule="auto" w:vSpace="0" w:hSpace="0" w:wrap="auto" w:hAnchor="text" w:x="0" w:xAlign="left" w:yAlign="inline" w:anchorLock="0"/>
              <w:numPr>
                <w:ilvl w:val="0"/>
                <w:numId w:val="91"/>
              </w:numPr>
              <w:spacing w:before="0" w:after="19"/>
              <w:ind w:hanging="283" w:left="283" w:right="0"/>
              <w:rPr>
                <w:rFonts w:ascii="Arial" w:hAnsi="Arial" w:cs="Arial"/>
                <w:sz w:val="20"/>
                <w:szCs w:val="20"/>
              </w:rPr>
            </w:pPr>
            <w:r>
              <w:rPr>
                <w:rFonts w:ascii="Arial" w:hAnsi="Arial" w:cs="Arial"/>
                <w:sz w:val="20"/>
                <w:szCs w:val="20"/>
              </w:rPr>
              <w:t>Transfer back to the general ward after treatment by the primary specialty</w:t>
            </w:r>
          </w:p>
          <w:p>
            <w:pPr>
              <w:numPr>
                <w:ilvl w:val="0"/>
                <w:numId w:val="91"/>
              </w:numPr>
              <w:spacing w:before="0" w:after="19"/>
              <w:ind w:hanging="283" w:left="283"/>
              <w:rPr>
                <w:rFonts w:ascii="Arial" w:hAnsi="Arial" w:cs="Arial"/>
                <w:sz w:val="20"/>
                <w:szCs w:val="20"/>
                <w:lang w:val="ro-RO" w:bidi="ar-SA"/>
              </w:rPr>
            </w:pPr>
            <w:r>
              <w:rPr>
                <w:rFonts w:ascii="Arial" w:hAnsi="Arial" w:cs="Arial"/>
                <w:sz w:val="20"/>
                <w:szCs w:val="20"/>
              </w:rPr>
              <w:t>Supportive measures in accordance with the guidelines are to be described for the individual therapy concepts and documented in detail for each patient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5.2</w:t>
              <w:tab/>
              <w:t xml:space="preserve"> Organ-specific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requirements to be met by organ-specific surgical treatment are set out in the Catalogues of Requirements of the corresponding Organ Cancer Centres/Modules and must be met in full.</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units which treat tumour entities, that are not or cannot be treated in a certified Organ Cancer Centre, must show proof of specialist qualifications and treatment concepts.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Organ-specific presentation in accordance with the template “Catalogue of Requirement Oncology Centres – Annex tumour entity”</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6.</w:t>
        <w:tab/>
        <w:t xml:space="preserve"> Medicinal oncology / Systemic therapy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6.1</w:t>
              <w:tab/>
              <w:t xml:space="preserve"> Medical 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statements below refer to the following cooperation partners: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General remark</w:t>
            </w:r>
          </w:p>
          <w:p>
            <w:pPr>
              <w:spacing w:before="0" w:after="19"/>
              <w:rPr>
                <w:rFonts w:ascii="Arial" w:hAnsi="Arial" w:cs="Arial"/>
                <w:sz w:val="20"/>
                <w:szCs w:val="20"/>
                <w:lang w:val="ro-RO" w:bidi="ar-SA"/>
              </w:rPr>
            </w:pPr>
            <w:r>
              <w:rPr>
                <w:rFonts w:ascii="Arial" w:hAnsi="Arial" w:cs="Arial"/>
                <w:sz w:val="20"/>
                <w:szCs w:val="20"/>
              </w:rPr>
              <w:t>Each of the cooperation partners (haematologists and oncologists) of the Oncology Centre must prove that it meets the requirements in this section of the Catalogue in the field of medical oncological therapy. Hence, each cooperation partner from this specialty is to process this section in detail or to make specific statements in this section. This also applies when inpatient and outpatient therapy is provided by different cooperation partners (separation inpatient/ outpatient).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6.1.2</w:t>
            </w:r>
          </w:p>
        </w:tc>
        <w:tc>
          <w:tcPr>
            <w:tcW w:w="1" w:type="dxa"/>
          </w:tcPr>
          <w:p>
            <w:pPr>
              <w:spacing w:before="0" w:after="19"/>
              <w:rPr>
                <w:rFonts w:ascii="Arial" w:hAnsi="Arial" w:cs="Arial"/>
                <w:sz w:val="20"/>
                <w:szCs w:val="20"/>
                <w:lang w:val="ro-RO" w:bidi="ar-SA"/>
              </w:rPr>
            </w:pPr>
            <w:r>
              <w:rPr>
                <w:rFonts w:ascii="Arial" w:hAnsi="Arial" w:cs="Arial"/>
                <w:sz w:val="20"/>
                <w:szCs w:val="20"/>
              </w:rPr>
              <w:t>It is preferable for systemic therapy to take place in central therapy units with multidisciplinary support.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Medical qualifications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numPr>
                <w:ilvl w:val="0"/>
                <w:numId w:val="92"/>
              </w:numPr>
              <w:spacing w:before="0" w:after="19"/>
              <w:ind w:hanging="283" w:left="283" w:right="0"/>
              <w:rPr>
                <w:rFonts w:ascii="Arial" w:hAnsi="Arial" w:cs="Arial"/>
                <w:sz w:val="20"/>
                <w:szCs w:val="20"/>
              </w:rPr>
            </w:pPr>
            <w:r>
              <w:rPr>
                <w:rFonts w:ascii="Arial" w:hAnsi="Arial" w:cs="Arial"/>
                <w:sz w:val="20"/>
                <w:szCs w:val="20"/>
              </w:rPr>
              <w:t>Specialist for internal medicine, haematology and medical oncology</w:t>
            </w:r>
          </w:p>
          <w:p>
            <w:pPr>
              <w:framePr w:w="0" w:h="0" w:hRule="auto" w:vSpace="0" w:hSpace="0" w:wrap="auto" w:hAnchor="text" w:x="0" w:xAlign="left" w:yAlign="inline" w:anchorLock="0"/>
              <w:numPr>
                <w:ilvl w:val="0"/>
                <w:numId w:val="92"/>
              </w:numPr>
              <w:spacing w:before="0" w:after="19"/>
              <w:ind w:hanging="283" w:left="283" w:right="0"/>
              <w:rPr>
                <w:rFonts w:ascii="Arial" w:hAnsi="Arial" w:cs="Arial"/>
                <w:sz w:val="20"/>
                <w:szCs w:val="20"/>
              </w:rPr>
            </w:pPr>
            <w:r>
              <w:rPr>
                <w:rFonts w:ascii="Arial" w:hAnsi="Arial" w:cs="Arial"/>
                <w:sz w:val="20"/>
                <w:szCs w:val="20"/>
              </w:rPr>
              <w:t>A cover staff member with the aforementioned qualifications is to be designated by name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Requirements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Eligible for specialty training by the competent medical board in haematology and medical oncology.</w:t>
            </w:r>
          </w:p>
          <w:p>
            <w:pPr>
              <w:spacing w:before="0" w:after="19"/>
              <w:rPr>
                <w:rFonts w:ascii="Arial" w:hAnsi="Arial" w:cs="Arial"/>
                <w:sz w:val="20"/>
                <w:szCs w:val="20"/>
                <w:lang w:val="ro-RO" w:bidi="ar-SA"/>
              </w:rPr>
            </w:pPr>
            <w:r>
              <w:rPr>
                <w:rFonts w:ascii="Arial" w:hAnsi="Arial" w:cs="Arial"/>
                <w:sz w:val="20"/>
                <w:szCs w:val="20"/>
              </w:rPr>
              <w:t>If there is no eligibility for full specialty training, the provisions in Sections 6.1.4 – 6.1.6 must be complied with.</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6.1.4</w:t>
            </w:r>
          </w:p>
        </w:tc>
        <w:tc>
          <w:tcPr>
            <w:tcW w:w="1" w:type="dxa"/>
          </w:tcPr>
          <w:p>
            <w:pPr>
              <w:spacing w:before="0" w:after="19"/>
              <w:rPr>
                <w:rFonts w:ascii="Arial" w:hAnsi="Arial" w:cs="Arial"/>
                <w:sz w:val="20"/>
                <w:szCs w:val="20"/>
                <w:lang w:val="ro-RO" w:bidi="ar-SA"/>
              </w:rPr>
            </w:pPr>
            <w:r>
              <w:rPr>
                <w:rFonts w:ascii="Arial" w:hAnsi="Arial" w:cs="Arial"/>
                <w:sz w:val="20"/>
                <w:szCs w:val="20"/>
              </w:rPr>
              <w:t>Cooperation with a unit for allogenic and autologic stem cell transplantation must be documented in the case of the corresponding scope of the OC. If necessary by means of cooperation. A standard operating procedure (SOP) should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Availability/ On call</w:t>
            </w:r>
          </w:p>
          <w:p>
            <w:pPr>
              <w:framePr w:w="0" w:h="0" w:hRule="auto" w:vSpace="0" w:hSpace="0" w:wrap="auto" w:hAnchor="text" w:x="0" w:xAlign="left" w:yAlign="inline" w:anchorLock="0"/>
              <w:numPr>
                <w:ilvl w:val="0"/>
                <w:numId w:val="93"/>
              </w:numPr>
              <w:spacing w:before="0" w:after="19"/>
              <w:ind w:hanging="283" w:left="283" w:right="0"/>
              <w:rPr>
                <w:rFonts w:ascii="Arial" w:hAnsi="Arial" w:cs="Arial"/>
                <w:sz w:val="20"/>
                <w:szCs w:val="20"/>
              </w:rPr>
            </w:pPr>
            <w:r>
              <w:rPr>
                <w:rFonts w:ascii="Arial" w:hAnsi="Arial" w:cs="Arial"/>
                <w:sz w:val="20"/>
                <w:szCs w:val="20"/>
              </w:rPr>
              <w:t>24-hour availability of a specialist for internal medicine, haematology and medical oncology including weekends and public holidays</w:t>
            </w:r>
          </w:p>
          <w:p>
            <w:pPr>
              <w:framePr w:w="0" w:h="0" w:hRule="auto" w:vSpace="0" w:hSpace="0" w:wrap="auto" w:hAnchor="text" w:x="0" w:xAlign="left" w:yAlign="inline" w:anchorLock="0"/>
              <w:numPr>
                <w:ilvl w:val="0"/>
                <w:numId w:val="93"/>
              </w:numPr>
              <w:spacing w:before="0" w:after="19"/>
              <w:ind w:hanging="283" w:left="283" w:right="0"/>
              <w:rPr>
                <w:rFonts w:ascii="Arial" w:hAnsi="Arial" w:cs="Arial"/>
                <w:sz w:val="20"/>
                <w:szCs w:val="20"/>
              </w:rPr>
            </w:pPr>
            <w:r>
              <w:rPr>
                <w:rFonts w:ascii="Arial" w:hAnsi="Arial" w:cs="Arial"/>
                <w:sz w:val="20"/>
                <w:szCs w:val="20"/>
              </w:rPr>
              <w:t>Arrangements for ward rounds must be in place at the weekend.</w:t>
            </w:r>
          </w:p>
          <w:p>
            <w:pPr>
              <w:numPr>
                <w:ilvl w:val="0"/>
                <w:numId w:val="93"/>
              </w:numPr>
              <w:spacing w:before="0" w:after="19"/>
              <w:ind w:hanging="283" w:left="283"/>
              <w:rPr>
                <w:rFonts w:ascii="Arial" w:hAnsi="Arial" w:cs="Arial"/>
                <w:sz w:val="20"/>
                <w:szCs w:val="20"/>
                <w:lang w:val="ro-RO" w:bidi="ar-SA"/>
              </w:rPr>
            </w:pPr>
            <w:r>
              <w:rPr>
                <w:rFonts w:ascii="Arial" w:hAnsi="Arial" w:cs="Arial"/>
                <w:sz w:val="20"/>
                <w:szCs w:val="20"/>
              </w:rPr>
              <w:t>A visitation shift must be set up for the weekend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6.1.6</w:t>
            </w:r>
          </w:p>
        </w:tc>
        <w:tc>
          <w:tcPr>
            <w:tcW w:w="1" w:type="dxa"/>
          </w:tcPr>
          <w:p>
            <w:pPr>
              <w:framePr w:w="0" w:h="0" w:hRule="auto" w:vSpace="0" w:hSpace="0" w:wrap="auto" w:hAnchor="text" w:x="0" w:xAlign="left" w:yAlign="inline" w:anchorLock="0"/>
              <w:numPr>
                <w:ilvl w:val="0"/>
                <w:numId w:val="94"/>
              </w:numPr>
              <w:spacing w:before="0" w:after="19"/>
              <w:ind w:hanging="283" w:left="283" w:right="0"/>
              <w:rPr>
                <w:rFonts w:ascii="Arial" w:hAnsi="Arial" w:cs="Arial"/>
                <w:sz w:val="20"/>
                <w:szCs w:val="20"/>
              </w:rPr>
            </w:pPr>
            <w:r>
              <w:rPr>
                <w:rFonts w:ascii="Arial" w:hAnsi="Arial" w:cs="Arial"/>
                <w:sz w:val="20"/>
                <w:szCs w:val="20"/>
              </w:rPr>
              <w:t>Beds in a closed inpatient unit for haematological and oncological patients in facilities, which meet the requirements for continuing education facilities for haematology and oncology, must be available at all times (verification via the OC bed plan)</w:t>
            </w:r>
          </w:p>
          <w:p>
            <w:pPr>
              <w:framePr w:w="0" w:h="0" w:hRule="auto" w:vSpace="0" w:hSpace="0" w:wrap="auto" w:hAnchor="text" w:x="0" w:xAlign="left" w:yAlign="inline" w:anchorLock="0"/>
              <w:numPr>
                <w:ilvl w:val="0"/>
                <w:numId w:val="94"/>
              </w:numPr>
              <w:spacing w:before="0" w:after="19"/>
              <w:ind w:hanging="283" w:left="283" w:right="0"/>
              <w:rPr>
                <w:rFonts w:ascii="Arial" w:hAnsi="Arial" w:cs="Arial"/>
                <w:sz w:val="20"/>
                <w:szCs w:val="20"/>
              </w:rPr>
            </w:pPr>
            <w:r>
              <w:rPr>
                <w:rFonts w:ascii="Arial" w:hAnsi="Arial" w:cs="Arial"/>
                <w:sz w:val="20"/>
                <w:szCs w:val="20"/>
              </w:rPr>
              <w:t>The isolation and protective isolation of patients must be possible and corresponding measures (e.g. hand disinfection, screening for problematic germs, filters) must be in place (standard operating procedure [SOP]).</w:t>
            </w:r>
          </w:p>
          <w:p>
            <w:pPr>
              <w:numPr>
                <w:ilvl w:val="0"/>
                <w:numId w:val="94"/>
              </w:numPr>
              <w:spacing w:before="0" w:after="19"/>
              <w:ind w:hanging="283" w:left="283"/>
              <w:rPr>
                <w:rFonts w:ascii="Arial" w:hAnsi="Arial" w:cs="Arial"/>
                <w:sz w:val="20"/>
                <w:szCs w:val="20"/>
                <w:lang w:val="ro-RO" w:bidi="ar-SA"/>
              </w:rPr>
            </w:pPr>
            <w:r>
              <w:rPr>
                <w:rFonts w:ascii="Arial" w:hAnsi="Arial" w:cs="Arial"/>
                <w:sz w:val="20"/>
                <w:szCs w:val="20"/>
              </w:rPr>
              <w:t>Individual monitoring places or monitors and access to intensive care must be available in the same hospital at all times for oncology patients.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6.1.7</w:t>
            </w:r>
          </w:p>
        </w:tc>
        <w:tc>
          <w:tcPr>
            <w:tcW w:w="1" w:type="dxa"/>
          </w:tcPr>
          <w:p>
            <w:pPr>
              <w:spacing w:before="0" w:after="19"/>
              <w:rPr>
                <w:rFonts w:ascii="Arial" w:hAnsi="Arial" w:cs="Arial"/>
                <w:sz w:val="20"/>
                <w:szCs w:val="20"/>
                <w:lang w:val="ro-RO" w:bidi="ar-SA"/>
              </w:rPr>
            </w:pPr>
            <w:r>
              <w:rPr>
                <w:rFonts w:ascii="Arial" w:hAnsi="Arial" w:cs="Arial"/>
                <w:sz w:val="20"/>
                <w:szCs w:val="20"/>
              </w:rPr>
              <w:t>Cooperation with specialists for haematology and medical oncology who work with outpatients must be documented (e.g. also via authorisation, multidisciplinary systemic therapeutic unit).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6.1.8</w:t>
            </w:r>
          </w:p>
        </w:tc>
        <w:tc>
          <w:tcPr>
            <w:tcW w:w="1" w:type="dxa"/>
          </w:tcPr>
          <w:p>
            <w:pPr>
              <w:spacing w:before="0" w:after="19"/>
              <w:rPr>
                <w:rFonts w:ascii="Arial" w:hAnsi="Arial" w:cs="Arial"/>
                <w:sz w:val="20"/>
                <w:szCs w:val="20"/>
                <w:lang w:val="ro-RO" w:bidi="ar-SA"/>
              </w:rPr>
            </w:pPr>
            <w:r>
              <w:rPr>
                <w:rFonts w:ascii="Arial" w:hAnsi="Arial" w:cs="Arial"/>
                <w:sz w:val="20"/>
                <w:szCs w:val="20"/>
              </w:rPr>
              <w:t xml:space="preserve">Provision of oncological consultation services for all inpatient departments on site that are involved in tumour therapy.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6.1.9</w:t>
            </w:r>
          </w:p>
        </w:tc>
        <w:tc>
          <w:tcPr>
            <w:tcW w:w="1" w:type="dxa"/>
          </w:tcPr>
          <w:p>
            <w:pPr>
              <w:spacing w:before="0" w:after="19"/>
              <w:rPr>
                <w:rFonts w:ascii="Arial" w:hAnsi="Arial" w:cs="Arial"/>
                <w:sz w:val="20"/>
                <w:szCs w:val="20"/>
                <w:lang w:val="ro-RO" w:bidi="ar-SA"/>
              </w:rPr>
            </w:pPr>
            <w:r>
              <w:rPr>
                <w:rFonts w:ascii="Arial" w:hAnsi="Arial" w:cs="Arial"/>
                <w:sz w:val="20"/>
                <w:szCs w:val="20"/>
              </w:rPr>
              <w:t>The standard operating procedure for using the on-call services of the specialist for internal medicine, haematology and medical oncology for patients who come to the hospital must be described and presented using concrete cases.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Participation in the tumour board</w:t>
            </w:r>
          </w:p>
          <w:p>
            <w:pPr>
              <w:spacing w:before="0" w:after="19"/>
              <w:rPr>
                <w:rFonts w:ascii="Arial" w:hAnsi="Arial" w:cs="Arial"/>
                <w:sz w:val="20"/>
                <w:szCs w:val="20"/>
                <w:lang w:val="ro-RO" w:bidi="ar-SA"/>
              </w:rPr>
            </w:pPr>
            <w:r>
              <w:rPr>
                <w:rFonts w:ascii="Arial" w:hAnsi="Arial" w:cs="Arial"/>
                <w:sz w:val="20"/>
                <w:szCs w:val="20"/>
              </w:rPr>
              <w:t>Participation in the tumour board is mandatory.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Therapy plan/ttumour board minutes</w:t>
            </w:r>
          </w:p>
          <w:p>
            <w:pPr>
              <w:framePr w:w="0" w:h="0" w:hRule="auto" w:vSpace="0" w:hSpace="0" w:wrap="auto" w:hAnchor="text" w:x="0" w:xAlign="left" w:yAlign="inline" w:anchorLock="0"/>
              <w:numPr>
                <w:ilvl w:val="0"/>
                <w:numId w:val="95"/>
              </w:numPr>
              <w:spacing w:before="0" w:after="19"/>
              <w:ind w:hanging="283" w:left="283" w:right="0"/>
              <w:rPr>
                <w:rFonts w:ascii="Arial" w:hAnsi="Arial" w:cs="Arial"/>
                <w:sz w:val="20"/>
                <w:szCs w:val="20"/>
              </w:rPr>
            </w:pPr>
            <w:r>
              <w:rPr>
                <w:rFonts w:ascii="Arial" w:hAnsi="Arial" w:cs="Arial"/>
                <w:sz w:val="20"/>
                <w:szCs w:val="20"/>
              </w:rPr>
              <w:t>In principle, therapy plans and recommendations of the tumour board are binding and form the basis for treatment.</w:t>
            </w:r>
          </w:p>
          <w:p>
            <w:pPr>
              <w:framePr w:w="0" w:h="0" w:hRule="auto" w:vSpace="0" w:hSpace="0" w:wrap="auto" w:hAnchor="text" w:x="0" w:xAlign="left" w:yAlign="inline" w:anchorLock="0"/>
              <w:numPr>
                <w:ilvl w:val="0"/>
                <w:numId w:val="95"/>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Therapy plan/tumour board minutes must be available in the patient-based documentation.</w:t>
            </w:r>
          </w:p>
          <w:p>
            <w:pPr>
              <w:framePr w:w="0" w:h="0" w:hRule="auto" w:vSpace="0" w:hSpace="0" w:wrap="auto" w:hAnchor="text" w:x="0" w:xAlign="left" w:yAlign="inline" w:anchorLock="0"/>
              <w:numPr>
                <w:ilvl w:val="0"/>
                <w:numId w:val="95"/>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If there are any deviations from the recommended therapy plan, they are to be presented at the tumour board.</w:t>
            </w:r>
          </w:p>
          <w:p>
            <w:pPr>
              <w:numPr>
                <w:ilvl w:val="0"/>
                <w:numId w:val="95"/>
              </w:numPr>
              <w:spacing w:before="0" w:after="19"/>
              <w:ind w:hanging="283" w:left="283"/>
              <w:rPr>
                <w:rFonts w:ascii="Arial" w:hAnsi="Arial" w:cs="Arial"/>
                <w:sz w:val="20"/>
                <w:szCs w:val="20"/>
                <w:lang w:val="ro-RO" w:bidi="ar-SA"/>
              </w:rPr>
            </w:pPr>
            <w:r>
              <w:rPr>
                <w:rFonts w:ascii="Arial" w:hAnsi="Arial" w:cs="Arial"/>
                <w:sz w:val="20"/>
                <w:szCs w:val="20"/>
              </w:rPr>
              <w:t>Supportive measures in accordance with the guidelines are to be described for the individual therapy concepts and documented in detail for each 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framePr w:w="0" w:h="0" w:hRule="auto" w:vSpace="0" w:hSpace="0" w:wrap="auto" w:hAnchor="text" w:x="0" w:xAlign="left" w:yAlign="inline" w:anchorLock="0"/>
              <w:numPr>
                <w:ilvl w:val="0"/>
                <w:numId w:val="96"/>
              </w:numPr>
              <w:spacing w:before="0" w:after="19"/>
              <w:ind w:hanging="283" w:left="283" w:right="0"/>
              <w:rPr>
                <w:rFonts w:ascii="Arial" w:hAnsi="Arial" w:cs="Arial"/>
                <w:sz w:val="20"/>
                <w:szCs w:val="20"/>
              </w:rPr>
            </w:pPr>
            <w:r>
              <w:rPr>
                <w:rFonts w:ascii="Arial" w:hAnsi="Arial" w:cs="Arial"/>
                <w:sz w:val="20"/>
                <w:szCs w:val="20"/>
              </w:rPr>
              <w:t>A training plan for medical and nursing staff is to be presented listing the planned training sessions for the period of one year.</w:t>
            </w:r>
          </w:p>
          <w:p>
            <w:pPr>
              <w:numPr>
                <w:ilvl w:val="0"/>
                <w:numId w:val="96"/>
              </w:numPr>
              <w:spacing w:before="0" w:after="19"/>
              <w:ind w:hanging="283" w:left="283"/>
              <w:rPr>
                <w:rFonts w:ascii="Arial" w:hAnsi="Arial" w:cs="Arial"/>
                <w:sz w:val="20"/>
                <w:szCs w:val="20"/>
                <w:lang w:val="ro-RO" w:bidi="ar-SA"/>
              </w:rPr>
            </w:pPr>
            <w:r>
              <w:rPr>
                <w:rFonts w:ascii="Arial" w:hAnsi="Arial" w:cs="Arial"/>
                <w:sz w:val="20"/>
                <w:szCs w:val="20"/>
              </w:rPr>
              <w:t xml:space="preserve">At least 1 specific continuing education/ specialty training session for each staff member (minimum 1 day a year) who carries out quality-relevant activities for the Oncology Centre.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Quality circles</w:t>
            </w:r>
          </w:p>
          <w:p>
            <w:pPr>
              <w:framePr w:w="0" w:h="0" w:hRule="auto" w:vSpace="0" w:hSpace="0" w:wrap="auto" w:hAnchor="text" w:x="0" w:xAlign="left" w:yAlign="inline" w:anchorLock="0"/>
              <w:numPr>
                <w:ilvl w:val="0"/>
                <w:numId w:val="97"/>
              </w:numPr>
              <w:spacing w:before="0" w:after="19"/>
              <w:ind w:hanging="283" w:left="283" w:right="0"/>
              <w:rPr>
                <w:rFonts w:ascii="Arial" w:hAnsi="Arial" w:cs="Arial"/>
                <w:sz w:val="20"/>
                <w:szCs w:val="20"/>
              </w:rPr>
            </w:pPr>
            <w:r>
              <w:rPr>
                <w:rFonts w:ascii="Arial" w:hAnsi="Arial" w:cs="Arial"/>
                <w:sz w:val="20"/>
                <w:szCs w:val="20"/>
              </w:rPr>
              <w:t>Staff are to stage or take part in at least 3 quality circles a year in which oncological topics are addressed.</w:t>
            </w:r>
          </w:p>
          <w:p>
            <w:pPr>
              <w:framePr w:w="0" w:h="0" w:hRule="auto" w:vSpace="0" w:hSpace="0" w:wrap="auto" w:hAnchor="text" w:x="0" w:xAlign="left" w:yAlign="inline" w:anchorLock="0"/>
              <w:numPr>
                <w:ilvl w:val="0"/>
                <w:numId w:val="97"/>
              </w:numPr>
              <w:spacing w:before="0" w:after="19"/>
              <w:ind w:hanging="283" w:left="283" w:right="0"/>
              <w:rPr>
                <w:rFonts w:ascii="Arial" w:hAnsi="Arial" w:cs="Arial"/>
                <w:sz w:val="20"/>
                <w:szCs w:val="20"/>
              </w:rPr>
            </w:pPr>
            <w:r>
              <w:rPr>
                <w:rFonts w:ascii="Arial" w:hAnsi="Arial" w:cs="Arial"/>
                <w:sz w:val="20"/>
                <w:szCs w:val="20"/>
              </w:rPr>
              <w:t>Scheduling, e.g. in training plan</w:t>
            </w:r>
          </w:p>
          <w:p>
            <w:pPr>
              <w:framePr w:w="0" w:h="0" w:hRule="auto" w:vSpace="0" w:hSpace="0" w:wrap="auto" w:hAnchor="text" w:x="0" w:xAlign="left" w:yAlign="inline" w:anchorLock="0"/>
              <w:numPr>
                <w:ilvl w:val="0"/>
                <w:numId w:val="97"/>
              </w:numPr>
              <w:spacing w:before="0" w:after="19"/>
              <w:ind w:hanging="283" w:left="283" w:right="0"/>
              <w:rPr>
                <w:rFonts w:ascii="Arial" w:hAnsi="Arial" w:cs="Arial"/>
                <w:sz w:val="20"/>
                <w:szCs w:val="20"/>
              </w:rPr>
            </w:pPr>
            <w:r>
              <w:rPr>
                <w:rFonts w:ascii="Arial" w:hAnsi="Arial" w:cs="Arial"/>
                <w:sz w:val="20"/>
                <w:szCs w:val="20"/>
              </w:rPr>
              <w:t>Quality circles are to be documented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Participation in the quality circles organised centrally by the Oncology Centre is recognised (see “Catalogue of Requirements 1.2.14 Interdisciplinary Work”).</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Studies</w:t>
            </w:r>
          </w:p>
          <w:p>
            <w:pPr>
              <w:spacing w:before="0" w:after="19"/>
              <w:rPr>
                <w:rFonts w:ascii="Arial" w:hAnsi="Arial" w:cs="Arial"/>
                <w:sz w:val="20"/>
                <w:szCs w:val="20"/>
                <w:lang w:val="ro-RO" w:bidi="ar-SA"/>
              </w:rPr>
            </w:pPr>
            <w:r>
              <w:rPr>
                <w:rFonts w:ascii="Arial" w:hAnsi="Arial" w:cs="Arial"/>
                <w:sz w:val="20"/>
                <w:szCs w:val="20"/>
              </w:rPr>
              <w:t>If studies are offered or conducted, the requirements in Section 1.7 Study management are to be fully complied with.</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6.1.15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Nursing care</w:t>
            </w:r>
          </w:p>
          <w:p>
            <w:pPr>
              <w:spacing w:before="0" w:after="19"/>
              <w:rPr>
                <w:rFonts w:ascii="Arial" w:hAnsi="Arial" w:cs="Arial"/>
                <w:sz w:val="20"/>
                <w:szCs w:val="20"/>
                <w:lang w:val="ro-RO" w:bidi="ar-SA"/>
              </w:rPr>
            </w:pPr>
            <w:r>
              <w:rPr>
                <w:rFonts w:ascii="Arial" w:hAnsi="Arial" w:cs="Arial"/>
                <w:sz w:val="20"/>
                <w:szCs w:val="20"/>
              </w:rPr>
              <w:t>For inpatient care, the nursing care requirements in Section 1.8 Nursing care are to be fully complied with.</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6.2</w:t>
              <w:tab/>
              <w:t xml:space="preserve"> Organ-specific systemic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statements below refer to the following cooperation partners: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General remark</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Each of the cooperation partners of the Oncology Centre must prove that it meets the requirements in this section of the Catalogue in the field of medical oncological therapy. Hence, each cooperation partner from this specialty is to process this section in detail or to make specific statements in this section. </w:t>
            </w:r>
          </w:p>
          <w:p>
            <w:pPr>
              <w:spacing w:before="0" w:after="19"/>
              <w:rPr>
                <w:rFonts w:ascii="Arial" w:hAnsi="Arial" w:cs="Arial"/>
                <w:sz w:val="20"/>
                <w:szCs w:val="20"/>
                <w:lang w:val="ro-RO" w:bidi="ar-SA"/>
              </w:rPr>
            </w:pPr>
            <w:r>
              <w:rPr>
                <w:rFonts w:ascii="Arial" w:hAnsi="Arial" w:cs="Arial"/>
                <w:sz w:val="20"/>
                <w:szCs w:val="20"/>
              </w:rPr>
              <w:t>This also applies when inpatient and outpatient therapy is undertaken by different cooperation partners (separation inpatient/ outpatient).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Conduct of medical tumour therapy (e.g. chemotherapy, antibody therapy, hormone therapy, cellular therapy)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Specialist for</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Internal medicine with the focus designation Haematology and </w:t>
            </w:r>
            <w:r>
              <w:rPr>
                <w:rFonts w:ascii="Arial" w:hAnsi="Arial" w:cs="Arial"/>
                <w:sz w:val="20"/>
                <w:szCs w:val="20"/>
                <w:shd w:val="clear" w:color="auto" w:fill="00FF00"/>
              </w:rPr>
              <w:t xml:space="preserve">Internal </w:t>
            </w:r>
            <w:r>
              <w:rPr>
                <w:rFonts w:ascii="Arial" w:hAnsi="Arial" w:cs="Arial"/>
                <w:strike w:val="1"/>
                <w:sz w:val="20"/>
                <w:szCs w:val="20"/>
                <w:shd w:val="clear" w:color="auto" w:fill="00FF00"/>
              </w:rPr>
              <w:t>Medical</w:t>
            </w:r>
            <w:r>
              <w:rPr>
                <w:rFonts w:ascii="Arial" w:hAnsi="Arial" w:cs="Arial"/>
                <w:strike w:val="1"/>
                <w:sz w:val="20"/>
                <w:szCs w:val="20"/>
              </w:rPr>
              <w:t xml:space="preserve"> </w:t>
            </w:r>
            <w:r>
              <w:rPr>
                <w:rFonts w:ascii="Arial" w:hAnsi="Arial" w:cs="Arial"/>
                <w:sz w:val="20"/>
                <w:szCs w:val="20"/>
              </w:rPr>
              <w:t xml:space="preserve">Oncology </w:t>
            </w:r>
            <w:r>
              <w:rPr>
                <w:rFonts w:ascii="Arial" w:hAnsi="Arial" w:cs="Arial"/>
                <w:sz w:val="20"/>
                <w:szCs w:val="20"/>
                <w:shd w:val="clear" w:color="auto" w:fill="00FF00"/>
              </w:rPr>
              <w:t xml:space="preserve">or internal medicine and haematology and oncology </w:t>
            </w:r>
            <w:r>
              <w:rPr>
                <w:rFonts w:ascii="Arial" w:hAnsi="Arial" w:cs="Arial"/>
                <w:sz w:val="20"/>
                <w:szCs w:val="20"/>
              </w:rPr>
              <w:t>for the entire spectrum</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For the following specialist disciplines, implementation is exclusively discipline-specific:</w:t>
            </w:r>
          </w:p>
          <w:p>
            <w:pPr>
              <w:framePr w:w="0" w:h="0" w:hRule="auto" w:vSpace="0" w:hSpace="0" w:wrap="auto" w:hAnchor="text" w:x="0" w:xAlign="left" w:yAlign="inline" w:anchorLock="0"/>
              <w:numPr>
                <w:ilvl w:val="0"/>
                <w:numId w:val="98"/>
              </w:numPr>
              <w:spacing w:before="0" w:after="19"/>
              <w:ind w:hanging="283" w:left="283" w:right="0"/>
              <w:rPr>
                <w:rFonts w:ascii="Arial" w:hAnsi="Arial" w:cs="Arial"/>
                <w:sz w:val="20"/>
                <w:szCs w:val="20"/>
              </w:rPr>
            </w:pPr>
            <w:r>
              <w:rPr>
                <w:rFonts w:ascii="Arial" w:hAnsi="Arial" w:cs="Arial"/>
                <w:sz w:val="20"/>
                <w:szCs w:val="20"/>
              </w:rPr>
              <w:t xml:space="preserve">Specialist with </w:t>
            </w:r>
            <w:r>
              <w:rPr>
                <w:rFonts w:ascii="Arial" w:hAnsi="Arial" w:cs="Arial"/>
                <w:sz w:val="20"/>
                <w:szCs w:val="20"/>
                <w:shd w:val="clear" w:color="auto" w:fill="00FF00"/>
              </w:rPr>
              <w:t xml:space="preserve">(integral, if applicable) </w:t>
            </w:r>
            <w:r>
              <w:rPr>
                <w:rFonts w:ascii="Arial" w:hAnsi="Arial" w:cs="Arial"/>
                <w:sz w:val="20"/>
                <w:szCs w:val="20"/>
              </w:rPr>
              <w:t xml:space="preserve">additional qualification in medicinal tumour therapy </w:t>
            </w:r>
            <w:r>
              <w:rPr>
                <w:rFonts w:ascii="Arial" w:hAnsi="Arial" w:cs="Arial"/>
                <w:strike w:val="1"/>
                <w:sz w:val="20"/>
                <w:szCs w:val="20"/>
                <w:shd w:val="clear" w:color="auto" w:fill="00FE00"/>
              </w:rPr>
              <w:t>(in Modules: implementation in peer-based cooperation with the aforementioned specialists)</w:t>
            </w:r>
          </w:p>
          <w:p>
            <w:pPr>
              <w:framePr w:w="0" w:h="0" w:hRule="auto" w:vSpace="0" w:hSpace="0" w:wrap="auto" w:hAnchor="text" w:x="0" w:xAlign="left" w:yAlign="inline" w:anchorLock="0"/>
              <w:numPr>
                <w:ilvl w:val="0"/>
                <w:numId w:val="98"/>
              </w:numPr>
              <w:spacing w:before="0" w:after="19"/>
              <w:ind w:hanging="283" w:left="283" w:right="0"/>
              <w:rPr>
                <w:rFonts w:ascii="Arial" w:hAnsi="Arial" w:cs="Arial"/>
                <w:sz w:val="20"/>
                <w:szCs w:val="20"/>
              </w:rPr>
            </w:pPr>
            <w:r>
              <w:rPr>
                <w:rFonts w:ascii="Arial" w:hAnsi="Arial" w:cs="Arial"/>
                <w:sz w:val="20"/>
                <w:szCs w:val="20"/>
                <w:shd w:val="clear" w:color="auto" w:fill="00FF00"/>
              </w:rPr>
              <w:t>Specialist in</w:t>
            </w:r>
            <w:r>
              <w:rPr>
                <w:rFonts w:ascii="Arial" w:hAnsi="Arial" w:cs="Arial"/>
                <w:sz w:val="20"/>
                <w:szCs w:val="20"/>
              </w:rPr>
              <w:t xml:space="preserve"> </w:t>
            </w:r>
            <w:r>
              <w:rPr>
                <w:rFonts w:ascii="Arial" w:hAnsi="Arial" w:cs="Arial"/>
                <w:sz w:val="20"/>
                <w:szCs w:val="20"/>
                <w:shd w:val="clear" w:color="auto" w:fill="00FF00"/>
              </w:rPr>
              <w:t>g</w:t>
            </w:r>
            <w:r>
              <w:rPr>
                <w:rFonts w:ascii="Arial" w:hAnsi="Arial" w:cs="Arial"/>
                <w:strike w:val="1"/>
                <w:sz w:val="20"/>
                <w:szCs w:val="20"/>
                <w:shd w:val="clear" w:color="auto" w:fill="00FE00"/>
              </w:rPr>
              <w:t>G</w:t>
            </w:r>
            <w:r>
              <w:rPr>
                <w:rFonts w:ascii="Arial" w:hAnsi="Arial" w:cs="Arial"/>
                <w:sz w:val="20"/>
                <w:szCs w:val="20"/>
              </w:rPr>
              <w:t>ynaecology and obstetrics with the sub-speciality gynaecological oncology</w:t>
            </w:r>
          </w:p>
          <w:p>
            <w:pPr>
              <w:framePr w:w="0" w:h="0" w:hRule="auto" w:vSpace="0" w:hSpace="0" w:wrap="auto" w:hAnchor="text" w:x="0" w:xAlign="left" w:yAlign="inline" w:anchorLock="0"/>
              <w:numPr>
                <w:ilvl w:val="0"/>
                <w:numId w:val="98"/>
              </w:numPr>
              <w:spacing w:before="0" w:after="19"/>
              <w:ind w:hanging="283" w:left="283" w:right="0"/>
              <w:rPr>
                <w:rFonts w:ascii="Arial" w:hAnsi="Arial" w:cs="Arial"/>
                <w:sz w:val="20"/>
                <w:szCs w:val="20"/>
              </w:rPr>
            </w:pPr>
            <w:r>
              <w:rPr>
                <w:rFonts w:ascii="Arial" w:hAnsi="Arial" w:cs="Arial"/>
                <w:sz w:val="20"/>
                <w:szCs w:val="20"/>
                <w:shd w:val="clear" w:color="auto" w:fill="00FF00"/>
              </w:rPr>
              <w:t>Specialist in i</w:t>
            </w:r>
            <w:r>
              <w:rPr>
                <w:rFonts w:ascii="Arial" w:hAnsi="Arial" w:cs="Arial"/>
                <w:strike w:val="1"/>
                <w:sz w:val="20"/>
                <w:szCs w:val="20"/>
                <w:shd w:val="clear" w:color="auto" w:fill="00FE00"/>
              </w:rPr>
              <w:t>I</w:t>
            </w:r>
            <w:r>
              <w:rPr>
                <w:rFonts w:ascii="Arial" w:hAnsi="Arial" w:cs="Arial"/>
                <w:sz w:val="20"/>
                <w:szCs w:val="20"/>
              </w:rPr>
              <w:t xml:space="preserve">nternal medicine and gastroenterology or </w:t>
            </w:r>
            <w:r>
              <w:rPr>
                <w:rFonts w:ascii="Arial" w:hAnsi="Arial" w:cs="Arial"/>
                <w:sz w:val="20"/>
                <w:szCs w:val="20"/>
                <w:shd w:val="clear" w:color="auto" w:fill="00FF00"/>
              </w:rPr>
              <w:t>specialist in</w:t>
            </w:r>
            <w:r>
              <w:rPr>
                <w:rFonts w:ascii="Arial" w:hAnsi="Arial" w:cs="Arial"/>
                <w:sz w:val="20"/>
                <w:szCs w:val="20"/>
              </w:rPr>
              <w:t xml:space="preserve"> internal medicine and pneumology</w:t>
            </w:r>
          </w:p>
          <w:p>
            <w:pPr>
              <w:framePr w:w="0" w:h="0" w:hRule="auto" w:vSpace="0" w:hSpace="0" w:wrap="auto" w:hAnchor="text" w:x="0" w:xAlign="left" w:yAlign="inline" w:anchorLock="0"/>
              <w:numPr>
                <w:ilvl w:val="0"/>
                <w:numId w:val="98"/>
              </w:numPr>
              <w:spacing w:before="0" w:after="19"/>
              <w:ind w:hanging="283" w:left="283" w:right="0"/>
              <w:rPr>
                <w:rFonts w:ascii="Arial" w:hAnsi="Arial" w:cs="Arial"/>
                <w:sz w:val="20"/>
                <w:szCs w:val="20"/>
              </w:rPr>
            </w:pPr>
            <w:r>
              <w:rPr>
                <w:rFonts w:ascii="Arial" w:hAnsi="Arial" w:cs="Arial"/>
                <w:sz w:val="20"/>
                <w:szCs w:val="20"/>
                <w:shd w:val="clear" w:color="auto" w:fill="00FF00"/>
              </w:rPr>
              <w:t>Specialist in p</w:t>
            </w:r>
            <w:r>
              <w:rPr>
                <w:rFonts w:ascii="Arial" w:hAnsi="Arial" w:cs="Arial"/>
                <w:strike w:val="1"/>
                <w:sz w:val="20"/>
                <w:szCs w:val="20"/>
                <w:shd w:val="clear" w:color="auto" w:fill="00FE00"/>
              </w:rPr>
              <w:t>P</w:t>
            </w:r>
            <w:r>
              <w:rPr>
                <w:rFonts w:ascii="Arial" w:hAnsi="Arial" w:cs="Arial"/>
                <w:sz w:val="20"/>
                <w:szCs w:val="20"/>
              </w:rPr>
              <w:t xml:space="preserve">aediatric medicine with the official sub-speciality </w:t>
            </w:r>
            <w:r>
              <w:rPr>
                <w:rFonts w:ascii="Arial" w:hAnsi="Arial" w:cs="Arial"/>
                <w:strike w:val="1"/>
                <w:sz w:val="20"/>
                <w:szCs w:val="20"/>
                <w:shd w:val="clear" w:color="auto" w:fill="00FE00"/>
              </w:rPr>
              <w:t>“</w:t>
            </w:r>
            <w:r>
              <w:rPr>
                <w:rFonts w:ascii="Arial" w:hAnsi="Arial" w:cs="Arial"/>
                <w:sz w:val="20"/>
                <w:szCs w:val="20"/>
              </w:rPr>
              <w:t xml:space="preserve">Paediatric </w:t>
            </w:r>
            <w:r>
              <w:rPr>
                <w:rFonts w:ascii="Arial" w:hAnsi="Arial" w:cs="Arial"/>
                <w:sz w:val="20"/>
                <w:szCs w:val="20"/>
                <w:shd w:val="clear" w:color="auto" w:fill="00FF00"/>
              </w:rPr>
              <w:t>H</w:t>
            </w:r>
            <w:r>
              <w:rPr>
                <w:rFonts w:ascii="Arial" w:hAnsi="Arial" w:cs="Arial"/>
                <w:strike w:val="1"/>
                <w:sz w:val="20"/>
                <w:szCs w:val="20"/>
                <w:shd w:val="clear" w:color="auto" w:fill="00FE00"/>
              </w:rPr>
              <w:t>h</w:t>
            </w:r>
            <w:r>
              <w:rPr>
                <w:rFonts w:ascii="Arial" w:hAnsi="Arial" w:cs="Arial"/>
                <w:sz w:val="20"/>
                <w:szCs w:val="20"/>
              </w:rPr>
              <w:t xml:space="preserve">aematology </w:t>
            </w:r>
            <w:r>
              <w:rPr>
                <w:rFonts w:ascii="Arial" w:hAnsi="Arial" w:cs="Arial"/>
                <w:sz w:val="20"/>
                <w:szCs w:val="20"/>
                <w:shd w:val="clear" w:color="auto" w:fill="00FF00"/>
              </w:rPr>
              <w:t>and</w:t>
            </w:r>
            <w:r>
              <w:rPr>
                <w:rFonts w:ascii="Arial" w:hAnsi="Arial" w:cs="Arial"/>
                <w:sz w:val="20"/>
                <w:szCs w:val="20"/>
              </w:rPr>
              <w:t xml:space="preserve"> </w:t>
            </w:r>
            <w:r>
              <w:rPr>
                <w:rFonts w:ascii="Arial" w:hAnsi="Arial" w:cs="Arial"/>
                <w:strike w:val="1"/>
                <w:sz w:val="20"/>
                <w:szCs w:val="20"/>
                <w:shd w:val="clear" w:color="auto" w:fill="00FE00"/>
              </w:rPr>
              <w:t xml:space="preserve">– </w:t>
            </w:r>
            <w:r>
              <w:rPr>
                <w:rFonts w:ascii="Arial" w:hAnsi="Arial" w:cs="Arial"/>
                <w:sz w:val="20"/>
                <w:szCs w:val="20"/>
              </w:rPr>
              <w:t>Oncology</w:t>
            </w:r>
            <w:r>
              <w:rPr>
                <w:rFonts w:ascii="Arial" w:hAnsi="Arial" w:cs="Arial"/>
                <w:strike w:val="1"/>
                <w:sz w:val="20"/>
                <w:szCs w:val="20"/>
                <w:shd w:val="clear" w:color="auto" w:fill="00FE00"/>
              </w:rPr>
              <w:t>”</w:t>
            </w:r>
            <w:r>
              <w:rPr>
                <w:rFonts w:ascii="Arial" w:hAnsi="Arial" w:cs="Arial"/>
                <w:sz w:val="20"/>
                <w:szCs w:val="20"/>
                <w:shd w:val="clear" w:color="auto" w:fill="00FF00"/>
              </w:rPr>
              <w:t>/Paediatric Haematology and Oncology</w:t>
            </w:r>
          </w:p>
          <w:p>
            <w:pPr>
              <w:framePr w:w="0" w:h="0" w:hRule="auto" w:vSpace="0" w:hSpace="0" w:wrap="auto" w:hAnchor="text" w:x="0" w:xAlign="left" w:yAlign="inline" w:anchorLock="0"/>
              <w:numPr>
                <w:ilvl w:val="0"/>
                <w:numId w:val="98"/>
              </w:numPr>
              <w:spacing w:before="0" w:after="19"/>
              <w:ind w:hanging="283" w:left="283" w:right="0"/>
              <w:rPr>
                <w:rFonts w:ascii="Arial" w:hAnsi="Arial" w:cs="Arial"/>
                <w:sz w:val="20"/>
                <w:szCs w:val="20"/>
              </w:rPr>
            </w:pPr>
            <w:r>
              <w:rPr>
                <w:rFonts w:ascii="Arial" w:hAnsi="Arial" w:cs="Arial"/>
                <w:sz w:val="20"/>
                <w:szCs w:val="20"/>
                <w:shd w:val="clear" w:color="auto" w:fill="00FF00"/>
              </w:rPr>
              <w:t>Urology (from Model Specialty Training Regulations (MWBO) 2018)</w:t>
            </w:r>
          </w:p>
          <w:p>
            <w:pPr>
              <w:framePr w:w="0" w:h="0" w:hRule="auto" w:vSpace="0" w:hSpace="0" w:wrap="auto" w:hAnchor="text" w:x="0" w:xAlign="left" w:yAlign="inline" w:anchorLock="0"/>
              <w:numPr>
                <w:ilvl w:val="0"/>
                <w:numId w:val="98"/>
              </w:numPr>
              <w:spacing w:before="0" w:after="19"/>
              <w:ind w:hanging="283" w:left="283" w:right="0"/>
              <w:rPr>
                <w:rFonts w:ascii="Arial" w:hAnsi="Arial" w:cs="Arial"/>
                <w:sz w:val="20"/>
                <w:szCs w:val="20"/>
              </w:rPr>
            </w:pPr>
            <w:r>
              <w:rPr>
                <w:rFonts w:ascii="Arial" w:hAnsi="Arial" w:cs="Arial"/>
                <w:sz w:val="20"/>
                <w:szCs w:val="20"/>
                <w:shd w:val="clear" w:color="auto" w:fill="00FF00"/>
              </w:rPr>
              <w:t>Specialist in r</w:t>
            </w:r>
            <w:r>
              <w:rPr>
                <w:rFonts w:ascii="Arial" w:hAnsi="Arial" w:cs="Arial"/>
                <w:strike w:val="1"/>
                <w:sz w:val="20"/>
                <w:szCs w:val="20"/>
                <w:shd w:val="clear" w:color="auto" w:fill="00FE00"/>
              </w:rPr>
              <w:t>R</w:t>
            </w:r>
            <w:r>
              <w:rPr>
                <w:rFonts w:ascii="Arial" w:hAnsi="Arial" w:cs="Arial"/>
                <w:sz w:val="20"/>
                <w:szCs w:val="20"/>
              </w:rPr>
              <w:t>adiation therapy for implementation of systemic tumor therapy in combination with radiotherapy for solid tumors.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A representative </w:t>
            </w:r>
            <w:r>
              <w:rPr>
                <w:rFonts w:ascii="Arial" w:hAnsi="Arial" w:cs="Arial"/>
                <w:strike w:val="1"/>
                <w:sz w:val="20"/>
                <w:szCs w:val="20"/>
                <w:shd w:val="clear" w:color="auto" w:fill="00FE00"/>
              </w:rPr>
              <w:t>(the representatives of cooperation)</w:t>
            </w:r>
            <w:r>
              <w:rPr>
                <w:rFonts w:ascii="Arial" w:hAnsi="Arial" w:cs="Arial"/>
                <w:sz w:val="20"/>
                <w:szCs w:val="20"/>
              </w:rPr>
              <w:t xml:space="preserve"> with the aforementioned qualification is (are) to be designated by name.</w:t>
            </w:r>
          </w:p>
          <w:p>
            <w:pPr>
              <w:spacing w:before="0" w:after="19"/>
              <w:rPr>
                <w:rFonts w:ascii="Arial" w:hAnsi="Arial" w:cs="Arial"/>
                <w:sz w:val="20"/>
                <w:szCs w:val="20"/>
                <w:lang w:val="ro-RO" w:bidi="ar-SA"/>
              </w:rPr>
            </w:pPr>
            <w:r>
              <w:rPr>
                <w:rFonts w:ascii="Arial" w:hAnsi="Arial" w:cs="Arial"/>
                <w:sz w:val="20"/>
                <w:szCs w:val="20"/>
              </w:rPr>
              <w:t>The specialists named here must monitor medical oncological therapy. It is not possible to delegate responsibilities to physicians who do not have the aforementioned qualification.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Specialist nurse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Prerequisites for specialist nurses responsible for administering chemotherapy:</w:t>
            </w:r>
          </w:p>
          <w:p>
            <w:pPr>
              <w:framePr w:w="0" w:h="0" w:hRule="auto" w:vSpace="0" w:hSpace="0" w:wrap="auto" w:hAnchor="text" w:x="0" w:xAlign="left" w:yAlign="inline" w:anchorLock="0"/>
              <w:numPr>
                <w:ilvl w:val="0"/>
                <w:numId w:val="99"/>
              </w:numPr>
              <w:spacing w:before="0" w:after="19"/>
              <w:ind w:hanging="283" w:left="283" w:right="0"/>
              <w:rPr>
                <w:rFonts w:ascii="Arial" w:hAnsi="Arial" w:cs="Arial"/>
                <w:sz w:val="20"/>
                <w:szCs w:val="20"/>
              </w:rPr>
            </w:pPr>
            <w:r>
              <w:rPr>
                <w:rFonts w:ascii="Arial" w:hAnsi="Arial" w:cs="Arial"/>
                <w:sz w:val="20"/>
                <w:szCs w:val="20"/>
              </w:rPr>
              <w:t>Inpatient, day patient or clinical-outpatient units in which medical oncological therapy is carried out by non-medical staff must be under the specialist supervision of a specialist oncology nurse. This rule does not apply to cooperating practices.</w:t>
            </w:r>
          </w:p>
          <w:p>
            <w:pPr>
              <w:framePr w:w="0" w:h="0" w:hRule="auto" w:vSpace="0" w:hSpace="0" w:wrap="auto" w:hAnchor="text" w:x="0" w:xAlign="left" w:yAlign="inline" w:anchorLock="0"/>
              <w:numPr>
                <w:ilvl w:val="0"/>
                <w:numId w:val="99"/>
              </w:numPr>
              <w:spacing w:before="0" w:after="19"/>
              <w:ind w:hanging="283" w:left="283" w:right="0"/>
              <w:rPr>
                <w:rFonts w:ascii="Arial" w:hAnsi="Arial" w:cs="Arial"/>
                <w:sz w:val="20"/>
                <w:szCs w:val="20"/>
              </w:rPr>
            </w:pPr>
            <w:r>
              <w:rPr>
                <w:rFonts w:ascii="Arial" w:hAnsi="Arial" w:cs="Arial"/>
                <w:sz w:val="20"/>
                <w:szCs w:val="20"/>
              </w:rPr>
              <w:t>Minimum one year professional experience in oncology</w:t>
            </w:r>
          </w:p>
          <w:p>
            <w:pPr>
              <w:framePr w:w="0" w:h="0" w:hRule="auto" w:vSpace="0" w:hSpace="0" w:wrap="auto" w:hAnchor="text" w:x="0" w:xAlign="left" w:yAlign="inline" w:anchorLock="0"/>
              <w:numPr>
                <w:ilvl w:val="0"/>
                <w:numId w:val="99"/>
              </w:numPr>
              <w:spacing w:before="0" w:after="19"/>
              <w:ind w:hanging="283" w:left="283" w:right="0"/>
              <w:rPr>
                <w:rFonts w:ascii="Arial" w:hAnsi="Arial" w:cs="Arial"/>
                <w:sz w:val="20"/>
                <w:szCs w:val="20"/>
              </w:rPr>
            </w:pPr>
            <w:r>
              <w:rPr>
                <w:rFonts w:ascii="Arial" w:hAnsi="Arial" w:cs="Arial"/>
                <w:sz w:val="20"/>
                <w:szCs w:val="20"/>
              </w:rPr>
              <w:t>50 chemotherapy administrations per year (in the case of initial certification an estimate can be made. In subsequent years documentation will have to be provided for the audit.)</w:t>
            </w:r>
          </w:p>
          <w:p>
            <w:pPr>
              <w:framePr w:w="0" w:h="0" w:hRule="auto" w:vSpace="0" w:hSpace="0" w:wrap="auto" w:hAnchor="text" w:x="0" w:xAlign="left" w:yAlign="inline" w:anchorLock="0"/>
              <w:numPr>
                <w:ilvl w:val="0"/>
                <w:numId w:val="99"/>
              </w:numPr>
              <w:spacing w:before="0" w:after="19"/>
              <w:ind w:hanging="283" w:left="283" w:right="0"/>
              <w:rPr>
                <w:rFonts w:ascii="Arial" w:hAnsi="Arial" w:cs="Arial"/>
                <w:sz w:val="20"/>
                <w:szCs w:val="20"/>
              </w:rPr>
            </w:pPr>
            <w:r>
              <w:rPr>
                <w:rFonts w:ascii="Arial" w:hAnsi="Arial" w:cs="Arial"/>
                <w:sz w:val="20"/>
                <w:szCs w:val="20"/>
              </w:rPr>
              <w:t>Documentation of training in line with the recommendations of the Conference of Oncological Nursing and Paediatric Nursing Care (KOK) (KOK action recommendation, administration of cytostatic drugs by specialist nurse)</w:t>
            </w:r>
          </w:p>
          <w:p>
            <w:pPr>
              <w:framePr w:w="0" w:h="0" w:hRule="auto" w:vSpace="0" w:hSpace="0" w:wrap="auto" w:hAnchor="text" w:x="0" w:xAlign="left" w:yAlign="inline" w:anchorLock="0"/>
              <w:numPr>
                <w:ilvl w:val="0"/>
                <w:numId w:val="99"/>
              </w:numPr>
              <w:spacing w:before="0" w:after="19"/>
              <w:ind w:hanging="283" w:left="283" w:right="0"/>
              <w:rPr>
                <w:rFonts w:ascii="Arial" w:hAnsi="Arial" w:cs="Arial"/>
                <w:sz w:val="20"/>
                <w:szCs w:val="20"/>
              </w:rPr>
            </w:pPr>
            <w:r>
              <w:rPr>
                <w:rFonts w:ascii="Arial" w:hAnsi="Arial" w:cs="Arial"/>
                <w:sz w:val="20"/>
                <w:szCs w:val="20"/>
              </w:rPr>
              <w:t>Active involvement in meeting the requirements for emergency treatment and treatment of comorbidities and secondary diseases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Evidence of the documentation of nursing advice and/or education of patients is to be provided</w:t>
            </w:r>
          </w:p>
          <w:p>
            <w:pPr>
              <w:framePr w:w="0" w:h="0" w:hRule="auto" w:vSpace="0" w:hSpace="0" w:wrap="auto" w:hAnchor="text" w:x="0" w:xAlign="left" w:yAlign="inline" w:anchorLock="0"/>
              <w:numPr>
                <w:ilvl w:val="0"/>
                <w:numId w:val="100"/>
              </w:numPr>
              <w:spacing w:before="0" w:after="19"/>
              <w:ind w:hanging="283" w:left="283" w:right="0"/>
              <w:rPr>
                <w:rFonts w:ascii="Arial" w:hAnsi="Arial" w:cs="Arial"/>
                <w:sz w:val="20"/>
                <w:szCs w:val="20"/>
              </w:rPr>
            </w:pPr>
            <w:r>
              <w:rPr>
                <w:rFonts w:ascii="Arial" w:hAnsi="Arial" w:cs="Arial"/>
                <w:sz w:val="20"/>
                <w:szCs w:val="20"/>
              </w:rPr>
              <w:t>Documentation of proof of competence to administer chemotherapeutics by the specialists designated in Section 6.2.2.</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Documentation of annual training courses that encompass inter alia the contents outlined in Sections 6.2.13 and 6.2.14 is required for proof of competence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Medicinal tumour therapy in the Oncology Centre</w:t>
            </w:r>
          </w:p>
          <w:p>
            <w:pPr>
              <w:framePr w:w="0" w:h="0" w:hRule="auto" w:vSpace="0" w:hSpace="0" w:wrap="auto" w:hAnchor="text" w:x="0" w:xAlign="left" w:yAlign="inline" w:anchorLock="0"/>
              <w:numPr>
                <w:ilvl w:val="0"/>
                <w:numId w:val="101"/>
              </w:numPr>
              <w:spacing w:before="0" w:after="19"/>
              <w:ind w:hanging="283" w:left="283" w:right="0"/>
              <w:rPr>
                <w:rFonts w:ascii="Arial" w:hAnsi="Arial" w:cs="Arial"/>
                <w:sz w:val="20"/>
                <w:szCs w:val="20"/>
              </w:rPr>
            </w:pPr>
            <w:r>
              <w:rPr>
                <w:rFonts w:ascii="Arial" w:hAnsi="Arial" w:cs="Arial"/>
                <w:sz w:val="20"/>
                <w:szCs w:val="20"/>
              </w:rPr>
              <w:t xml:space="preserve">The treatment units of the OC, including the associated Organ Cancer Centres and Modules, which carry out the tumour therapy are to be depicted in the centre matrix (page 10) </w:t>
            </w:r>
          </w:p>
          <w:p>
            <w:pPr>
              <w:numPr>
                <w:ilvl w:val="0"/>
                <w:numId w:val="101"/>
              </w:numPr>
              <w:spacing w:before="0" w:after="19"/>
              <w:ind w:hanging="283" w:left="283"/>
              <w:rPr>
                <w:rFonts w:ascii="Arial" w:hAnsi="Arial" w:cs="Arial"/>
                <w:sz w:val="20"/>
                <w:szCs w:val="20"/>
                <w:lang w:val="ro-RO" w:bidi="ar-SA"/>
              </w:rPr>
            </w:pPr>
            <w:r>
              <w:rPr>
                <w:rFonts w:ascii="Arial" w:hAnsi="Arial" w:cs="Arial"/>
                <w:sz w:val="20"/>
                <w:szCs w:val="20"/>
              </w:rPr>
              <w:t>Efforts are to be made to put in place treatment units that carry out the central tumour 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Availability/ On call</w:t>
            </w:r>
          </w:p>
          <w:p>
            <w:pPr>
              <w:framePr w:w="0" w:h="0" w:hRule="auto" w:vSpace="0" w:hSpace="0" w:wrap="auto" w:hAnchor="text" w:x="0" w:xAlign="left" w:yAlign="inline" w:anchorLock="0"/>
              <w:numPr>
                <w:ilvl w:val="0"/>
                <w:numId w:val="102"/>
              </w:numPr>
              <w:spacing w:before="0" w:after="19"/>
              <w:ind w:hanging="283" w:left="283" w:right="0"/>
              <w:rPr>
                <w:rFonts w:ascii="Arial" w:hAnsi="Arial" w:cs="Arial"/>
                <w:sz w:val="20"/>
                <w:szCs w:val="20"/>
              </w:rPr>
            </w:pPr>
            <w:r>
              <w:rPr>
                <w:rFonts w:ascii="Arial" w:hAnsi="Arial" w:cs="Arial"/>
                <w:sz w:val="20"/>
                <w:szCs w:val="20"/>
              </w:rPr>
              <w:t>24-hour availability outside of working hours including weekends and public holidays</w:t>
            </w:r>
          </w:p>
          <w:p>
            <w:pPr>
              <w:framePr w:w="0" w:h="0" w:hRule="auto" w:vSpace="0" w:hSpace="0" w:wrap="auto" w:hAnchor="text" w:x="0" w:xAlign="left" w:yAlign="inline" w:anchorLock="0"/>
              <w:numPr>
                <w:ilvl w:val="0"/>
                <w:numId w:val="102"/>
              </w:numPr>
              <w:spacing w:before="0" w:after="19"/>
              <w:ind w:hanging="283" w:left="283" w:right="0"/>
              <w:rPr>
                <w:rFonts w:ascii="Arial" w:hAnsi="Arial" w:cs="Arial"/>
                <w:sz w:val="20"/>
                <w:szCs w:val="20"/>
              </w:rPr>
            </w:pPr>
            <w:r>
              <w:rPr>
                <w:rFonts w:ascii="Arial" w:hAnsi="Arial" w:cs="Arial"/>
                <w:sz w:val="20"/>
                <w:szCs w:val="20"/>
              </w:rPr>
              <w:t>Access to therapy data must be possible during 24-hour availability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Specifics inpatient care</w:t>
            </w:r>
          </w:p>
          <w:p>
            <w:pPr>
              <w:numPr>
                <w:ilvl w:val="0"/>
                <w:numId w:val="103"/>
              </w:numPr>
              <w:spacing w:before="0" w:after="19"/>
              <w:ind w:hanging="283" w:left="283"/>
              <w:rPr>
                <w:rFonts w:ascii="Arial" w:hAnsi="Arial" w:cs="Arial"/>
                <w:sz w:val="20"/>
                <w:szCs w:val="20"/>
                <w:lang w:val="ro-RO" w:bidi="ar-SA"/>
              </w:rPr>
            </w:pPr>
            <w:r>
              <w:rPr>
                <w:rFonts w:ascii="Arial" w:hAnsi="Arial" w:cs="Arial"/>
                <w:sz w:val="20"/>
                <w:szCs w:val="20"/>
              </w:rPr>
              <w:t>Ward rounds on weekends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Case numbers per treatment unit</w:t>
            </w:r>
          </w:p>
          <w:p>
            <w:pPr>
              <w:framePr w:w="0" w:h="0" w:hRule="auto" w:vSpace="0" w:hSpace="0" w:wrap="auto" w:hAnchor="text" w:x="0" w:xAlign="left" w:yAlign="inline" w:anchorLock="0"/>
              <w:numPr>
                <w:ilvl w:val="0"/>
                <w:numId w:val="104"/>
              </w:numPr>
              <w:spacing w:before="0" w:after="19"/>
              <w:ind w:hanging="283" w:left="283" w:right="0"/>
              <w:rPr>
                <w:rFonts w:ascii="Arial" w:hAnsi="Arial" w:cs="Arial"/>
                <w:sz w:val="20"/>
                <w:szCs w:val="20"/>
              </w:rPr>
            </w:pPr>
            <w:r>
              <w:rPr>
                <w:rFonts w:ascii="Arial" w:hAnsi="Arial" w:cs="Arial"/>
                <w:sz w:val="20"/>
                <w:szCs w:val="20"/>
              </w:rPr>
              <w:t>at least 200 medicinal tumour therapies (cytostatic therapies and/or targeted therapeutic agents and/or antibody/ immunotherapies, no hormone therapies) a year and /or at least 50 with a specific indication (e.g. mammary gland, colorectal….) unless otherwise specified in the organ-specific requirements</w:t>
            </w:r>
          </w:p>
          <w:p>
            <w:pPr>
              <w:framePr w:w="0" w:h="0" w:hRule="auto" w:vSpace="0" w:hSpace="0" w:wrap="auto" w:hAnchor="text" w:x="0" w:xAlign="left" w:yAlign="inline" w:anchorLock="0"/>
              <w:numPr>
                <w:ilvl w:val="0"/>
                <w:numId w:val="104"/>
              </w:numPr>
              <w:spacing w:before="0" w:after="19"/>
              <w:ind w:hanging="283" w:left="283" w:right="0"/>
              <w:rPr>
                <w:rFonts w:ascii="Arial" w:hAnsi="Arial" w:cs="Arial"/>
                <w:sz w:val="20"/>
                <w:szCs w:val="20"/>
              </w:rPr>
            </w:pPr>
            <w:r>
              <w:rPr>
                <w:rFonts w:ascii="Arial" w:hAnsi="Arial" w:cs="Arial"/>
                <w:sz w:val="20"/>
                <w:szCs w:val="20"/>
              </w:rPr>
              <w:t>Radiotherapy: at least 50 systemic tumour therapies in combination with radiotherapy for solid tumours</w:t>
            </w:r>
          </w:p>
          <w:p>
            <w:pPr>
              <w:framePr w:w="0" w:h="0" w:hRule="auto" w:vSpace="0" w:hSpace="0" w:wrap="auto" w:hAnchor="text" w:x="0" w:xAlign="left" w:yAlign="inline" w:anchorLock="0"/>
              <w:numPr>
                <w:ilvl w:val="0"/>
                <w:numId w:val="104"/>
              </w:numPr>
              <w:spacing w:before="0" w:after="19"/>
              <w:ind w:hanging="283" w:left="283" w:right="0"/>
              <w:rPr>
                <w:rFonts w:ascii="Arial" w:hAnsi="Arial" w:cs="Arial"/>
                <w:sz w:val="20"/>
                <w:szCs w:val="20"/>
              </w:rPr>
            </w:pPr>
            <w:r>
              <w:rPr>
                <w:rFonts w:ascii="Arial" w:hAnsi="Arial" w:cs="Arial"/>
                <w:sz w:val="20"/>
                <w:szCs w:val="20"/>
              </w:rPr>
              <w:t xml:space="preserve">Calculation method: completed systemic/cytostatic/targeted therapy for each patient (consisting of </w:t>
            </w:r>
            <w:r>
              <w:rPr>
                <w:rFonts w:ascii="Arial" w:hAnsi="Arial" w:cs="Arial"/>
                <w:b w:val="1"/>
                <w:sz w:val="20"/>
                <w:szCs w:val="20"/>
              </w:rPr>
              <w:t xml:space="preserve">several </w:t>
            </w:r>
            <w:r>
              <w:rPr>
                <w:rFonts w:ascii="Arial" w:hAnsi="Arial" w:cs="Arial"/>
                <w:sz w:val="20"/>
                <w:szCs w:val="20"/>
              </w:rPr>
              <w:t>administration cycles, combination therapies count as 1 therapy). In the case of cross-year therapies, the therapy commenced in the survey year counts. 1 therapy per patient = 1 therapy line per disease per patient</w:t>
            </w:r>
          </w:p>
          <w:p>
            <w:pPr>
              <w:numPr>
                <w:ilvl w:val="0"/>
                <w:numId w:val="104"/>
              </w:numPr>
              <w:spacing w:before="0" w:after="19"/>
              <w:ind w:hanging="283" w:left="283"/>
              <w:rPr>
                <w:rFonts w:ascii="Arial" w:hAnsi="Arial" w:cs="Arial"/>
                <w:sz w:val="20"/>
                <w:szCs w:val="20"/>
                <w:lang w:val="ro-RO" w:bidi="ar-SA"/>
              </w:rPr>
            </w:pPr>
            <w:r>
              <w:rPr>
                <w:rFonts w:ascii="Arial" w:hAnsi="Arial" w:cs="Arial"/>
                <w:sz w:val="20"/>
                <w:szCs w:val="20"/>
              </w:rPr>
              <w:t>In the event of shortfall, expertise cannot be documented via cooperation (must be documented by each individual treatment unit).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Facilities medical oncological therapy (only outpatient)</w:t>
            </w:r>
          </w:p>
          <w:p>
            <w:pPr>
              <w:spacing w:before="0" w:after="19"/>
              <w:rPr>
                <w:rFonts w:ascii="Arial" w:hAnsi="Arial" w:cs="Arial"/>
                <w:sz w:val="20"/>
                <w:szCs w:val="20"/>
                <w:lang w:val="ro-RO" w:bidi="ar-SA"/>
              </w:rPr>
            </w:pPr>
            <w:r>
              <w:rPr>
                <w:rFonts w:ascii="Arial" w:hAnsi="Arial" w:cs="Arial"/>
                <w:sz w:val="20"/>
                <w:szCs w:val="20"/>
              </w:rPr>
              <w:t>At least four treatment places for intravenous tumour therapy and blood transfusions in a separate room.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Basic diagnostics laboratory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Basic diagnostics including emergency laboratory must be possible during working hours. If done externally, documentation by means of cooperation agreement. </w:t>
            </w:r>
          </w:p>
          <w:p>
            <w:pPr>
              <w:spacing w:before="0" w:after="19"/>
              <w:rPr>
                <w:rFonts w:ascii="Arial" w:hAnsi="Arial" w:cs="Arial"/>
                <w:sz w:val="20"/>
                <w:szCs w:val="20"/>
                <w:lang w:val="ro-RO" w:bidi="ar-SA"/>
              </w:rPr>
            </w:pPr>
            <w:r>
              <w:rPr>
                <w:rFonts w:ascii="Arial" w:hAnsi="Arial" w:cs="Arial"/>
                <w:sz w:val="20"/>
                <w:szCs w:val="20"/>
              </w:rPr>
              <w:t>Basic diagnostics laboratory must be available 24h/7d in the Oncology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Basic diagnostics imaging</w:t>
            </w:r>
          </w:p>
          <w:p>
            <w:pPr>
              <w:framePr w:w="0" w:h="0" w:hRule="auto" w:vSpace="0" w:hSpace="0" w:wrap="auto" w:hAnchor="text" w:x="0" w:xAlign="left" w:yAlign="inline" w:anchorLock="0"/>
              <w:numPr>
                <w:ilvl w:val="0"/>
                <w:numId w:val="105"/>
              </w:numPr>
              <w:spacing w:before="0" w:after="19"/>
              <w:ind w:hanging="283" w:left="283" w:right="0"/>
              <w:rPr>
                <w:rFonts w:ascii="Arial" w:hAnsi="Arial" w:cs="Arial"/>
                <w:sz w:val="20"/>
                <w:szCs w:val="20"/>
              </w:rPr>
            </w:pPr>
            <w:r>
              <w:rPr>
                <w:rFonts w:ascii="Arial" w:hAnsi="Arial" w:cs="Arial"/>
                <w:sz w:val="20"/>
                <w:szCs w:val="20"/>
              </w:rPr>
              <w:t>24h daily access to ultrasound diagnosis</w:t>
            </w:r>
          </w:p>
          <w:p>
            <w:pPr>
              <w:framePr w:w="0" w:h="0" w:hRule="auto" w:vSpace="0" w:hSpace="0" w:wrap="auto" w:hAnchor="text" w:x="0" w:xAlign="left" w:yAlign="inline" w:anchorLock="0"/>
              <w:numPr>
                <w:ilvl w:val="0"/>
                <w:numId w:val="105"/>
              </w:numPr>
              <w:spacing w:before="0" w:after="19"/>
              <w:ind w:hanging="283" w:left="283" w:right="0"/>
              <w:rPr>
                <w:rFonts w:ascii="Arial" w:hAnsi="Arial" w:cs="Arial"/>
                <w:sz w:val="20"/>
                <w:szCs w:val="20"/>
              </w:rPr>
            </w:pPr>
            <w:r>
              <w:rPr>
                <w:rFonts w:ascii="Arial" w:hAnsi="Arial" w:cs="Arial"/>
                <w:sz w:val="20"/>
                <w:szCs w:val="20"/>
              </w:rPr>
              <w:t>24h daily access to radiological emergency diagnosis including CT</w:t>
            </w:r>
          </w:p>
          <w:p>
            <w:pPr>
              <w:framePr w:w="0" w:h="0" w:hRule="auto" w:vSpace="0" w:hSpace="0" w:wrap="auto" w:hAnchor="text" w:x="0" w:xAlign="left" w:yAlign="inline" w:anchorLock="0"/>
              <w:numPr>
                <w:ilvl w:val="0"/>
                <w:numId w:val="105"/>
              </w:numPr>
              <w:spacing w:before="0" w:after="19"/>
              <w:ind w:hanging="283" w:left="283" w:right="0"/>
              <w:rPr>
                <w:rFonts w:ascii="Arial" w:hAnsi="Arial" w:cs="Arial"/>
                <w:sz w:val="20"/>
                <w:szCs w:val="20"/>
              </w:rPr>
            </w:pPr>
            <w:r>
              <w:rPr>
                <w:rFonts w:ascii="Arial" w:hAnsi="Arial" w:cs="Arial"/>
                <w:sz w:val="20"/>
                <w:szCs w:val="20"/>
              </w:rPr>
              <w:t>Availability of MRI diagnosis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Documented, where applicable, in a cooperation agreement.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b w:val="1"/>
                <w:sz w:val="20"/>
                <w:szCs w:val="20"/>
              </w:rPr>
              <w:t>a)</w:t>
            </w:r>
            <w:r>
              <w:rPr>
                <w:rFonts w:ascii="Arial" w:hAnsi="Arial" w:cs="Arial"/>
                <w:sz w:val="20"/>
                <w:szCs w:val="20"/>
              </w:rPr>
              <w:t xml:space="preserve"> Uniform standardised regimens for systemic therapies in the OC</w:t>
            </w:r>
          </w:p>
          <w:p>
            <w:pPr>
              <w:framePr w:w="0" w:h="0" w:hRule="auto" w:vSpace="0" w:hSpace="0" w:wrap="auto" w:hAnchor="text" w:x="0" w:xAlign="left" w:yAlign="inline" w:anchorLock="0"/>
              <w:numPr>
                <w:ilvl w:val="0"/>
                <w:numId w:val="106"/>
              </w:numPr>
              <w:spacing w:before="0" w:after="19"/>
              <w:ind w:hanging="283" w:left="283" w:right="0"/>
              <w:rPr>
                <w:rFonts w:ascii="Arial" w:hAnsi="Arial" w:cs="Arial"/>
                <w:sz w:val="20"/>
                <w:szCs w:val="20"/>
              </w:rPr>
            </w:pPr>
            <w:r>
              <w:rPr>
                <w:rFonts w:ascii="Arial" w:hAnsi="Arial" w:cs="Arial"/>
                <w:sz w:val="20"/>
                <w:szCs w:val="20"/>
              </w:rPr>
              <w:t>The drawing up of/changes to existing therapy regimens must be undertaken by means of regulated approval.</w:t>
            </w:r>
          </w:p>
          <w:p>
            <w:pPr>
              <w:framePr w:w="0" w:h="0" w:hRule="auto" w:vSpace="0" w:hSpace="0" w:wrap="auto" w:hAnchor="text" w:x="0" w:xAlign="left" w:yAlign="inline" w:anchorLock="0"/>
              <w:numPr>
                <w:ilvl w:val="0"/>
                <w:numId w:val="106"/>
              </w:numPr>
              <w:spacing w:before="0" w:after="19"/>
              <w:ind w:hanging="283" w:left="283" w:right="0"/>
              <w:rPr>
                <w:rFonts w:ascii="Arial" w:hAnsi="Arial" w:cs="Arial"/>
                <w:sz w:val="20"/>
                <w:szCs w:val="20"/>
              </w:rPr>
            </w:pPr>
            <w:r>
              <w:rPr>
                <w:rFonts w:ascii="Arial" w:hAnsi="Arial" w:cs="Arial"/>
                <w:sz w:val="20"/>
                <w:szCs w:val="20"/>
              </w:rPr>
              <w:t>The antiemetics that correspond to the Guidelines are to be included in the therapy plans.</w:t>
            </w:r>
          </w:p>
          <w:p>
            <w:pPr>
              <w:framePr w:w="0" w:h="0" w:hRule="auto" w:vSpace="0" w:hSpace="0" w:wrap="auto" w:hAnchor="text" w:x="0" w:xAlign="left" w:yAlign="inline" w:anchorLock="0"/>
              <w:numPr>
                <w:ilvl w:val="0"/>
                <w:numId w:val="106"/>
              </w:numPr>
              <w:spacing w:before="0" w:after="19"/>
              <w:ind w:hanging="283" w:left="283" w:right="0"/>
              <w:rPr>
                <w:rFonts w:ascii="Arial" w:hAnsi="Arial" w:cs="Arial"/>
                <w:sz w:val="20"/>
                <w:szCs w:val="20"/>
              </w:rPr>
            </w:pPr>
            <w:r>
              <w:rPr>
                <w:rFonts w:ascii="Arial" w:hAnsi="Arial" w:cs="Arial"/>
                <w:sz w:val="20"/>
                <w:szCs w:val="20"/>
              </w:rPr>
              <w:t xml:space="preserve">In the case of special highly emetogenic/moderately emetogenic therapies, the antiemetic prophylaxis and therapy in line with the Guidelines are to be included in the therapy plan: </w:t>
            </w:r>
            <w:hyperlink xmlns:r="http://schemas.openxmlformats.org/officeDocument/2006/relationships" r:id="RC" w:tgtFrame="_blank">
              <w:r>
                <w:rPr>
                  <w:rFonts w:ascii="Arial" w:hAnsi="Arial" w:cs="Arial"/>
                  <w:color w:val="0000FF"/>
                  <w:sz w:val="20"/>
                  <w:szCs w:val="20"/>
                  <w:u w:val="single"/>
                </w:rPr>
                <w:t>http://www.leitlinienprogramm-onkologie.de/leitlinien/supportive-therapie/</w:t>
              </w:r>
            </w:hyperlink>
            <w:r>
              <w:rPr>
                <w:rFonts w:ascii="Arial" w:hAnsi="Arial" w:cs="Arial"/>
                <w:sz w:val="20"/>
                <w:szCs w:val="20"/>
              </w:rPr>
              <w:t>, Table 33</w:t>
            </w:r>
          </w:p>
          <w:p>
            <w:pPr>
              <w:framePr w:w="0" w:h="0" w:hRule="auto" w:vSpace="0" w:hSpace="0" w:wrap="auto" w:hAnchor="text" w:x="0" w:xAlign="left" w:yAlign="inline" w:anchorLock="0"/>
              <w:numPr>
                <w:ilvl w:val="0"/>
                <w:numId w:val="106"/>
              </w:numPr>
              <w:spacing w:before="0" w:after="19"/>
              <w:ind w:hanging="283" w:left="283" w:right="0"/>
              <w:rPr>
                <w:rFonts w:ascii="Arial" w:hAnsi="Arial" w:cs="Arial"/>
                <w:sz w:val="20"/>
                <w:szCs w:val="20"/>
              </w:rPr>
            </w:pPr>
            <w:r>
              <w:rPr>
                <w:rFonts w:ascii="Arial" w:hAnsi="Arial" w:cs="Arial"/>
                <w:sz w:val="20"/>
                <w:szCs w:val="20"/>
              </w:rPr>
              <w:t>Prior to approval or changes to therapy regimens, the expert opinion of pharmacists have to sought.</w:t>
            </w:r>
          </w:p>
          <w:p>
            <w:pPr>
              <w:framePr w:w="0" w:h="0" w:hRule="auto" w:vSpace="0" w:hSpace="0" w:wrap="auto" w:hAnchor="text" w:x="0" w:xAlign="left" w:yAlign="inline" w:anchorLock="0"/>
              <w:numPr>
                <w:ilvl w:val="0"/>
                <w:numId w:val="106"/>
              </w:numPr>
              <w:spacing w:before="0" w:after="19"/>
              <w:ind w:hanging="283" w:left="283" w:right="0"/>
              <w:rPr>
                <w:rFonts w:ascii="Arial" w:hAnsi="Arial" w:cs="Arial"/>
                <w:sz w:val="20"/>
                <w:szCs w:val="20"/>
              </w:rPr>
            </w:pPr>
            <w:r>
              <w:rPr>
                <w:rFonts w:ascii="Arial" w:hAnsi="Arial" w:cs="Arial"/>
                <w:sz w:val="20"/>
                <w:szCs w:val="20"/>
              </w:rPr>
              <w:t>The therapy regimens are to be protected from any unintended changes.</w:t>
            </w:r>
          </w:p>
          <w:p>
            <w:pPr>
              <w:framePr w:w="0" w:h="0" w:hRule="auto" w:vSpace="0" w:hSpace="0" w:wrap="auto" w:hAnchor="text" w:x="0" w:xAlign="left" w:yAlign="inline" w:anchorLock="0"/>
              <w:numPr>
                <w:ilvl w:val="0"/>
                <w:numId w:val="106"/>
              </w:numPr>
              <w:spacing w:before="0" w:after="19"/>
              <w:ind w:hanging="283" w:left="283" w:right="0"/>
              <w:rPr>
                <w:rFonts w:ascii="Arial" w:hAnsi="Arial" w:cs="Arial"/>
                <w:sz w:val="20"/>
                <w:szCs w:val="20"/>
              </w:rPr>
            </w:pPr>
            <w:r>
              <w:rPr>
                <w:rFonts w:ascii="Arial" w:hAnsi="Arial" w:cs="Arial"/>
                <w:sz w:val="20"/>
                <w:szCs w:val="20"/>
              </w:rPr>
              <w:t>The therapy regimens are comparable between the outpatient and inpatient units.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b w:val="1"/>
                <w:sz w:val="20"/>
                <w:szCs w:val="20"/>
              </w:rPr>
              <w:t>b)</w:t>
            </w:r>
            <w:r>
              <w:rPr>
                <w:rFonts w:ascii="Arial" w:hAnsi="Arial" w:cs="Arial"/>
                <w:sz w:val="20"/>
                <w:szCs w:val="20"/>
              </w:rPr>
              <w:t xml:space="preserve"> Individual therapy plan</w:t>
            </w:r>
          </w:p>
          <w:p>
            <w:pPr>
              <w:framePr w:w="0" w:h="0" w:hRule="auto" w:vSpace="0" w:hSpace="0" w:wrap="auto" w:hAnchor="text" w:x="0" w:xAlign="left" w:yAlign="inline" w:anchorLock="0"/>
              <w:numPr>
                <w:ilvl w:val="0"/>
                <w:numId w:val="107"/>
              </w:numPr>
              <w:spacing w:before="0" w:after="19"/>
              <w:ind w:hanging="283" w:left="283" w:right="0"/>
              <w:rPr>
                <w:rFonts w:ascii="Arial" w:hAnsi="Arial" w:cs="Arial"/>
                <w:sz w:val="20"/>
                <w:szCs w:val="20"/>
              </w:rPr>
            </w:pPr>
            <w:r>
              <w:rPr>
                <w:rFonts w:ascii="Arial" w:hAnsi="Arial" w:cs="Arial"/>
                <w:sz w:val="20"/>
                <w:szCs w:val="20"/>
              </w:rPr>
              <w:t>All systemic therapy must be planned on the basis of a therapy regimen.</w:t>
            </w:r>
          </w:p>
          <w:p>
            <w:pPr>
              <w:framePr w:w="0" w:h="0" w:hRule="auto" w:vSpace="0" w:hSpace="0" w:wrap="auto" w:hAnchor="text" w:x="0" w:xAlign="left" w:yAlign="inline" w:anchorLock="0"/>
              <w:numPr>
                <w:ilvl w:val="0"/>
                <w:numId w:val="107"/>
              </w:numPr>
              <w:spacing w:before="0" w:after="19"/>
              <w:ind w:hanging="283" w:left="283" w:right="0"/>
              <w:rPr>
                <w:rFonts w:ascii="Arial" w:hAnsi="Arial" w:cs="Arial"/>
                <w:sz w:val="20"/>
                <w:szCs w:val="20"/>
              </w:rPr>
            </w:pPr>
            <w:r>
              <w:rPr>
                <w:rFonts w:ascii="Arial" w:hAnsi="Arial" w:cs="Arial"/>
                <w:sz w:val="20"/>
                <w:szCs w:val="20"/>
              </w:rPr>
              <w:t>The therapy plans are to be checked and approved.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b w:val="1"/>
                <w:sz w:val="20"/>
                <w:szCs w:val="20"/>
              </w:rPr>
              <w:t xml:space="preserve">c) </w:t>
            </w:r>
            <w:r>
              <w:rPr>
                <w:rFonts w:ascii="Arial" w:hAnsi="Arial" w:cs="Arial"/>
                <w:sz w:val="20"/>
                <w:szCs w:val="20"/>
              </w:rPr>
              <w:t>Approval/ administration of therapy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Therapy is to be checked on the day of administration, approved for the patient and administration, including time, is to be documented.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further information,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Preparation of cytostatic drugs</w:t>
            </w:r>
          </w:p>
          <w:p>
            <w:pPr>
              <w:framePr w:w="0" w:h="0" w:hRule="auto" w:vSpace="0" w:hSpace="0" w:wrap="auto" w:hAnchor="text" w:x="0" w:xAlign="left" w:yAlign="inline" w:anchorLock="0"/>
              <w:numPr>
                <w:ilvl w:val="0"/>
                <w:numId w:val="108"/>
              </w:numPr>
              <w:spacing w:before="0" w:after="19"/>
              <w:ind w:hanging="283" w:left="283" w:right="0"/>
              <w:rPr>
                <w:rFonts w:ascii="Arial" w:hAnsi="Arial" w:cs="Arial"/>
                <w:sz w:val="20"/>
                <w:szCs w:val="20"/>
              </w:rPr>
            </w:pPr>
            <w:r>
              <w:rPr>
                <w:rFonts w:ascii="Arial" w:hAnsi="Arial" w:cs="Arial"/>
                <w:sz w:val="20"/>
                <w:szCs w:val="20"/>
              </w:rPr>
              <w:t xml:space="preserve">Drugs are prepared in accordance with statutory provisions (inter alia AMG, AP-BetrO, GMP, GCP, Eudralex (Vol. 10)) in a pharmacy. If it is not part of the facility, a supply agreement must be entered into. </w:t>
            </w:r>
          </w:p>
          <w:p>
            <w:pPr>
              <w:framePr w:w="0" w:h="0" w:hRule="auto" w:vSpace="0" w:hSpace="0" w:wrap="auto" w:hAnchor="text" w:x="0" w:xAlign="left" w:yAlign="inline" w:anchorLock="0"/>
              <w:numPr>
                <w:ilvl w:val="0"/>
                <w:numId w:val="108"/>
              </w:numPr>
              <w:spacing w:before="0" w:after="19"/>
              <w:ind w:hanging="283" w:left="283" w:right="0"/>
              <w:rPr>
                <w:rFonts w:ascii="Arial" w:hAnsi="Arial" w:cs="Arial"/>
                <w:sz w:val="20"/>
                <w:szCs w:val="20"/>
              </w:rPr>
            </w:pPr>
            <w:r>
              <w:rPr>
                <w:rFonts w:ascii="Arial" w:hAnsi="Arial" w:cs="Arial"/>
                <w:sz w:val="20"/>
                <w:szCs w:val="20"/>
              </w:rPr>
              <w:t>It must be possible to consult the pharmacist during the period in which therapy is being administered. 24-hour on-call service is required for inpatients.</w:t>
            </w:r>
          </w:p>
          <w:p>
            <w:pPr>
              <w:numPr>
                <w:ilvl w:val="0"/>
                <w:numId w:val="108"/>
              </w:numPr>
              <w:spacing w:before="0" w:after="19"/>
              <w:ind w:hanging="283" w:left="283"/>
              <w:rPr>
                <w:rFonts w:ascii="Arial" w:hAnsi="Arial" w:cs="Arial"/>
                <w:sz w:val="20"/>
                <w:szCs w:val="20"/>
                <w:lang w:val="ro-RO" w:bidi="ar-SA"/>
              </w:rPr>
            </w:pPr>
            <w:r>
              <w:rPr>
                <w:rFonts w:ascii="Arial" w:hAnsi="Arial" w:cs="Arial"/>
                <w:sz w:val="20"/>
                <w:szCs w:val="20"/>
              </w:rPr>
              <w:t>Standard operating procedures (SOPs) are to be drawn up.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Standard operating procedures</w:t>
            </w:r>
          </w:p>
          <w:p>
            <w:pPr>
              <w:framePr w:w="0" w:h="0" w:hRule="auto" w:vSpace="0" w:hSpace="0" w:wrap="auto" w:hAnchor="text" w:x="0" w:xAlign="left" w:yAlign="inline" w:anchorLock="0"/>
              <w:numPr>
                <w:ilvl w:val="0"/>
                <w:numId w:val="109"/>
              </w:numPr>
              <w:spacing w:before="0" w:after="19"/>
              <w:ind w:hanging="283" w:left="283" w:right="0"/>
              <w:rPr>
                <w:rFonts w:ascii="Arial" w:hAnsi="Arial" w:cs="Arial"/>
                <w:sz w:val="20"/>
                <w:szCs w:val="20"/>
              </w:rPr>
            </w:pPr>
            <w:r>
              <w:rPr>
                <w:rFonts w:ascii="Arial" w:hAnsi="Arial" w:cs="Arial"/>
                <w:sz w:val="20"/>
                <w:szCs w:val="20"/>
              </w:rPr>
              <w:t xml:space="preserve">The delegation of physician’s tasks to </w:t>
            </w:r>
            <w:r>
              <w:rPr>
                <w:rFonts w:ascii="Arial" w:hAnsi="Arial" w:cs="Arial"/>
                <w:sz w:val="20"/>
                <w:szCs w:val="20"/>
                <w:shd w:val="clear" w:color="auto" w:fill="00FF00"/>
              </w:rPr>
              <w:t xml:space="preserve">specialist </w:t>
            </w:r>
            <w:r>
              <w:rPr>
                <w:rFonts w:ascii="Arial" w:hAnsi="Arial" w:cs="Arial"/>
                <w:sz w:val="20"/>
                <w:szCs w:val="20"/>
              </w:rPr>
              <w:t>nurses (inter alia cytostatic administration) must be described.</w:t>
            </w:r>
          </w:p>
          <w:p>
            <w:pPr>
              <w:framePr w:w="0" w:h="0" w:hRule="auto" w:vSpace="0" w:hSpace="0" w:wrap="auto" w:hAnchor="text" w:x="0" w:xAlign="left" w:yAlign="inline" w:anchorLock="0"/>
              <w:numPr>
                <w:ilvl w:val="0"/>
                <w:numId w:val="109"/>
              </w:numPr>
              <w:spacing w:before="0" w:after="19"/>
              <w:ind w:hanging="283" w:left="283" w:right="0"/>
              <w:rPr>
                <w:rFonts w:ascii="Arial" w:hAnsi="Arial" w:cs="Arial"/>
                <w:sz w:val="20"/>
                <w:szCs w:val="20"/>
              </w:rPr>
            </w:pPr>
            <w:r>
              <w:rPr>
                <w:rFonts w:ascii="Arial" w:hAnsi="Arial" w:cs="Arial"/>
                <w:sz w:val="20"/>
                <w:szCs w:val="20"/>
              </w:rPr>
              <w:t>All phases of the standard operating procedure for medical oncological therapy (initiation, conduct and termination of therapy) are to be described.</w:t>
            </w:r>
          </w:p>
          <w:p>
            <w:pPr>
              <w:numPr>
                <w:ilvl w:val="0"/>
                <w:numId w:val="109"/>
              </w:numPr>
              <w:spacing w:before="0" w:after="19"/>
              <w:ind w:hanging="283" w:left="283"/>
              <w:rPr>
                <w:rFonts w:ascii="Arial" w:hAnsi="Arial" w:cs="Arial"/>
                <w:sz w:val="20"/>
                <w:szCs w:val="20"/>
                <w:lang w:val="ro-RO" w:bidi="ar-SA"/>
              </w:rPr>
            </w:pPr>
            <w:r>
              <w:rPr>
                <w:rFonts w:ascii="Arial" w:hAnsi="Arial" w:cs="Arial"/>
                <w:sz w:val="20"/>
                <w:szCs w:val="20"/>
              </w:rPr>
              <w:t>Supportive measures in accordance with the guidelines are to be described for the individual therapy concepts and documented in detail for each 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Standards comorbidities and secondary diseases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Standards are to be drawn up </w:t>
            </w:r>
          </w:p>
          <w:p>
            <w:pPr>
              <w:framePr w:w="0" w:h="0" w:hRule="auto" w:vSpace="0" w:hSpace="0" w:wrap="auto" w:hAnchor="text" w:x="0" w:xAlign="left" w:yAlign="inline" w:anchorLock="0"/>
              <w:numPr>
                <w:ilvl w:val="0"/>
                <w:numId w:val="110"/>
              </w:numPr>
              <w:spacing w:before="0" w:after="19"/>
              <w:ind w:hanging="283" w:left="283" w:right="0"/>
              <w:rPr>
                <w:rFonts w:ascii="Arial" w:hAnsi="Arial" w:cs="Arial"/>
                <w:sz w:val="20"/>
                <w:szCs w:val="20"/>
              </w:rPr>
            </w:pPr>
            <w:r>
              <w:rPr>
                <w:rFonts w:ascii="Arial" w:hAnsi="Arial" w:cs="Arial"/>
                <w:sz w:val="20"/>
                <w:szCs w:val="20"/>
              </w:rPr>
              <w:t>in particular extravasate management (extravasation set and SOP), infections, thromboembolic complications, allergic reactions and procedure for handling a high temperature in neutropenia</w:t>
            </w:r>
          </w:p>
          <w:p>
            <w:pPr>
              <w:framePr w:w="0" w:h="0" w:hRule="auto" w:vSpace="0" w:hSpace="0" w:wrap="auto" w:hAnchor="text" w:x="0" w:xAlign="left" w:yAlign="inline" w:anchorLock="0"/>
              <w:numPr>
                <w:ilvl w:val="0"/>
                <w:numId w:val="110"/>
              </w:numPr>
              <w:spacing w:before="0" w:after="19"/>
              <w:ind w:hanging="283" w:left="283" w:right="0"/>
              <w:rPr>
                <w:rFonts w:ascii="Arial" w:hAnsi="Arial" w:cs="Arial"/>
                <w:sz w:val="20"/>
                <w:szCs w:val="20"/>
              </w:rPr>
            </w:pPr>
            <w:r>
              <w:rPr>
                <w:rFonts w:ascii="Arial" w:hAnsi="Arial" w:cs="Arial"/>
                <w:sz w:val="20"/>
                <w:szCs w:val="20"/>
              </w:rPr>
              <w:t>and side effect management in the case of immunological and targeted therapies (e.g. osteoprotection in conjunction with bisphosphonates, RANK ligand antibodies/OMS surgical examination prior to commencement of therapy)</w:t>
            </w:r>
          </w:p>
          <w:p>
            <w:pPr>
              <w:spacing w:before="0" w:after="19"/>
              <w:rPr>
                <w:rFonts w:ascii="Arial" w:hAnsi="Arial" w:cs="Arial"/>
                <w:sz w:val="20"/>
                <w:szCs w:val="20"/>
                <w:lang w:val="ro-RO" w:bidi="ar-SA"/>
              </w:rPr>
            </w:pPr>
            <w:r>
              <w:rPr>
                <w:rFonts w:ascii="Arial" w:hAnsi="Arial" w:cs="Arial"/>
                <w:sz w:val="20"/>
                <w:szCs w:val="20"/>
              </w:rPr>
              <w:t>for the prophylaxis/treatment of comorbidities and secondary diseases and training for physicians and nursing staff is to be documented (log).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Emergency treatment</w:t>
            </w:r>
          </w:p>
          <w:p>
            <w:pPr>
              <w:framePr w:w="0" w:h="0" w:hRule="auto" w:vSpace="0" w:hSpace="0" w:wrap="auto" w:hAnchor="text" w:x="0" w:xAlign="left" w:yAlign="inline" w:anchorLock="0"/>
              <w:numPr>
                <w:ilvl w:val="0"/>
                <w:numId w:val="111"/>
              </w:numPr>
              <w:spacing w:before="0" w:after="19"/>
              <w:ind w:hanging="283" w:left="283" w:right="0"/>
              <w:rPr>
                <w:rFonts w:ascii="Arial" w:hAnsi="Arial" w:cs="Arial"/>
                <w:sz w:val="20"/>
                <w:szCs w:val="20"/>
              </w:rPr>
            </w:pPr>
            <w:r>
              <w:rPr>
                <w:rFonts w:ascii="Arial" w:hAnsi="Arial" w:cs="Arial"/>
                <w:sz w:val="20"/>
                <w:szCs w:val="20"/>
              </w:rPr>
              <w:t xml:space="preserve">Availability of emergency medical equipment and written flowchart for emergencies. </w:t>
            </w:r>
          </w:p>
          <w:p>
            <w:pPr>
              <w:numPr>
                <w:ilvl w:val="0"/>
                <w:numId w:val="111"/>
              </w:numPr>
              <w:spacing w:before="0" w:after="19"/>
              <w:ind w:hanging="283" w:left="283"/>
              <w:rPr>
                <w:rFonts w:ascii="Arial" w:hAnsi="Arial" w:cs="Arial"/>
                <w:sz w:val="20"/>
                <w:szCs w:val="20"/>
                <w:lang w:val="ro-RO" w:bidi="ar-SA"/>
              </w:rPr>
            </w:pPr>
            <w:r>
              <w:rPr>
                <w:rFonts w:ascii="Arial" w:hAnsi="Arial" w:cs="Arial"/>
                <w:sz w:val="20"/>
                <w:szCs w:val="20"/>
              </w:rPr>
              <w:t>Annual training for medical staff in the treatment unit must be documented (contents of e.g. anaphylactic shock, resuscitation, etc.). The training logs are to be documented (training logs with list of participants for the previous 12 months).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Case-related information/ dialogue with patients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Adequate information is to be provided for diagnosis and therapy planning and a consultation is to be given. This includes:</w:t>
            </w:r>
          </w:p>
          <w:p>
            <w:pPr>
              <w:framePr w:w="0" w:h="0" w:hRule="auto" w:vSpace="0" w:hSpace="0" w:wrap="auto" w:hAnchor="text" w:x="0" w:xAlign="left" w:yAlign="inline" w:anchorLock="0"/>
              <w:numPr>
                <w:ilvl w:val="0"/>
                <w:numId w:val="112"/>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framePr w:w="0" w:h="0" w:hRule="auto" w:vSpace="0" w:hSpace="0" w:wrap="auto" w:hAnchor="text" w:x="0" w:xAlign="left" w:yAlign="inline" w:anchorLock="0"/>
              <w:numPr>
                <w:ilvl w:val="0"/>
                <w:numId w:val="112"/>
              </w:numPr>
              <w:spacing w:before="0" w:after="19"/>
              <w:ind w:hanging="283" w:left="283" w:right="0"/>
              <w:rPr>
                <w:rFonts w:ascii="Arial" w:hAnsi="Arial" w:cs="Arial"/>
                <w:sz w:val="20"/>
                <w:szCs w:val="20"/>
              </w:rPr>
            </w:pPr>
            <w:r>
              <w:rPr>
                <w:rFonts w:ascii="Arial" w:hAnsi="Arial" w:cs="Arial"/>
                <w:sz w:val="20"/>
                <w:szCs w:val="20"/>
              </w:rPr>
              <w:t xml:space="preserve">Offer of and </w:t>
            </w:r>
            <w:r>
              <w:rPr>
                <w:rFonts w:ascii="Arial" w:hAnsi="Arial" w:cs="Arial"/>
                <w:strike w:val="1"/>
                <w:sz w:val="20"/>
                <w:szCs w:val="20"/>
                <w:shd w:val="clear" w:color="auto" w:fill="00FE00"/>
              </w:rPr>
              <w:t xml:space="preserve">assistance </w:t>
            </w:r>
            <w:r>
              <w:rPr>
                <w:rFonts w:ascii="Arial" w:hAnsi="Arial" w:cs="Arial"/>
                <w:sz w:val="20"/>
                <w:szCs w:val="20"/>
                <w:shd w:val="clear" w:color="auto" w:fill="00FE00"/>
              </w:rPr>
              <w:t>support</w:t>
            </w:r>
            <w:r>
              <w:rPr>
                <w:rFonts w:ascii="Arial" w:hAnsi="Arial" w:cs="Arial"/>
                <w:sz w:val="20"/>
                <w:szCs w:val="20"/>
              </w:rPr>
              <w:t xml:space="preserve"> in obtaining second opinion</w:t>
            </w:r>
            <w:r>
              <w:rPr>
                <w:rFonts w:ascii="Arial" w:hAnsi="Arial" w:cs="Arial"/>
                <w:strike w:val="1"/>
                <w:sz w:val="20"/>
                <w:szCs w:val="20"/>
                <w:shd w:val="clear" w:color="auto" w:fill="00FE00"/>
              </w:rPr>
              <w:t>s</w:t>
            </w:r>
          </w:p>
          <w:p>
            <w:pPr>
              <w:framePr w:w="0" w:h="0" w:hRule="auto" w:vSpace="0" w:hSpace="0" w:wrap="auto" w:hAnchor="text" w:x="0" w:xAlign="left" w:yAlign="inline" w:anchorLock="0"/>
              <w:numPr>
                <w:ilvl w:val="0"/>
                <w:numId w:val="112"/>
              </w:numPr>
              <w:spacing w:before="0" w:after="19"/>
              <w:ind w:hanging="283" w:left="283" w:right="0"/>
              <w:rPr>
                <w:rFonts w:ascii="Arial" w:hAnsi="Arial" w:cs="Arial"/>
                <w:sz w:val="20"/>
                <w:szCs w:val="20"/>
              </w:rPr>
            </w:pPr>
            <w:r>
              <w:rPr>
                <w:rFonts w:ascii="Arial" w:hAnsi="Arial" w:cs="Arial"/>
                <w:sz w:val="20"/>
                <w:szCs w:val="20"/>
              </w:rPr>
              <w:t>Discharge consultation as a standard procedure</w:t>
            </w:r>
          </w:p>
          <w:p>
            <w:pPr>
              <w:framePr w:w="0" w:h="0" w:hRule="auto" w:vSpace="0" w:hSpace="0" w:wrap="auto" w:hAnchor="text" w:x="0" w:xAlign="left" w:yAlign="inline" w:anchorLock="0"/>
              <w:numPr>
                <w:ilvl w:val="0"/>
                <w:numId w:val="112"/>
              </w:numPr>
              <w:spacing w:before="0" w:after="19"/>
              <w:ind w:hanging="283" w:left="283" w:right="0"/>
              <w:rPr>
                <w:rFonts w:ascii="Arial" w:hAnsi="Arial" w:cs="Arial"/>
                <w:sz w:val="20"/>
                <w:szCs w:val="20"/>
              </w:rPr>
            </w:pPr>
            <w:r>
              <w:rPr>
                <w:rFonts w:ascii="Arial" w:hAnsi="Arial" w:cs="Arial"/>
                <w:sz w:val="20"/>
                <w:szCs w:val="20"/>
              </w:rPr>
              <w:t>Written patient information (information leaflet) inter alia about immunological/targeted therapies and vaccination recommendations in the case of immunosuppression should be handed out to the patients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Patient consultations are to be documented in medical reports and other protocols/ records.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Information on therapy conduct/ planning</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After each administration of systemic therapy the patient and/ or physician responsible for further treatment is/ are given information about the current status of therapy and future planning (blood tests…), e.g. in an aftercare pass/ therapy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Preparation of discharge letter</w:t>
            </w:r>
          </w:p>
          <w:p>
            <w:pPr>
              <w:spacing w:before="0" w:after="19"/>
              <w:rPr>
                <w:rFonts w:ascii="Arial" w:hAnsi="Arial" w:cs="Arial"/>
                <w:sz w:val="20"/>
                <w:szCs w:val="20"/>
                <w:lang w:val="ro-RO" w:bidi="ar-SA"/>
              </w:rPr>
            </w:pPr>
            <w:r>
              <w:rPr>
                <w:rFonts w:ascii="Arial" w:hAnsi="Arial" w:cs="Arial"/>
                <w:sz w:val="20"/>
                <w:szCs w:val="20"/>
              </w:rPr>
              <w:t>After conclusion of systemic therapy (last administration) and/ or a change in therapy and/ or after final staging/ therapy discontinuation, the physician responsible for further treatment or the co-attending physician is given the final report within 7 days.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Induction of new staff members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Systematic, documented induction of new staff members is to be ensured, which imparts knowledge about the Oncology Centre’s respective field of activity.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This induction must take place within three months of commencement of employment.</w:t>
            </w:r>
          </w:p>
          <w:p>
            <w:pPr>
              <w:spacing w:before="0" w:after="19"/>
              <w:rPr>
                <w:rFonts w:ascii="Arial" w:hAnsi="Arial" w:cs="Arial"/>
                <w:sz w:val="20"/>
                <w:szCs w:val="20"/>
                <w:lang w:val="ro-RO" w:bidi="ar-SA"/>
              </w:rPr>
            </w:pPr>
            <w:r>
              <w:rPr>
                <w:rFonts w:ascii="Arial" w:hAnsi="Arial" w:cs="Arial"/>
                <w:sz w:val="20"/>
                <w:szCs w:val="20"/>
              </w:rPr>
              <w:t>The implementation of the induction concept is to be documented (submission of lists of the staff members hired during the previous 12 months).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framePr w:w="0" w:h="0" w:hRule="auto" w:vSpace="0" w:hSpace="0" w:wrap="auto" w:hAnchor="text" w:x="0" w:xAlign="left" w:yAlign="inline" w:anchorLock="0"/>
              <w:numPr>
                <w:ilvl w:val="0"/>
                <w:numId w:val="113"/>
              </w:numPr>
              <w:spacing w:before="0" w:after="19"/>
              <w:ind w:hanging="283" w:left="283" w:right="0"/>
              <w:rPr>
                <w:rFonts w:ascii="Arial" w:hAnsi="Arial" w:cs="Arial"/>
                <w:sz w:val="20"/>
                <w:szCs w:val="20"/>
              </w:rPr>
            </w:pPr>
            <w:r>
              <w:rPr>
                <w:rFonts w:ascii="Arial" w:hAnsi="Arial" w:cs="Arial"/>
                <w:sz w:val="20"/>
                <w:szCs w:val="20"/>
              </w:rPr>
              <w:t>A training plan for the medical and nursing staff is to be presented listing the planned training sessions for the period of one year.</w:t>
            </w:r>
          </w:p>
          <w:p>
            <w:pPr>
              <w:numPr>
                <w:ilvl w:val="0"/>
                <w:numId w:val="113"/>
              </w:numPr>
              <w:spacing w:before="0" w:after="19"/>
              <w:ind w:hanging="283" w:left="283"/>
              <w:rPr>
                <w:rFonts w:ascii="Arial" w:hAnsi="Arial" w:cs="Arial"/>
                <w:sz w:val="20"/>
                <w:szCs w:val="20"/>
                <w:lang w:val="ro-RO" w:bidi="ar-SA"/>
              </w:rPr>
            </w:pPr>
            <w:r>
              <w:rPr>
                <w:rFonts w:ascii="Arial" w:hAnsi="Arial" w:cs="Arial"/>
                <w:sz w:val="20"/>
                <w:szCs w:val="20"/>
              </w:rPr>
              <w:t>At least one dedicated continuing education/ specialty training session for each staff member (minimum one day a year) who carries out quality-relevant activities for the Oncology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6.2.20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Quality circles</w:t>
            </w:r>
          </w:p>
          <w:p>
            <w:pPr>
              <w:framePr w:w="0" w:h="0" w:hRule="auto" w:vSpace="0" w:hSpace="0" w:wrap="auto" w:hAnchor="text" w:x="0" w:xAlign="left" w:yAlign="inline" w:anchorLock="0"/>
              <w:numPr>
                <w:ilvl w:val="0"/>
                <w:numId w:val="114"/>
              </w:numPr>
              <w:spacing w:before="0" w:after="19"/>
              <w:ind w:hanging="283" w:left="283" w:right="0"/>
              <w:rPr>
                <w:rFonts w:ascii="Arial" w:hAnsi="Arial" w:cs="Arial"/>
                <w:sz w:val="20"/>
                <w:szCs w:val="20"/>
              </w:rPr>
            </w:pPr>
            <w:r>
              <w:rPr>
                <w:rFonts w:ascii="Arial" w:hAnsi="Arial" w:cs="Arial"/>
                <w:sz w:val="20"/>
                <w:szCs w:val="20"/>
              </w:rPr>
              <w:t>Quality circles in which oncological topics are discussed must be conducted or participated in at least 3 times a year</w:t>
            </w:r>
          </w:p>
          <w:p>
            <w:pPr>
              <w:framePr w:w="0" w:h="0" w:hRule="auto" w:vSpace="0" w:hSpace="0" w:wrap="auto" w:hAnchor="text" w:x="0" w:xAlign="left" w:yAlign="inline" w:anchorLock="0"/>
              <w:numPr>
                <w:ilvl w:val="0"/>
                <w:numId w:val="114"/>
              </w:numPr>
              <w:spacing w:before="0" w:after="19"/>
              <w:ind w:hanging="283" w:left="283" w:right="0"/>
              <w:rPr>
                <w:rFonts w:ascii="Arial" w:hAnsi="Arial" w:cs="Arial"/>
                <w:sz w:val="20"/>
                <w:szCs w:val="20"/>
              </w:rPr>
            </w:pPr>
            <w:r>
              <w:rPr>
                <w:rFonts w:ascii="Arial" w:hAnsi="Arial" w:cs="Arial"/>
                <w:sz w:val="20"/>
                <w:szCs w:val="20"/>
              </w:rPr>
              <w:t>Scheduling, e.g. in qualification plan</w:t>
            </w:r>
          </w:p>
          <w:p>
            <w:pPr>
              <w:framePr w:w="0" w:h="0" w:hRule="auto" w:vSpace="0" w:hSpace="0" w:wrap="auto" w:hAnchor="text" w:x="0" w:xAlign="left" w:yAlign="inline" w:anchorLock="0"/>
              <w:numPr>
                <w:ilvl w:val="0"/>
                <w:numId w:val="114"/>
              </w:numPr>
              <w:spacing w:before="0" w:after="19"/>
              <w:ind w:hanging="283" w:left="283" w:right="0"/>
              <w:rPr>
                <w:rFonts w:ascii="Arial" w:hAnsi="Arial" w:cs="Arial"/>
                <w:sz w:val="20"/>
                <w:szCs w:val="20"/>
              </w:rPr>
            </w:pPr>
            <w:r>
              <w:rPr>
                <w:rFonts w:ascii="Arial" w:hAnsi="Arial" w:cs="Arial"/>
                <w:sz w:val="20"/>
                <w:szCs w:val="20"/>
              </w:rPr>
              <w:t>Minutes of Quality circles are to be taken.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Participation in the quality circles held centrally at the Oncology Centre is acknowledged at this stage (see "EB 1.2.14 Interdisciplinary cooperation").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6.2.21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Studies</w:t>
            </w:r>
          </w:p>
          <w:p>
            <w:pPr>
              <w:spacing w:before="0" w:after="19"/>
              <w:rPr>
                <w:rFonts w:ascii="Arial" w:hAnsi="Arial" w:cs="Arial"/>
                <w:sz w:val="20"/>
                <w:szCs w:val="20"/>
                <w:lang w:val="ro-RO" w:bidi="ar-SA"/>
              </w:rPr>
            </w:pPr>
            <w:r>
              <w:rPr>
                <w:rFonts w:ascii="Arial" w:hAnsi="Arial" w:cs="Arial"/>
                <w:sz w:val="20"/>
                <w:szCs w:val="20"/>
              </w:rPr>
              <w:t>If studies are offered or conducted, the requirements in Section 1.7 Study management are to be fully complied with.</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6.2.22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Nursing care</w:t>
            </w:r>
          </w:p>
          <w:p>
            <w:pPr>
              <w:spacing w:before="0" w:after="19"/>
              <w:rPr>
                <w:rFonts w:ascii="Arial" w:hAnsi="Arial" w:cs="Arial"/>
                <w:sz w:val="20"/>
                <w:szCs w:val="20"/>
                <w:lang w:val="ro-RO" w:bidi="ar-SA"/>
              </w:rPr>
            </w:pPr>
            <w:r>
              <w:rPr>
                <w:rFonts w:ascii="Arial" w:hAnsi="Arial" w:cs="Arial"/>
                <w:sz w:val="20"/>
                <w:szCs w:val="20"/>
              </w:rPr>
              <w:t>If inpatient care is provided, the nursing care requirements in Section 1.8 Nursing care are to be fully complied with.</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7.</w:t>
        <w:tab/>
        <w:t xml:space="preserve"> Radio-oncology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framePr w:w="0" w:h="0" w:hRule="auto" w:vSpace="0" w:hSpace="0" w:wrap="auto" w:hAnchor="text" w:x="0" w:xAlign="left" w:yAlign="inline" w:anchorLock="0"/>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7.0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Technical and Medical Requirements to be met by radio-oncology are summarised on a cross-organ basis in the “Catalogue of Requirements Radio-oncology”. Irrespective of the number of Organ Cancer Centres/ Modules that cooperate with a radio-oncology unit, this “Catalogue of Requirements Radio-oncology” is only to be processed once and also only to be updated once every audit year (objective: no multiple presentations/ on-site inspections within one audit year). The “Catalogue of Requirements Radio-oncology” is, therefore, an annex to this Catalogue of Requirements.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The cross-organ “Catalogue of Requirements Radio-oncology” can be downloaded from </w:t>
            </w:r>
          </w:p>
          <w:p>
            <w:pPr>
              <w:spacing w:before="0" w:after="19"/>
              <w:rPr>
                <w:rFonts w:ascii="Arial" w:hAnsi="Arial" w:cs="Arial"/>
                <w:sz w:val="20"/>
                <w:szCs w:val="20"/>
                <w:lang w:val="ro-RO" w:bidi="ar-SA"/>
              </w:rPr>
            </w:pPr>
            <w:hyperlink xmlns:r="http://schemas.openxmlformats.org/officeDocument/2006/relationships" r:id="RD" w:tgtFrame="_blank">
              <w:r>
                <w:rPr>
                  <w:rFonts w:ascii="Arial" w:hAnsi="Arial" w:cs="Arial"/>
                  <w:color w:val="0000FF"/>
                  <w:sz w:val="20"/>
                  <w:szCs w:val="20"/>
                  <w:u w:val="single"/>
                </w:rPr>
                <w:t>http://www.onkozert.de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8.</w:t>
        <w:tab/>
        <w:t xml:space="preserve"> Pathology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framePr w:w="0" w:h="0" w:hRule="auto" w:vSpace="0" w:hSpace="0" w:wrap="auto" w:hAnchor="text" w:x="0" w:xAlign="left" w:yAlign="inline" w:anchorLock="0"/>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The Technical and Medical Requirements to be met by pathology are summarised in a cross-organ manner in the “Catalogue of Requirements Pathology”. Irrespective of the number of Organ Cancer Centres/ Modules that cooperate with a pathology unit, this “Catalogue of Requirements Pathology” is only to be processed once and also only updated once per audit year (objective: no multiple presentations/ on-site inspections within one audit year).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The cross-organ “Catalogue of Requirements Pathology” can be downloaded from </w:t>
            </w:r>
            <w:hyperlink xmlns:r="http://schemas.openxmlformats.org/officeDocument/2006/relationships" r:id="RE"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9.</w:t>
        <w:tab/>
        <w:t xml:space="preserve"> Palliative care and hospice work</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framePr w:w="0" w:h="0" w:hRule="auto" w:vSpace="0" w:hSpace="0" w:wrap="auto" w:hAnchor="text" w:x="0" w:xAlign="left" w:yAlign="inline" w:anchorLock="0"/>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9.0.0</w:t>
            </w:r>
          </w:p>
        </w:tc>
        <w:tc>
          <w:tcPr>
            <w:tcW w:w="1" w:type="dxa"/>
          </w:tcPr>
          <w:p>
            <w:pPr>
              <w:spacing w:before="0" w:after="19"/>
              <w:rPr>
                <w:rFonts w:ascii="Arial" w:hAnsi="Arial" w:cs="Arial"/>
                <w:sz w:val="20"/>
                <w:szCs w:val="20"/>
                <w:lang w:val="ro-RO" w:bidi="ar-SA"/>
              </w:rPr>
            </w:pPr>
            <w:r>
              <w:rPr>
                <w:rFonts w:ascii="Arial" w:hAnsi="Arial" w:cs="Arial"/>
                <w:b w:val="1"/>
                <w:sz w:val="20"/>
                <w:szCs w:val="20"/>
                <w:u w:val="single"/>
              </w:rPr>
              <w:t>General (applies to sections 9.1-9.3)</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9.0.1</w:t>
            </w:r>
          </w:p>
        </w:tc>
        <w:tc>
          <w:tcPr>
            <w:tcW w:w="1" w:type="dxa"/>
          </w:tcPr>
          <w:p>
            <w:pPr>
              <w:spacing w:before="0" w:after="19"/>
              <w:rPr>
                <w:rFonts w:ascii="Arial" w:hAnsi="Arial" w:cs="Arial"/>
                <w:sz w:val="20"/>
                <w:szCs w:val="20"/>
                <w:lang w:val="ro-RO" w:bidi="ar-SA"/>
              </w:rPr>
            </w:pPr>
            <w:r>
              <w:rPr>
                <w:rFonts w:ascii="Arial" w:hAnsi="Arial" w:cs="Arial"/>
                <w:sz w:val="20"/>
                <w:szCs w:val="20"/>
              </w:rPr>
              <w:t>The integration of palliative care into the treatment of patients is to be depicted in an SOP using the treatment path in the S3 Guideline Palliative Medicine.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9.0.2</w:t>
            </w:r>
          </w:p>
        </w:tc>
        <w:tc>
          <w:tcPr>
            <w:tcW w:w="1" w:type="dxa"/>
          </w:tcPr>
          <w:p>
            <w:pPr>
              <w:spacing w:before="0" w:after="19"/>
              <w:rPr>
                <w:rFonts w:ascii="Arial" w:hAnsi="Arial" w:cs="Arial"/>
                <w:sz w:val="20"/>
                <w:szCs w:val="20"/>
                <w:lang w:val="ro-RO" w:bidi="ar-SA"/>
              </w:rPr>
            </w:pPr>
            <w:r>
              <w:rPr>
                <w:rFonts w:ascii="Arial" w:hAnsi="Arial" w:cs="Arial"/>
                <w:sz w:val="20"/>
                <w:szCs w:val="20"/>
              </w:rPr>
              <w:t xml:space="preserve">Applies to patients receiving specialised palliative care. The procedure for recording symptoms using validated instruments (e.g. MIDOS, kPOS) is to be described.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9.1.0</w:t>
            </w:r>
          </w:p>
        </w:tc>
        <w:tc>
          <w:tcPr>
            <w:tcW w:w="1" w:type="dxa"/>
          </w:tcPr>
          <w:p>
            <w:pPr>
              <w:spacing w:before="0" w:after="19"/>
              <w:rPr>
                <w:rFonts w:ascii="Arial" w:hAnsi="Arial" w:cs="Arial"/>
                <w:sz w:val="20"/>
                <w:szCs w:val="20"/>
                <w:lang w:val="ro-RO" w:bidi="ar-SA"/>
              </w:rPr>
            </w:pPr>
            <w:r>
              <w:rPr>
                <w:rFonts w:ascii="Arial" w:hAnsi="Arial" w:cs="Arial"/>
                <w:b w:val="1"/>
                <w:sz w:val="20"/>
                <w:szCs w:val="20"/>
                <w:u w:val="single"/>
              </w:rPr>
              <w:t>Outpatient hospice and palliative care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9.1.1</w:t>
            </w:r>
          </w:p>
        </w:tc>
        <w:tc>
          <w:tcPr>
            <w:tcW w:w="1" w:type="dxa"/>
          </w:tcPr>
          <w:p>
            <w:pPr>
              <w:spacing w:before="0" w:after="19"/>
              <w:rPr>
                <w:rFonts w:ascii="Arial" w:hAnsi="Arial" w:cs="Arial"/>
                <w:sz w:val="20"/>
                <w:szCs w:val="20"/>
                <w:lang w:val="ro-RO" w:bidi="ar-SA"/>
              </w:rPr>
            </w:pPr>
            <w:r>
              <w:rPr>
                <w:rFonts w:ascii="Arial" w:hAnsi="Arial" w:cs="Arial"/>
                <w:sz w:val="20"/>
                <w:szCs w:val="20"/>
              </w:rPr>
              <w:t xml:space="preserve">Besides general outpatient palliative care, specialised outpatient palliative care services are to be made available or provided in cooperation. The quality indicators of specialised outpatient palliative care (SOPC) are to be described in the following text. Regional and country-specific characteristics are to be considered. If a SOPC structure is currently being put in place, the planned implementation steps (target dates) are to be specified. Specialised outpatient palliative care must be proven to be up and running by recertification either in-house or in cooperation.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Nursing staff</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Designation by name of at least four full-time staff members with palliative care qualifications and experience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(Definition palliative care qualification ≥160 hours specialty training according to the curriculum of the German Society for Palliative Medicine (DGP)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Medical staff</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At least two physicians with an additional qualification in palliative medicine are to be designated by: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Name:</w:t>
            </w:r>
          </w:p>
          <w:p>
            <w:pPr>
              <w:spacing w:before="0" w:after="19"/>
              <w:rPr>
                <w:rFonts w:ascii="Arial" w:hAnsi="Arial" w:cs="Arial"/>
                <w:sz w:val="20"/>
                <w:szCs w:val="20"/>
                <w:lang w:val="ro-RO" w:bidi="ar-SA"/>
              </w:rPr>
            </w:pPr>
            <w:r>
              <w:rPr>
                <w:rFonts w:ascii="Arial" w:hAnsi="Arial" w:cs="Arial"/>
                <w:sz w:val="20"/>
                <w:szCs w:val="20"/>
              </w:rPr>
              <w:t>Name: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Care numbers and indicators</w:t>
            </w:r>
          </w:p>
          <w:p>
            <w:pPr>
              <w:spacing w:before="0" w:after="19"/>
              <w:rPr>
                <w:rFonts w:ascii="Arial" w:hAnsi="Arial" w:cs="Arial"/>
                <w:sz w:val="20"/>
                <w:szCs w:val="20"/>
                <w:lang w:val="ro-RO" w:bidi="ar-SA"/>
              </w:rPr>
            </w:pPr>
            <w:r>
              <w:rPr>
                <w:rFonts w:ascii="Arial" w:hAnsi="Arial" w:cs="Arial"/>
                <w:sz w:val="20"/>
                <w:szCs w:val="20"/>
              </w:rPr>
              <w:t xml:space="preserve">At least 30 documented palliative patients receiving multi-professional care per year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Emergency and crisis intervention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On-call emergency and crisis intervention around the clock for patients receiving treatment (including physicians’ house calls): </w:t>
            </w:r>
          </w:p>
          <w:p>
            <w:pPr>
              <w:spacing w:before="0" w:after="19"/>
              <w:rPr>
                <w:rFonts w:ascii="Arial" w:hAnsi="Arial" w:cs="Arial"/>
                <w:sz w:val="20"/>
                <w:szCs w:val="20"/>
                <w:lang w:val="ro-RO" w:bidi="ar-SA"/>
              </w:rPr>
            </w:pPr>
            <w:r>
              <w:rPr>
                <w:rFonts w:ascii="Arial" w:hAnsi="Arial" w:cs="Arial"/>
                <w:sz w:val="20"/>
                <w:szCs w:val="20"/>
              </w:rPr>
              <w:t>Listing of the telephone number on which patients/family members can reach the specialist outpatient palliative care service 24h/7d.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Supervision/ supervised practice</w:t>
            </w:r>
          </w:p>
          <w:p>
            <w:pPr>
              <w:framePr w:w="0" w:h="0" w:hRule="auto" w:vSpace="0" w:hSpace="0" w:wrap="auto" w:hAnchor="text" w:x="0" w:xAlign="left" w:yAlign="inline" w:anchorLock="0"/>
              <w:numPr>
                <w:ilvl w:val="0"/>
                <w:numId w:val="115"/>
              </w:numPr>
              <w:spacing w:before="0" w:after="19"/>
              <w:ind w:hanging="283" w:left="283" w:right="0"/>
              <w:rPr>
                <w:rFonts w:ascii="Arial" w:hAnsi="Arial" w:cs="Arial"/>
                <w:sz w:val="20"/>
                <w:szCs w:val="20"/>
              </w:rPr>
            </w:pPr>
            <w:r>
              <w:rPr>
                <w:rFonts w:ascii="Arial" w:hAnsi="Arial" w:cs="Arial"/>
                <w:sz w:val="20"/>
                <w:szCs w:val="20"/>
              </w:rPr>
              <w:t>Supervision and/ or supervised practice in groups and/ or individual discussions for nursing and medical staff are to be proven.</w:t>
            </w:r>
          </w:p>
          <w:p>
            <w:pPr>
              <w:numPr>
                <w:ilvl w:val="0"/>
                <w:numId w:val="115"/>
              </w:numPr>
              <w:spacing w:before="0" w:after="19"/>
              <w:ind w:hanging="283" w:left="283"/>
              <w:rPr>
                <w:rFonts w:ascii="Arial" w:hAnsi="Arial" w:cs="Arial"/>
                <w:sz w:val="20"/>
                <w:szCs w:val="20"/>
                <w:lang w:val="ro-RO" w:bidi="ar-SA"/>
              </w:rPr>
            </w:pPr>
            <w:r>
              <w:rPr>
                <w:rFonts w:ascii="Arial" w:hAnsi="Arial" w:cs="Arial"/>
                <w:sz w:val="20"/>
                <w:szCs w:val="20"/>
              </w:rPr>
              <w:t>Minimum requirement 12 hours/ year (must be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External quality assurance</w:t>
            </w:r>
          </w:p>
          <w:p>
            <w:pPr>
              <w:spacing w:before="0" w:after="19"/>
              <w:rPr>
                <w:rFonts w:ascii="Arial" w:hAnsi="Arial" w:cs="Arial"/>
                <w:sz w:val="20"/>
                <w:szCs w:val="20"/>
                <w:lang w:val="ro-RO" w:bidi="ar-SA"/>
              </w:rPr>
            </w:pPr>
            <w:r>
              <w:rPr>
                <w:rFonts w:ascii="Arial" w:hAnsi="Arial" w:cs="Arial"/>
                <w:sz w:val="20"/>
                <w:szCs w:val="20"/>
              </w:rPr>
              <w:t>Participation in external quality assurance measures, e.g. national hospice and palliative care register is recommended.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Outpatient hospice work</w:t>
            </w:r>
          </w:p>
          <w:p>
            <w:pPr>
              <w:framePr w:w="0" w:h="0" w:hRule="auto" w:vSpace="0" w:hSpace="0" w:wrap="auto" w:hAnchor="text" w:x="0" w:xAlign="left" w:yAlign="inline" w:anchorLock="0"/>
              <w:numPr>
                <w:ilvl w:val="0"/>
                <w:numId w:val="116"/>
              </w:numPr>
              <w:spacing w:before="0" w:after="19"/>
              <w:ind w:hanging="283" w:left="283" w:right="0"/>
              <w:rPr>
                <w:rFonts w:ascii="Arial" w:hAnsi="Arial" w:cs="Arial"/>
                <w:sz w:val="20"/>
                <w:szCs w:val="20"/>
              </w:rPr>
            </w:pPr>
            <w:r>
              <w:rPr>
                <w:rFonts w:ascii="Arial" w:hAnsi="Arial" w:cs="Arial"/>
                <w:sz w:val="20"/>
                <w:szCs w:val="20"/>
              </w:rPr>
              <w:t>Proof of cooperation with outpatient hospice services in accordance with Section 39a Social Code V (SGB V) (if available)</w:t>
            </w:r>
          </w:p>
          <w:p>
            <w:pPr>
              <w:numPr>
                <w:ilvl w:val="0"/>
                <w:numId w:val="116"/>
              </w:numPr>
              <w:spacing w:before="0" w:after="19"/>
              <w:ind w:hanging="283" w:left="283"/>
              <w:rPr>
                <w:rFonts w:ascii="Arial" w:hAnsi="Arial" w:cs="Arial"/>
                <w:sz w:val="20"/>
                <w:szCs w:val="20"/>
                <w:lang w:val="ro-RO" w:bidi="ar-SA"/>
              </w:rPr>
            </w:pPr>
            <w:r>
              <w:rPr>
                <w:rFonts w:ascii="Arial" w:hAnsi="Arial" w:cs="Arial"/>
                <w:sz w:val="20"/>
                <w:szCs w:val="20"/>
              </w:rPr>
              <w:t>The ways in which patients and family members can reach hospice services and hospice volunteers are to be outlined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9.2.0</w:t>
            </w:r>
          </w:p>
        </w:tc>
        <w:tc>
          <w:tcPr>
            <w:tcW w:w="1" w:type="dxa"/>
          </w:tcPr>
          <w:p>
            <w:pPr>
              <w:spacing w:before="0" w:after="19"/>
              <w:rPr>
                <w:rFonts w:ascii="Arial" w:hAnsi="Arial" w:cs="Arial"/>
                <w:sz w:val="20"/>
                <w:szCs w:val="20"/>
                <w:lang w:val="ro-RO" w:bidi="ar-SA"/>
              </w:rPr>
            </w:pPr>
            <w:r>
              <w:rPr>
                <w:rFonts w:ascii="Arial" w:hAnsi="Arial" w:cs="Arial"/>
                <w:b w:val="1"/>
                <w:sz w:val="20"/>
                <w:szCs w:val="20"/>
                <w:u w:val="single"/>
              </w:rPr>
              <w:t>Inpatient hospice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9.2.1</w:t>
            </w:r>
          </w:p>
        </w:tc>
        <w:tc>
          <w:tcPr>
            <w:tcW w:w="1" w:type="dxa"/>
          </w:tcPr>
          <w:p>
            <w:pPr>
              <w:spacing w:before="0" w:after="19"/>
              <w:rPr>
                <w:rFonts w:ascii="Arial" w:hAnsi="Arial" w:cs="Arial"/>
                <w:sz w:val="20"/>
                <w:szCs w:val="20"/>
                <w:lang w:val="ro-RO" w:bidi="ar-SA"/>
              </w:rPr>
            </w:pPr>
            <w:r>
              <w:rPr>
                <w:rFonts w:ascii="Arial" w:hAnsi="Arial" w:cs="Arial"/>
                <w:sz w:val="20"/>
                <w:szCs w:val="20"/>
              </w:rPr>
              <w:t>If an inpatient hospice is being set up close to the Centre, the planned establishment steps (target dates) are to be specified. Proof should be provided at recertification that an inpatient hospice is up and running.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9.2.2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Information transfer</w:t>
            </w:r>
          </w:p>
          <w:p>
            <w:pPr>
              <w:framePr w:w="0" w:h="0" w:hRule="auto" w:vSpace="0" w:hSpace="0" w:wrap="auto" w:hAnchor="text" w:x="0" w:xAlign="left" w:yAlign="inline" w:anchorLock="0"/>
              <w:numPr>
                <w:ilvl w:val="0"/>
                <w:numId w:val="117"/>
              </w:numPr>
              <w:spacing w:before="0" w:after="19"/>
              <w:ind w:hanging="283" w:left="283" w:right="0"/>
              <w:rPr>
                <w:rFonts w:ascii="Arial" w:hAnsi="Arial" w:cs="Arial"/>
                <w:sz w:val="20"/>
                <w:szCs w:val="20"/>
              </w:rPr>
            </w:pPr>
            <w:r>
              <w:rPr>
                <w:rFonts w:ascii="Arial" w:hAnsi="Arial" w:cs="Arial"/>
                <w:sz w:val="20"/>
                <w:szCs w:val="20"/>
              </w:rPr>
              <w:t>Patients and family members must have access to information about the hospice. Contact persons are to be designated by name.</w:t>
            </w:r>
          </w:p>
          <w:p>
            <w:pPr>
              <w:framePr w:w="0" w:h="0" w:hRule="auto" w:vSpace="0" w:hSpace="0" w:wrap="auto" w:hAnchor="text" w:x="0" w:xAlign="left" w:yAlign="inline" w:anchorLock="0"/>
              <w:numPr>
                <w:ilvl w:val="0"/>
                <w:numId w:val="117"/>
              </w:numPr>
              <w:spacing w:before="0" w:after="19"/>
              <w:ind w:hanging="283" w:left="283" w:right="0"/>
              <w:rPr>
                <w:rFonts w:ascii="Arial" w:hAnsi="Arial" w:cs="Arial"/>
                <w:sz w:val="20"/>
                <w:szCs w:val="20"/>
              </w:rPr>
            </w:pPr>
            <w:r>
              <w:rPr>
                <w:rFonts w:ascii="Arial" w:hAnsi="Arial" w:cs="Arial"/>
                <w:sz w:val="20"/>
                <w:szCs w:val="20"/>
              </w:rPr>
              <w:t xml:space="preserve">The formalised transfer of information between the hospice and the cooperation partners concerned is to be described. </w:t>
            </w:r>
          </w:p>
          <w:p>
            <w:pPr>
              <w:numPr>
                <w:ilvl w:val="0"/>
                <w:numId w:val="117"/>
              </w:numPr>
              <w:spacing w:before="0" w:after="19"/>
              <w:ind w:hanging="283" w:left="283"/>
              <w:rPr>
                <w:rFonts w:ascii="Arial" w:hAnsi="Arial" w:cs="Arial"/>
                <w:sz w:val="20"/>
                <w:szCs w:val="20"/>
                <w:lang w:val="ro-RO" w:bidi="ar-SA"/>
              </w:rPr>
            </w:pPr>
            <w:r>
              <w:rPr>
                <w:rFonts w:ascii="Arial" w:hAnsi="Arial" w:cs="Arial"/>
                <w:sz w:val="20"/>
                <w:szCs w:val="20"/>
              </w:rPr>
              <w:t>In the event of death, cooperation partners must be informed within three days.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9.3.0</w:t>
            </w:r>
          </w:p>
        </w:tc>
        <w:tc>
          <w:tcPr>
            <w:tcW w:w="1" w:type="dxa"/>
          </w:tcPr>
          <w:p>
            <w:pPr>
              <w:spacing w:before="0" w:after="19"/>
              <w:rPr>
                <w:rFonts w:ascii="Arial" w:hAnsi="Arial" w:cs="Arial"/>
                <w:sz w:val="20"/>
                <w:szCs w:val="20"/>
                <w:lang w:val="ro-RO" w:bidi="ar-SA"/>
              </w:rPr>
            </w:pPr>
            <w:r>
              <w:rPr>
                <w:rFonts w:ascii="Arial" w:hAnsi="Arial" w:cs="Arial"/>
                <w:b w:val="1"/>
                <w:sz w:val="20"/>
                <w:szCs w:val="20"/>
                <w:u w:val="single"/>
              </w:rPr>
              <w:t>Palliative ward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statements below refer to the following cooperation partners: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General remark</w:t>
            </w:r>
          </w:p>
          <w:p>
            <w:pPr>
              <w:spacing w:before="0" w:after="19"/>
              <w:rPr>
                <w:rFonts w:ascii="Arial" w:hAnsi="Arial" w:cs="Arial"/>
                <w:sz w:val="20"/>
                <w:szCs w:val="20"/>
                <w:lang w:val="ro-RO" w:bidi="ar-SA"/>
              </w:rPr>
            </w:pPr>
            <w:r>
              <w:rPr>
                <w:rFonts w:ascii="Arial" w:hAnsi="Arial" w:cs="Arial"/>
                <w:sz w:val="20"/>
                <w:szCs w:val="20"/>
              </w:rPr>
              <w:t>Each of the cooperation partners of the Oncology Centre must prove that it meets the requirements in this section of the Catalogue for inpatient palliative medical care. Hence, each cooperation partner from this specialty is to process this section in detail or to make specific statements in this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9.3.2</w:t>
            </w:r>
          </w:p>
        </w:tc>
        <w:tc>
          <w:tcPr>
            <w:tcW w:w="1" w:type="dxa"/>
          </w:tcPr>
          <w:p>
            <w:pPr>
              <w:spacing w:before="0" w:after="19"/>
              <w:rPr>
                <w:rFonts w:ascii="Arial" w:hAnsi="Arial" w:cs="Arial"/>
                <w:sz w:val="20"/>
                <w:szCs w:val="20"/>
                <w:lang w:val="ro-RO" w:bidi="ar-SA"/>
              </w:rPr>
            </w:pPr>
            <w:r>
              <w:rPr>
                <w:rFonts w:ascii="Arial" w:hAnsi="Arial" w:cs="Arial"/>
                <w:sz w:val="20"/>
                <w:szCs w:val="20"/>
              </w:rPr>
              <w:t>If an independent palliative ward is only in the process of being set up, a concept is to be formulated that outlines the resources (personnel/ financial), infrastructure, the requirements listed in Section 9.3 and planned steps for implementation (target dates, cooperation partners). A palliative service in line with the provisions of the OPS (8-982 and 8-98h) (German modification of the International Classification of Procedures in Medicine) must be in place at initial certification. The palliative ward must be shown to be up and running at recertification, where appropriate in cooperation close to the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Indicators of the palliative ward (separate unit)</w:t>
            </w:r>
          </w:p>
          <w:p>
            <w:pPr>
              <w:framePr w:w="0" w:h="0" w:hRule="auto" w:vSpace="0" w:hSpace="0" w:wrap="auto" w:hAnchor="text" w:x="0" w:xAlign="left" w:yAlign="inline" w:anchorLock="0"/>
              <w:numPr>
                <w:ilvl w:val="0"/>
                <w:numId w:val="118"/>
              </w:numPr>
              <w:spacing w:before="0" w:after="19"/>
              <w:ind w:hanging="283" w:left="283" w:right="0"/>
              <w:rPr>
                <w:rFonts w:ascii="Arial" w:hAnsi="Arial" w:cs="Arial"/>
                <w:sz w:val="20"/>
                <w:szCs w:val="20"/>
              </w:rPr>
            </w:pPr>
            <w:r>
              <w:rPr>
                <w:rFonts w:ascii="Arial" w:hAnsi="Arial" w:cs="Arial"/>
                <w:sz w:val="20"/>
                <w:szCs w:val="20"/>
              </w:rPr>
              <w:t>Number of beds: ≥ 5</w:t>
            </w:r>
          </w:p>
          <w:p>
            <w:pPr>
              <w:numPr>
                <w:ilvl w:val="0"/>
                <w:numId w:val="118"/>
              </w:numPr>
              <w:spacing w:before="0" w:after="19"/>
              <w:ind w:hanging="283" w:left="283"/>
              <w:rPr>
                <w:rFonts w:ascii="Arial" w:hAnsi="Arial" w:cs="Arial"/>
                <w:sz w:val="20"/>
                <w:szCs w:val="20"/>
                <w:lang w:val="ro-RO" w:bidi="ar-SA"/>
              </w:rPr>
            </w:pPr>
            <w:r>
              <w:rPr>
                <w:rFonts w:ascii="Arial" w:hAnsi="Arial" w:cs="Arial"/>
                <w:sz w:val="20"/>
                <w:szCs w:val="20"/>
              </w:rPr>
              <w:t>New admissions: ≥100 patients/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Medical director</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director and his deputy are to be designated by name and their qualifications listed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Director: name, qualifications, FTEs (full-time equivalents)</w:t>
            </w:r>
          </w:p>
          <w:p>
            <w:pPr>
              <w:spacing w:before="0" w:after="19"/>
              <w:rPr>
                <w:rFonts w:ascii="Arial" w:hAnsi="Arial" w:cs="Arial"/>
                <w:sz w:val="20"/>
                <w:szCs w:val="20"/>
                <w:lang w:val="ro-RO" w:bidi="ar-SA"/>
              </w:rPr>
            </w:pPr>
            <w:r>
              <w:rPr>
                <w:rFonts w:ascii="Arial" w:hAnsi="Arial" w:cs="Arial"/>
                <w:sz w:val="20"/>
                <w:szCs w:val="20"/>
              </w:rPr>
              <w:t>Deputy: name, qualifications, FTEs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Specialist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At least two specialists with an additional qualification in palliative medicine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Resources: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0.2 FTE (full-time equivalents) for each serviceable patient bed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(Name, scope of position)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Head nurse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head nurse and his/ her deputy must have a palliative care qualification (definition palliative care qualification: ≥160 hours specialty training in line with the DGP (German Society for Palliative Medicine) curriculum</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Name:</w:t>
            </w:r>
          </w:p>
          <w:p>
            <w:pPr>
              <w:spacing w:before="0" w:after="19"/>
              <w:rPr>
                <w:rFonts w:ascii="Arial" w:hAnsi="Arial" w:cs="Arial"/>
                <w:sz w:val="20"/>
                <w:szCs w:val="20"/>
                <w:lang w:val="ro-RO" w:bidi="ar-SA"/>
              </w:rPr>
            </w:pPr>
            <w:r>
              <w:rPr>
                <w:rFonts w:ascii="Arial" w:hAnsi="Arial" w:cs="Arial"/>
                <w:sz w:val="20"/>
                <w:szCs w:val="20"/>
              </w:rPr>
              <w:t>Deputy: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Nursing qualification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More than 75% of the nursing staff should have the palliative care qualification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(definition palliative care qualification: ≥160 hours specialty training, see above)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Number of full-time nurses: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Of them, number with palliative care qualification: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 line with S3 guidelines for palliative medicine:</w:t>
            </w:r>
          </w:p>
          <w:p>
            <w:pPr>
              <w:spacing w:before="0" w:after="19"/>
              <w:rPr>
                <w:rFonts w:ascii="Arial" w:hAnsi="Arial" w:cs="Arial"/>
                <w:sz w:val="20"/>
                <w:szCs w:val="20"/>
                <w:lang w:val="ro-RO" w:bidi="ar-SA"/>
              </w:rPr>
            </w:pPr>
            <w:r>
              <w:rPr>
                <w:rFonts w:ascii="Arial" w:hAnsi="Arial" w:cs="Arial"/>
                <w:sz w:val="20"/>
                <w:szCs w:val="20"/>
              </w:rPr>
              <w:t>at least 1.2 FTE (full-time equivalents) for each serviceable patient bed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Palliative ward</w:t>
            </w:r>
          </w:p>
          <w:p>
            <w:pPr>
              <w:framePr w:w="0" w:h="0" w:hRule="auto" w:vSpace="0" w:hSpace="0" w:wrap="auto" w:hAnchor="text" w:x="0" w:xAlign="left" w:yAlign="inline" w:anchorLock="0"/>
              <w:numPr>
                <w:ilvl w:val="0"/>
                <w:numId w:val="119"/>
              </w:numPr>
              <w:spacing w:before="0" w:after="19"/>
              <w:ind w:hanging="283" w:left="283" w:right="0"/>
              <w:rPr>
                <w:rFonts w:ascii="Arial" w:hAnsi="Arial" w:cs="Arial"/>
                <w:sz w:val="20"/>
                <w:szCs w:val="20"/>
              </w:rPr>
            </w:pPr>
            <w:r>
              <w:rPr>
                <w:rFonts w:ascii="Arial" w:hAnsi="Arial" w:cs="Arial"/>
                <w:sz w:val="20"/>
                <w:szCs w:val="20"/>
              </w:rPr>
              <w:t>Setting up of separate ward as a closed-off area</w:t>
            </w:r>
          </w:p>
          <w:p>
            <w:pPr>
              <w:framePr w:w="0" w:h="0" w:hRule="auto" w:vSpace="0" w:hSpace="0" w:wrap="auto" w:hAnchor="text" w:x="0" w:xAlign="left" w:yAlign="inline" w:anchorLock="0"/>
              <w:numPr>
                <w:ilvl w:val="0"/>
                <w:numId w:val="119"/>
              </w:numPr>
              <w:spacing w:before="0" w:after="19"/>
              <w:ind w:hanging="283" w:left="283" w:right="0"/>
              <w:rPr>
                <w:rFonts w:ascii="Arial" w:hAnsi="Arial" w:cs="Arial"/>
                <w:sz w:val="20"/>
                <w:szCs w:val="20"/>
              </w:rPr>
            </w:pPr>
            <w:r>
              <w:rPr>
                <w:rFonts w:ascii="Arial" w:hAnsi="Arial" w:cs="Arial"/>
                <w:sz w:val="20"/>
                <w:szCs w:val="20"/>
              </w:rPr>
              <w:t>Meeting and/ or farewell room</w:t>
            </w:r>
          </w:p>
          <w:p>
            <w:pPr>
              <w:numPr>
                <w:ilvl w:val="0"/>
                <w:numId w:val="119"/>
              </w:numPr>
              <w:spacing w:before="0" w:after="19"/>
              <w:ind w:hanging="283" w:left="283"/>
              <w:rPr>
                <w:rFonts w:ascii="Arial" w:hAnsi="Arial" w:cs="Arial"/>
                <w:sz w:val="20"/>
                <w:szCs w:val="20"/>
                <w:lang w:val="ro-RO" w:bidi="ar-SA"/>
              </w:rPr>
            </w:pPr>
            <w:r>
              <w:rPr>
                <w:rFonts w:ascii="Arial" w:hAnsi="Arial" w:cs="Arial"/>
                <w:sz w:val="20"/>
                <w:szCs w:val="20"/>
              </w:rPr>
              <w:t>Possibility of accommodation for family members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 standard operating procedure (SOP) for patient admission is to be specified in which the following are defined:</w:t>
            </w:r>
          </w:p>
          <w:p>
            <w:pPr>
              <w:framePr w:w="0" w:h="0" w:hRule="auto" w:vSpace="0" w:hSpace="0" w:wrap="auto" w:hAnchor="text" w:x="0" w:xAlign="left" w:yAlign="inline" w:anchorLock="0"/>
              <w:numPr>
                <w:ilvl w:val="0"/>
                <w:numId w:val="120"/>
              </w:numPr>
              <w:spacing w:before="0" w:after="19"/>
              <w:ind w:hanging="283" w:left="283" w:right="0"/>
              <w:rPr>
                <w:rFonts w:ascii="Arial" w:hAnsi="Arial" w:cs="Arial"/>
                <w:sz w:val="20"/>
                <w:szCs w:val="20"/>
              </w:rPr>
            </w:pPr>
            <w:r>
              <w:rPr>
                <w:rFonts w:ascii="Arial" w:hAnsi="Arial" w:cs="Arial"/>
                <w:sz w:val="20"/>
                <w:szCs w:val="20"/>
              </w:rPr>
              <w:t xml:space="preserve">Admission criteria which are communicated to the cooperation partners </w:t>
            </w:r>
          </w:p>
          <w:p>
            <w:pPr>
              <w:framePr w:w="0" w:h="0" w:hRule="auto" w:vSpace="0" w:hSpace="0" w:wrap="auto" w:hAnchor="text" w:x="0" w:xAlign="left" w:yAlign="inline" w:anchorLock="0"/>
              <w:numPr>
                <w:ilvl w:val="0"/>
                <w:numId w:val="120"/>
              </w:numPr>
              <w:spacing w:before="0" w:after="19"/>
              <w:ind w:hanging="283" w:left="283" w:right="0"/>
              <w:rPr>
                <w:rFonts w:ascii="Arial" w:hAnsi="Arial" w:cs="Arial"/>
                <w:sz w:val="20"/>
                <w:szCs w:val="20"/>
              </w:rPr>
            </w:pPr>
            <w:r>
              <w:rPr>
                <w:rFonts w:ascii="Arial" w:hAnsi="Arial" w:cs="Arial"/>
                <w:sz w:val="20"/>
                <w:szCs w:val="20"/>
              </w:rPr>
              <w:t>Multi-dimensional basic assessment (e.g. core data set of DGP/DHPV (German Society for Palliative Medicine/ German Hospice and Palliative Care Association)</w:t>
            </w:r>
          </w:p>
          <w:p>
            <w:pPr>
              <w:numPr>
                <w:ilvl w:val="0"/>
                <w:numId w:val="120"/>
              </w:numPr>
              <w:spacing w:before="0" w:after="19"/>
              <w:ind w:hanging="283" w:left="283"/>
              <w:rPr>
                <w:rFonts w:ascii="Arial" w:hAnsi="Arial" w:cs="Arial"/>
                <w:sz w:val="20"/>
                <w:szCs w:val="20"/>
                <w:lang w:val="ro-RO" w:bidi="ar-SA"/>
              </w:rPr>
            </w:pPr>
            <w:r>
              <w:rPr>
                <w:rFonts w:ascii="Arial" w:hAnsi="Arial" w:cs="Arial"/>
                <w:sz w:val="20"/>
                <w:szCs w:val="20"/>
              </w:rPr>
              <w:t xml:space="preserve">Documented SOP for implementation of forward care planning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Palliative medical therapy planning</w:t>
            </w:r>
          </w:p>
          <w:p>
            <w:pPr>
              <w:spacing w:before="0" w:after="19"/>
              <w:rPr>
                <w:rFonts w:ascii="Arial" w:hAnsi="Arial" w:cs="Arial"/>
                <w:sz w:val="20"/>
                <w:szCs w:val="20"/>
                <w:lang w:val="ro-RO" w:bidi="ar-SA"/>
              </w:rPr>
            </w:pPr>
            <w:r>
              <w:rPr>
                <w:rFonts w:ascii="Arial" w:hAnsi="Arial" w:cs="Arial"/>
                <w:sz w:val="20"/>
                <w:szCs w:val="20"/>
              </w:rPr>
              <w:t>Planning of therapy is done for each individual patient and is documented correspondingly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Treatment standards and guidelines concerning other symptoms</w:t>
            </w:r>
          </w:p>
          <w:p>
            <w:pPr>
              <w:spacing w:before="0" w:after="19"/>
              <w:rPr>
                <w:rFonts w:ascii="Arial" w:hAnsi="Arial" w:cs="Arial"/>
                <w:sz w:val="20"/>
                <w:szCs w:val="20"/>
                <w:lang w:val="ro-RO" w:bidi="ar-SA"/>
              </w:rPr>
            </w:pPr>
            <w:r>
              <w:rPr>
                <w:rFonts w:ascii="Arial" w:hAnsi="Arial" w:cs="Arial"/>
                <w:sz w:val="20"/>
                <w:szCs w:val="20"/>
              </w:rPr>
              <w:t>Defined and recorded symptom registration and treatment procedures are to be documented using patient examples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 standard operating procedure for the discharge of patients is to be established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There is systematic documented discharge planning with information of all relevant medical staff  involved (e.g. family physician/ referrer, specialty areas OC)</w:t>
            </w:r>
          </w:p>
          <w:p>
            <w:pPr>
              <w:framePr w:w="0" w:h="0" w:hRule="auto" w:vSpace="0" w:hSpace="0" w:wrap="auto" w:hAnchor="text" w:x="0" w:xAlign="left" w:yAlign="inline" w:anchorLock="0"/>
              <w:numPr>
                <w:ilvl w:val="0"/>
                <w:numId w:val="121"/>
              </w:numPr>
              <w:spacing w:before="0" w:after="19"/>
              <w:ind w:hanging="283" w:left="283" w:right="0"/>
              <w:rPr>
                <w:rFonts w:ascii="Arial" w:hAnsi="Arial" w:cs="Arial"/>
                <w:sz w:val="20"/>
                <w:szCs w:val="20"/>
              </w:rPr>
            </w:pPr>
            <w:r>
              <w:rPr>
                <w:rFonts w:ascii="Arial" w:hAnsi="Arial" w:cs="Arial"/>
                <w:sz w:val="20"/>
                <w:szCs w:val="20"/>
              </w:rPr>
              <w:t>The information chain in the event of death is formalised (family members, family physician, nursing service, other cooperation partners, etc.)</w:t>
            </w:r>
          </w:p>
          <w:p>
            <w:pPr>
              <w:numPr>
                <w:ilvl w:val="0"/>
                <w:numId w:val="121"/>
              </w:numPr>
              <w:spacing w:before="0" w:after="19"/>
              <w:ind w:hanging="283" w:left="283"/>
              <w:rPr>
                <w:rFonts w:ascii="Arial" w:hAnsi="Arial" w:cs="Arial"/>
                <w:sz w:val="20"/>
                <w:szCs w:val="20"/>
                <w:lang w:val="ro-RO" w:bidi="ar-SA"/>
              </w:rPr>
            </w:pPr>
            <w:r>
              <w:rPr>
                <w:rFonts w:ascii="Arial" w:hAnsi="Arial" w:cs="Arial"/>
                <w:sz w:val="20"/>
                <w:szCs w:val="20"/>
              </w:rPr>
              <w:t>In the event of death all cooperation partners are to be informed within three days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9.3.13 G-BA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There must be an SOP for the reachability and inclusion of the palliative service (</w:t>
            </w:r>
            <w:r>
              <w:rPr>
                <w:rFonts w:ascii="Arial" w:hAnsi="Arial" w:cs="Arial"/>
                <w:strike w:val="1"/>
                <w:sz w:val="20"/>
                <w:szCs w:val="20"/>
                <w:shd w:val="clear" w:color="auto" w:fill="00FE00"/>
              </w:rPr>
              <w:t xml:space="preserve">recognised by medical service (MD) for billing </w:t>
            </w:r>
            <w:r>
              <w:rPr>
                <w:rFonts w:ascii="Arial" w:hAnsi="Arial" w:cs="Arial"/>
                <w:sz w:val="20"/>
                <w:szCs w:val="20"/>
                <w:shd w:val="clear" w:color="auto" w:fill="00FF00"/>
              </w:rPr>
              <w:t xml:space="preserve">as described in the billing specifications </w:t>
            </w:r>
            <w:r>
              <w:rPr>
                <w:rFonts w:ascii="Arial" w:hAnsi="Arial" w:cs="Arial"/>
                <w:sz w:val="20"/>
                <w:szCs w:val="20"/>
              </w:rPr>
              <w:t>OPS 8-98h).</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multi-professional palliative service must be available for consultations and, where appropriate, for the tumour board.</w:t>
            </w:r>
          </w:p>
          <w:p>
            <w:pPr>
              <w:spacing w:before="0" w:after="19"/>
              <w:rPr>
                <w:rFonts w:ascii="Arial" w:hAnsi="Arial" w:cs="Arial"/>
                <w:sz w:val="20"/>
                <w:szCs w:val="20"/>
                <w:lang w:val="ro-RO" w:bidi="ar-SA"/>
              </w:rPr>
            </w:pPr>
            <w:r>
              <w:rPr>
                <w:rFonts w:ascii="Arial" w:hAnsi="Arial" w:cs="Arial"/>
                <w:sz w:val="20"/>
                <w:szCs w:val="20"/>
              </w:rPr>
              <w:t>24-hour palliative care at the location of the oncology centre within 30 minutes at the patient's bedside must be guaranteed.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Psychosocial care and other therapeutic methods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Qualifications:</w:t>
            </w:r>
          </w:p>
          <w:p>
            <w:pPr>
              <w:framePr w:w="0" w:h="0" w:hRule="auto" w:vSpace="0" w:hSpace="0" w:wrap="auto" w:hAnchor="text" w:x="0" w:xAlign="left" w:yAlign="inline" w:anchorLock="0"/>
              <w:numPr>
                <w:ilvl w:val="0"/>
                <w:numId w:val="122"/>
              </w:numPr>
              <w:spacing w:before="0" w:after="19"/>
              <w:ind w:hanging="283" w:left="283" w:right="0"/>
              <w:rPr>
                <w:rFonts w:ascii="Arial" w:hAnsi="Arial" w:cs="Arial"/>
                <w:sz w:val="20"/>
                <w:szCs w:val="20"/>
              </w:rPr>
            </w:pPr>
            <w:r>
              <w:rPr>
                <w:rFonts w:ascii="Arial" w:hAnsi="Arial" w:cs="Arial"/>
                <w:sz w:val="20"/>
                <w:szCs w:val="20"/>
              </w:rPr>
              <w:t xml:space="preserve">Psychologist and/ or social education worker with additional therapeutic training in a guideline-based procedure (psychological psychotherapist, child/ adolescent psychotherapist) or conversational psychotherapist or systemic family therapist and special qualification: advanced palliative care training (DGP) or specialty training psychosocial oncology (DKG) </w:t>
            </w:r>
          </w:p>
          <w:p>
            <w:pPr>
              <w:framePr w:w="0" w:h="0" w:hRule="auto" w:vSpace="0" w:hSpace="0" w:wrap="auto" w:hAnchor="text" w:x="0" w:xAlign="left" w:yAlign="inline" w:anchorLock="0"/>
              <w:numPr>
                <w:ilvl w:val="0"/>
                <w:numId w:val="122"/>
              </w:numPr>
              <w:spacing w:before="0" w:after="19"/>
              <w:ind w:hanging="283" w:left="283" w:right="0"/>
              <w:rPr>
                <w:rFonts w:ascii="Arial" w:hAnsi="Arial" w:cs="Arial"/>
                <w:sz w:val="20"/>
                <w:szCs w:val="20"/>
              </w:rPr>
            </w:pPr>
            <w:r>
              <w:rPr>
                <w:rFonts w:ascii="Arial" w:hAnsi="Arial" w:cs="Arial"/>
                <w:sz w:val="20"/>
                <w:szCs w:val="20"/>
              </w:rPr>
              <w:t>Social worker/ social education worker</w:t>
            </w:r>
          </w:p>
          <w:p>
            <w:pPr>
              <w:framePr w:w="0" w:h="0" w:hRule="auto" w:vSpace="0" w:hSpace="0" w:wrap="auto" w:hAnchor="text" w:x="0" w:xAlign="left" w:yAlign="inline" w:anchorLock="0"/>
              <w:numPr>
                <w:ilvl w:val="0"/>
                <w:numId w:val="122"/>
              </w:numPr>
              <w:spacing w:before="0" w:after="19"/>
              <w:ind w:hanging="283" w:left="283" w:right="0"/>
              <w:rPr>
                <w:rFonts w:ascii="Arial" w:hAnsi="Arial" w:cs="Arial"/>
                <w:sz w:val="20"/>
                <w:szCs w:val="20"/>
              </w:rPr>
            </w:pPr>
            <w:r>
              <w:rPr>
                <w:rFonts w:ascii="Arial" w:hAnsi="Arial" w:cs="Arial"/>
                <w:sz w:val="20"/>
                <w:szCs w:val="20"/>
              </w:rPr>
              <w:t>Physiotherapist</w:t>
            </w:r>
          </w:p>
          <w:p>
            <w:pPr>
              <w:framePr w:w="0" w:h="0" w:hRule="auto" w:vSpace="0" w:hSpace="0" w:wrap="auto" w:hAnchor="text" w:x="0" w:xAlign="left" w:yAlign="inline" w:anchorLock="0"/>
              <w:numPr>
                <w:ilvl w:val="0"/>
                <w:numId w:val="122"/>
              </w:numPr>
              <w:spacing w:before="0" w:after="19"/>
              <w:ind w:hanging="283" w:left="283" w:right="0"/>
              <w:rPr>
                <w:rFonts w:ascii="Arial" w:hAnsi="Arial" w:cs="Arial"/>
                <w:sz w:val="20"/>
                <w:szCs w:val="20"/>
              </w:rPr>
            </w:pPr>
            <w:r>
              <w:rPr>
                <w:rFonts w:ascii="Arial" w:hAnsi="Arial" w:cs="Arial"/>
                <w:sz w:val="20"/>
                <w:szCs w:val="20"/>
              </w:rPr>
              <w:t>Occupational therapist</w:t>
            </w:r>
          </w:p>
          <w:p>
            <w:pPr>
              <w:framePr w:w="0" w:h="0" w:hRule="auto" w:vSpace="0" w:hSpace="0" w:wrap="auto" w:hAnchor="text" w:x="0" w:xAlign="left" w:yAlign="inline" w:anchorLock="0"/>
              <w:numPr>
                <w:ilvl w:val="0"/>
                <w:numId w:val="122"/>
              </w:numPr>
              <w:spacing w:before="0" w:after="19"/>
              <w:ind w:hanging="283" w:left="283" w:right="0"/>
              <w:rPr>
                <w:rFonts w:ascii="Arial" w:hAnsi="Arial" w:cs="Arial"/>
                <w:sz w:val="20"/>
                <w:szCs w:val="20"/>
              </w:rPr>
            </w:pPr>
            <w:r>
              <w:rPr>
                <w:rFonts w:ascii="Arial" w:hAnsi="Arial" w:cs="Arial"/>
                <w:sz w:val="20"/>
                <w:szCs w:val="20"/>
              </w:rPr>
              <w:t>Art-music therapist</w:t>
            </w:r>
          </w:p>
          <w:p>
            <w:pPr>
              <w:framePr w:w="0" w:h="0" w:hRule="auto" w:vSpace="0" w:hSpace="0" w:wrap="auto" w:hAnchor="text" w:x="0" w:xAlign="left" w:yAlign="inline" w:anchorLock="0"/>
              <w:numPr>
                <w:ilvl w:val="0"/>
                <w:numId w:val="122"/>
              </w:numPr>
              <w:spacing w:before="0" w:after="19"/>
              <w:ind w:hanging="283" w:left="283" w:right="0"/>
              <w:rPr>
                <w:rFonts w:ascii="Arial" w:hAnsi="Arial" w:cs="Arial"/>
                <w:sz w:val="20"/>
                <w:szCs w:val="20"/>
              </w:rPr>
            </w:pPr>
            <w:r>
              <w:rPr>
                <w:rFonts w:ascii="Arial" w:hAnsi="Arial" w:cs="Arial"/>
                <w:sz w:val="20"/>
                <w:szCs w:val="20"/>
              </w:rPr>
              <w:t>Case manager</w:t>
            </w:r>
          </w:p>
          <w:p>
            <w:pPr>
              <w:framePr w:w="0" w:h="0" w:hRule="auto" w:vSpace="0" w:hSpace="0" w:wrap="auto" w:hAnchor="text" w:x="0" w:xAlign="left" w:yAlign="inline" w:anchorLock="0"/>
              <w:numPr>
                <w:ilvl w:val="0"/>
                <w:numId w:val="122"/>
              </w:numPr>
              <w:spacing w:before="0" w:after="19"/>
              <w:ind w:hanging="283" w:left="283" w:right="0"/>
              <w:rPr>
                <w:rFonts w:ascii="Arial" w:hAnsi="Arial" w:cs="Arial"/>
                <w:sz w:val="20"/>
                <w:szCs w:val="20"/>
              </w:rPr>
            </w:pPr>
            <w:r>
              <w:rPr>
                <w:rFonts w:ascii="Arial" w:hAnsi="Arial" w:cs="Arial"/>
                <w:sz w:val="20"/>
                <w:szCs w:val="20"/>
              </w:rPr>
              <w:t>Hospital counsellor</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Resources:</w:t>
            </w:r>
          </w:p>
          <w:p>
            <w:pPr>
              <w:spacing w:before="0" w:after="19"/>
              <w:rPr>
                <w:rFonts w:ascii="Arial" w:hAnsi="Arial" w:cs="Arial"/>
                <w:sz w:val="20"/>
                <w:szCs w:val="20"/>
                <w:lang w:val="ro-RO" w:bidi="ar-SA"/>
              </w:rPr>
            </w:pPr>
            <w:r>
              <w:rPr>
                <w:rFonts w:ascii="Arial" w:hAnsi="Arial" w:cs="Arial"/>
                <w:sz w:val="20"/>
                <w:szCs w:val="20"/>
              </w:rPr>
              <w:t xml:space="preserve">A total of 0.2 FTEs (full-time equivalents) for each serviceable patient bed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Multidisciplinary case review</w:t>
            </w:r>
          </w:p>
          <w:p>
            <w:pPr>
              <w:framePr w:w="0" w:h="0" w:hRule="auto" w:vSpace="0" w:hSpace="0" w:wrap="auto" w:hAnchor="text" w:x="0" w:xAlign="left" w:yAlign="inline" w:anchorLock="0"/>
              <w:numPr>
                <w:ilvl w:val="0"/>
                <w:numId w:val="123"/>
              </w:numPr>
              <w:spacing w:before="0" w:after="19"/>
              <w:ind w:hanging="283" w:left="283" w:right="0"/>
              <w:rPr>
                <w:rFonts w:ascii="Arial" w:hAnsi="Arial" w:cs="Arial"/>
                <w:sz w:val="20"/>
                <w:szCs w:val="20"/>
              </w:rPr>
            </w:pPr>
            <w:r>
              <w:rPr>
                <w:rFonts w:ascii="Arial" w:hAnsi="Arial" w:cs="Arial"/>
                <w:sz w:val="20"/>
                <w:szCs w:val="20"/>
              </w:rPr>
              <w:t xml:space="preserve">Weekly intervals </w:t>
            </w:r>
          </w:p>
          <w:p>
            <w:pPr>
              <w:framePr w:w="0" w:h="0" w:hRule="auto" w:vSpace="0" w:hSpace="0" w:wrap="auto" w:hAnchor="text" w:x="0" w:xAlign="left" w:yAlign="inline" w:anchorLock="0"/>
              <w:numPr>
                <w:ilvl w:val="0"/>
                <w:numId w:val="123"/>
              </w:numPr>
              <w:spacing w:before="0" w:after="19"/>
              <w:ind w:hanging="283" w:left="283" w:right="0"/>
              <w:rPr>
                <w:rFonts w:ascii="Arial" w:hAnsi="Arial" w:cs="Arial"/>
                <w:sz w:val="20"/>
                <w:szCs w:val="20"/>
              </w:rPr>
            </w:pPr>
            <w:r>
              <w:rPr>
                <w:rFonts w:ascii="Arial" w:hAnsi="Arial" w:cs="Arial"/>
                <w:sz w:val="20"/>
                <w:szCs w:val="20"/>
              </w:rPr>
              <w:t>Discussion of the therapy plans of all patients present, documentation of the results (findings, therapeutic goals, changes, measures) on a case-by-case basis (record, therapy plan) and in a discussion-based manner (short protocol)</w:t>
            </w:r>
          </w:p>
          <w:p>
            <w:pPr>
              <w:framePr w:w="0" w:h="0" w:hRule="auto" w:vSpace="0" w:hSpace="0" w:wrap="auto" w:hAnchor="text" w:x="0" w:xAlign="left" w:yAlign="inline" w:anchorLock="0"/>
              <w:numPr>
                <w:ilvl w:val="0"/>
                <w:numId w:val="123"/>
              </w:numPr>
              <w:spacing w:before="0" w:after="19"/>
              <w:ind w:hanging="283" w:left="283" w:right="0"/>
              <w:rPr>
                <w:rFonts w:ascii="Arial" w:hAnsi="Arial" w:cs="Arial"/>
                <w:sz w:val="20"/>
                <w:szCs w:val="20"/>
              </w:rPr>
            </w:pPr>
            <w:r>
              <w:rPr>
                <w:rFonts w:ascii="Arial" w:hAnsi="Arial" w:cs="Arial"/>
                <w:sz w:val="20"/>
                <w:szCs w:val="20"/>
              </w:rPr>
              <w:t>A list is to be kept of participants in the discussions with the names of the persons responsible for therapy</w:t>
            </w:r>
          </w:p>
          <w:p>
            <w:pPr>
              <w:numPr>
                <w:ilvl w:val="0"/>
                <w:numId w:val="123"/>
              </w:numPr>
              <w:spacing w:before="0" w:after="19"/>
              <w:ind w:hanging="283" w:left="283"/>
              <w:rPr>
                <w:rFonts w:ascii="Arial" w:hAnsi="Arial" w:cs="Arial"/>
                <w:sz w:val="20"/>
                <w:szCs w:val="20"/>
                <w:lang w:val="ro-RO" w:bidi="ar-SA"/>
              </w:rPr>
            </w:pPr>
            <w:r>
              <w:rPr>
                <w:rFonts w:ascii="Arial" w:hAnsi="Arial" w:cs="Arial"/>
                <w:sz w:val="20"/>
                <w:szCs w:val="20"/>
              </w:rPr>
              <w:t>Participation of &gt;75% of all staff members present on the ward, at least one representative from medical, nursing and psychosocial care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9.3.16</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External quality assurance</w:t>
            </w:r>
          </w:p>
          <w:p>
            <w:pPr>
              <w:spacing w:before="0" w:after="19"/>
              <w:rPr>
                <w:rFonts w:ascii="Arial" w:hAnsi="Arial" w:cs="Arial"/>
                <w:sz w:val="20"/>
                <w:szCs w:val="20"/>
                <w:lang w:val="ro-RO" w:bidi="ar-SA"/>
              </w:rPr>
            </w:pPr>
            <w:r>
              <w:rPr>
                <w:rFonts w:ascii="Arial" w:hAnsi="Arial" w:cs="Arial"/>
                <w:sz w:val="20"/>
                <w:szCs w:val="20"/>
              </w:rPr>
              <w:t>Participation in external quality assurance measures, e.g. DGP and DHPV core data set is recommended.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Public relations</w:t>
            </w:r>
          </w:p>
          <w:p>
            <w:pPr>
              <w:spacing w:before="0" w:after="19"/>
              <w:rPr>
                <w:rFonts w:ascii="Arial" w:hAnsi="Arial" w:cs="Arial"/>
                <w:sz w:val="20"/>
                <w:szCs w:val="20"/>
                <w:lang w:val="ro-RO" w:bidi="ar-SA"/>
              </w:rPr>
            </w:pPr>
            <w:r>
              <w:rPr>
                <w:rFonts w:ascii="Arial" w:hAnsi="Arial" w:cs="Arial"/>
                <w:sz w:val="20"/>
                <w:szCs w:val="20"/>
              </w:rPr>
              <w:t>Up-to-date information for patients and family members (e.g. flyers, website) is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event</w:t>
            </w:r>
          </w:p>
          <w:p>
            <w:pPr>
              <w:spacing w:before="0" w:after="19"/>
              <w:rPr>
                <w:rFonts w:ascii="Arial" w:hAnsi="Arial" w:cs="Arial"/>
                <w:sz w:val="20"/>
                <w:szCs w:val="20"/>
                <w:lang w:val="ro-RO" w:bidi="ar-SA"/>
              </w:rPr>
            </w:pPr>
            <w:r>
              <w:rPr>
                <w:rFonts w:ascii="Arial" w:hAnsi="Arial" w:cs="Arial"/>
                <w:sz w:val="20"/>
                <w:szCs w:val="20"/>
              </w:rPr>
              <w:t xml:space="preserve">An information/ continuing education event is to be staged at least once a year on palliative medicine. This can be part of a central event of the Oncology Centre.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9.3.19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Induction of new staff members</w:t>
            </w:r>
          </w:p>
          <w:p>
            <w:pPr>
              <w:framePr w:w="0" w:h="0" w:hRule="auto" w:vSpace="0" w:hSpace="0" w:wrap="auto" w:hAnchor="text" w:x="0" w:xAlign="left" w:yAlign="inline" w:anchorLock="0"/>
              <w:numPr>
                <w:ilvl w:val="0"/>
                <w:numId w:val="124"/>
              </w:numPr>
              <w:spacing w:before="0" w:after="19"/>
              <w:ind w:hanging="283" w:left="283" w:right="0"/>
              <w:rPr>
                <w:rFonts w:ascii="Arial" w:hAnsi="Arial" w:cs="Arial"/>
                <w:sz w:val="20"/>
                <w:szCs w:val="20"/>
              </w:rPr>
            </w:pPr>
            <w:r>
              <w:rPr>
                <w:rFonts w:ascii="Arial" w:hAnsi="Arial" w:cs="Arial"/>
                <w:sz w:val="20"/>
                <w:szCs w:val="20"/>
              </w:rPr>
              <w:t xml:space="preserve">Systematic, documented induction of new staff members is to be ensured, which imparts knowledge about the Oncology Centre’s respective field of activity. </w:t>
            </w:r>
          </w:p>
          <w:p>
            <w:pPr>
              <w:numPr>
                <w:ilvl w:val="0"/>
                <w:numId w:val="124"/>
              </w:numPr>
              <w:spacing w:before="0" w:after="19"/>
              <w:ind w:hanging="283" w:left="283"/>
              <w:rPr>
                <w:rFonts w:ascii="Arial" w:hAnsi="Arial" w:cs="Arial"/>
                <w:sz w:val="20"/>
                <w:szCs w:val="20"/>
                <w:lang w:val="ro-RO" w:bidi="ar-SA"/>
              </w:rPr>
            </w:pPr>
            <w:r>
              <w:rPr>
                <w:rFonts w:ascii="Arial" w:hAnsi="Arial" w:cs="Arial"/>
                <w:sz w:val="20"/>
                <w:szCs w:val="20"/>
              </w:rPr>
              <w:t>This induction must take place within three months of commencement of employment.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9.3.20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Continuing education/ specialty training</w:t>
            </w:r>
          </w:p>
          <w:p>
            <w:pPr>
              <w:framePr w:w="0" w:h="0" w:hRule="auto" w:vSpace="0" w:hSpace="0" w:wrap="auto" w:hAnchor="text" w:x="0" w:xAlign="left" w:yAlign="inline" w:anchorLock="0"/>
              <w:numPr>
                <w:ilvl w:val="0"/>
                <w:numId w:val="125"/>
              </w:numPr>
              <w:spacing w:before="0" w:after="19"/>
              <w:ind w:hanging="283" w:left="283" w:right="0"/>
              <w:rPr>
                <w:rFonts w:ascii="Arial" w:hAnsi="Arial" w:cs="Arial"/>
                <w:sz w:val="20"/>
                <w:szCs w:val="20"/>
              </w:rPr>
            </w:pPr>
            <w:r>
              <w:rPr>
                <w:rFonts w:ascii="Arial" w:hAnsi="Arial" w:cs="Arial"/>
                <w:sz w:val="20"/>
                <w:szCs w:val="20"/>
              </w:rPr>
              <w:t>A training plan for medical, nursing and psychosocial staff is to be presented listing the planned training sessions for the period of one year.</w:t>
            </w:r>
          </w:p>
          <w:p>
            <w:pPr>
              <w:numPr>
                <w:ilvl w:val="0"/>
                <w:numId w:val="125"/>
              </w:numPr>
              <w:spacing w:before="0" w:after="19"/>
              <w:ind w:hanging="283" w:left="283"/>
              <w:rPr>
                <w:rFonts w:ascii="Arial" w:hAnsi="Arial" w:cs="Arial"/>
                <w:sz w:val="20"/>
                <w:szCs w:val="20"/>
                <w:lang w:val="ro-RO" w:bidi="ar-SA"/>
              </w:rPr>
            </w:pPr>
            <w:r>
              <w:rPr>
                <w:rFonts w:ascii="Arial" w:hAnsi="Arial" w:cs="Arial"/>
                <w:sz w:val="20"/>
                <w:szCs w:val="20"/>
              </w:rPr>
              <w:t>At least one dedicated continuing education/ specialty training session for each staff member (minimum one day a year) who carries out quality-relevant tasks for the Oncology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9.3.21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Supervision/ supervised practice</w:t>
            </w:r>
          </w:p>
          <w:p>
            <w:pPr>
              <w:framePr w:w="0" w:h="0" w:hRule="auto" w:vSpace="0" w:hSpace="0" w:wrap="auto" w:hAnchor="text" w:x="0" w:xAlign="left" w:yAlign="inline" w:anchorLock="0"/>
              <w:numPr>
                <w:ilvl w:val="0"/>
                <w:numId w:val="126"/>
              </w:numPr>
              <w:spacing w:before="0" w:after="19"/>
              <w:ind w:hanging="283" w:left="283" w:right="0"/>
              <w:rPr>
                <w:rFonts w:ascii="Arial" w:hAnsi="Arial" w:cs="Arial"/>
                <w:sz w:val="20"/>
                <w:szCs w:val="20"/>
              </w:rPr>
            </w:pPr>
            <w:r>
              <w:rPr>
                <w:rFonts w:ascii="Arial" w:hAnsi="Arial" w:cs="Arial"/>
                <w:sz w:val="20"/>
                <w:szCs w:val="20"/>
              </w:rPr>
              <w:t xml:space="preserve">Supervision and/ or supervised practice in groups and/ or individual interviews for all staff members are to be proven. </w:t>
            </w:r>
          </w:p>
          <w:p>
            <w:pPr>
              <w:numPr>
                <w:ilvl w:val="0"/>
                <w:numId w:val="126"/>
              </w:numPr>
              <w:spacing w:before="0" w:after="19"/>
              <w:ind w:hanging="283" w:left="283"/>
              <w:rPr>
                <w:rFonts w:ascii="Arial" w:hAnsi="Arial" w:cs="Arial"/>
                <w:sz w:val="20"/>
                <w:szCs w:val="20"/>
                <w:lang w:val="ro-RO" w:bidi="ar-SA"/>
              </w:rPr>
            </w:pPr>
            <w:r>
              <w:rPr>
                <w:rFonts w:ascii="Arial" w:hAnsi="Arial" w:cs="Arial"/>
                <w:sz w:val="20"/>
                <w:szCs w:val="20"/>
              </w:rPr>
              <w:t>Annual plan and lists of participants with a minimum of 12 hours a year for each staff member are to be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9.3.22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Quality circles</w:t>
            </w:r>
          </w:p>
          <w:p>
            <w:pPr>
              <w:framePr w:w="0" w:h="0" w:hRule="auto" w:vSpace="0" w:hSpace="0" w:wrap="auto" w:hAnchor="text" w:x="0" w:xAlign="left" w:yAlign="inline" w:anchorLock="0"/>
              <w:numPr>
                <w:ilvl w:val="0"/>
                <w:numId w:val="127"/>
              </w:numPr>
              <w:spacing w:before="0" w:after="19"/>
              <w:ind w:hanging="283" w:left="283" w:right="0"/>
              <w:rPr>
                <w:rFonts w:ascii="Arial" w:hAnsi="Arial" w:cs="Arial"/>
                <w:sz w:val="20"/>
                <w:szCs w:val="20"/>
              </w:rPr>
            </w:pPr>
            <w:r>
              <w:rPr>
                <w:rFonts w:ascii="Arial" w:hAnsi="Arial" w:cs="Arial"/>
                <w:sz w:val="20"/>
                <w:szCs w:val="20"/>
              </w:rPr>
              <w:t>Staff are to stage or take part in at least three quality circles a year in which oncological topics are addressed</w:t>
            </w:r>
          </w:p>
          <w:p>
            <w:pPr>
              <w:framePr w:w="0" w:h="0" w:hRule="auto" w:vSpace="0" w:hSpace="0" w:wrap="auto" w:hAnchor="text" w:x="0" w:xAlign="left" w:yAlign="inline" w:anchorLock="0"/>
              <w:numPr>
                <w:ilvl w:val="0"/>
                <w:numId w:val="127"/>
              </w:numPr>
              <w:spacing w:before="0" w:after="19"/>
              <w:ind w:hanging="283" w:left="283" w:right="0"/>
              <w:rPr>
                <w:rFonts w:ascii="Arial" w:hAnsi="Arial" w:cs="Arial"/>
                <w:sz w:val="20"/>
                <w:szCs w:val="20"/>
              </w:rPr>
            </w:pPr>
            <w:r>
              <w:rPr>
                <w:rFonts w:ascii="Arial" w:hAnsi="Arial" w:cs="Arial"/>
                <w:sz w:val="20"/>
                <w:szCs w:val="20"/>
              </w:rPr>
              <w:t>Scheduling, e.g. in training plan</w:t>
            </w:r>
          </w:p>
          <w:p>
            <w:pPr>
              <w:framePr w:w="0" w:h="0" w:hRule="auto" w:vSpace="0" w:hSpace="0" w:wrap="auto" w:hAnchor="text" w:x="0" w:xAlign="left" w:yAlign="inline" w:anchorLock="0"/>
              <w:numPr>
                <w:ilvl w:val="0"/>
                <w:numId w:val="127"/>
              </w:numPr>
              <w:spacing w:before="0" w:after="19"/>
              <w:ind w:hanging="283" w:left="283" w:right="0"/>
              <w:rPr>
                <w:rFonts w:ascii="Arial" w:hAnsi="Arial" w:cs="Arial"/>
                <w:sz w:val="20"/>
                <w:szCs w:val="20"/>
              </w:rPr>
            </w:pPr>
            <w:r>
              <w:rPr>
                <w:rFonts w:ascii="Arial" w:hAnsi="Arial" w:cs="Arial"/>
                <w:sz w:val="20"/>
                <w:szCs w:val="20"/>
              </w:rPr>
              <w:t>Quality circles are to be documented</w:t>
            </w:r>
          </w:p>
          <w:p>
            <w:pPr>
              <w:numPr>
                <w:ilvl w:val="0"/>
                <w:numId w:val="127"/>
              </w:numPr>
              <w:spacing w:before="0" w:after="19"/>
              <w:ind w:hanging="283" w:left="283"/>
              <w:rPr>
                <w:rFonts w:ascii="Arial" w:hAnsi="Arial" w:cs="Arial"/>
                <w:sz w:val="20"/>
                <w:szCs w:val="20"/>
                <w:lang w:val="ro-RO" w:bidi="ar-SA"/>
              </w:rPr>
            </w:pPr>
            <w:r>
              <w:rPr>
                <w:rFonts w:ascii="Arial" w:hAnsi="Arial" w:cs="Arial"/>
                <w:sz w:val="20"/>
                <w:szCs w:val="20"/>
              </w:rPr>
              <w:t>Participation in the quality circles organised centrally by the Oncology Centre is recognised (see “Catalogue of Requirements Section 1.2.14 Interdisciplinary Work”).</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9.3.23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Studies</w:t>
            </w:r>
          </w:p>
          <w:p>
            <w:pPr>
              <w:spacing w:before="0" w:after="19"/>
              <w:rPr>
                <w:rFonts w:ascii="Arial" w:hAnsi="Arial" w:cs="Arial"/>
                <w:sz w:val="20"/>
                <w:szCs w:val="20"/>
                <w:lang w:val="ro-RO" w:bidi="ar-SA"/>
              </w:rPr>
            </w:pPr>
            <w:r>
              <w:rPr>
                <w:rFonts w:ascii="Arial" w:hAnsi="Arial" w:cs="Arial"/>
                <w:sz w:val="20"/>
                <w:szCs w:val="20"/>
              </w:rPr>
              <w:t>If studies are offered or conducted, the requirements in Section 1.7 Study management are to be fully complied with.</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9.3.24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b w:val="1"/>
                <w:sz w:val="20"/>
                <w:szCs w:val="20"/>
              </w:rPr>
              <w:t>Palliative indicators</w:t>
            </w:r>
            <w:r>
              <w:rPr>
                <w:rFonts w:ascii="Arial" w:hAnsi="Arial" w:cs="Arial"/>
                <w:sz w:val="20"/>
                <w:szCs w:val="20"/>
              </w:rPr>
              <w:t xml:space="preserve"> (The Centre’s patients are recorded)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The indicators must </w:t>
            </w:r>
            <w:r>
              <w:rPr>
                <w:rFonts w:ascii="Arial" w:hAnsi="Arial" w:cs="Arial"/>
                <w:b w:val="1"/>
                <w:sz w:val="20"/>
                <w:szCs w:val="20"/>
              </w:rPr>
              <w:t>not</w:t>
            </w:r>
            <w:r>
              <w:rPr>
                <w:rFonts w:ascii="Arial" w:hAnsi="Arial" w:cs="Arial"/>
                <w:sz w:val="20"/>
                <w:szCs w:val="20"/>
              </w:rPr>
              <w:t xml:space="preserve"> be entered in the Catalogue of Requirements. Please report the respective indicators in the Excel Data Sheet.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10.</w:t>
        <w:tab/>
        <w:t xml:space="preserve"> Tumour documentation / Outcome quality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framePr w:w="0" w:h="0" w:hRule="auto" w:vSpace="0" w:hSpace="0" w:wrap="auto" w:hAnchor="text" w:x="0" w:xAlign="left" w:yAlign="inline" w:anchorLock="0"/>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10.0.0</w:t>
            </w:r>
          </w:p>
        </w:tc>
        <w:tc>
          <w:tcPr>
            <w:tcW w:w="1" w:type="dxa"/>
          </w:tcPr>
          <w:p>
            <w:pPr>
              <w:spacing w:before="0" w:after="19"/>
              <w:rPr>
                <w:rFonts w:ascii="Arial" w:hAnsi="Arial" w:cs="Arial"/>
                <w:sz w:val="20"/>
                <w:szCs w:val="20"/>
                <w:lang w:val="ro-RO" w:bidi="ar-SA"/>
              </w:rPr>
            </w:pPr>
            <w:r>
              <w:rPr>
                <w:rFonts w:ascii="Arial" w:hAnsi="Arial" w:cs="Arial"/>
                <w:sz w:val="20"/>
                <w:szCs w:val="20"/>
              </w:rPr>
              <w:t>The data presented in the entire Cataloge of Requirements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Scope</w:t>
            </w:r>
          </w:p>
          <w:p>
            <w:pPr>
              <w:spacing w:before="0" w:after="19"/>
              <w:rPr>
                <w:rFonts w:ascii="Arial" w:hAnsi="Arial" w:cs="Arial"/>
                <w:sz w:val="20"/>
                <w:szCs w:val="20"/>
                <w:lang w:val="ro-RO" w:bidi="ar-SA"/>
              </w:rPr>
            </w:pPr>
            <w:r>
              <w:rPr>
                <w:rFonts w:ascii="Arial" w:hAnsi="Arial" w:cs="Arial"/>
                <w:sz w:val="20"/>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Tumour documentation</w:t>
            </w:r>
          </w:p>
          <w:p>
            <w:pPr>
              <w:spacing w:before="0" w:after="19"/>
              <w:rPr>
                <w:rFonts w:ascii="Arial" w:hAnsi="Arial" w:cs="Arial"/>
                <w:sz w:val="20"/>
                <w:szCs w:val="20"/>
                <w:lang w:val="ro-RO" w:bidi="ar-SA"/>
              </w:rPr>
            </w:pPr>
            <w:r>
              <w:rPr>
                <w:rFonts w:ascii="Arial" w:hAnsi="Arial" w:cs="Arial"/>
                <w:sz w:val="20"/>
                <w:szCs w:val="20"/>
              </w:rPr>
              <w:t>At the time of initial certification, tumour documentation must be available that contains patient data for a period of at least three months.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Data Sheet (appendix Catalouge of Requirement)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tumour documentation must be able to provide the data required in the organ-specific Data Sheet (appendix Catalouge of Requirement) correctly and in a quality-assured manner.</w:t>
            </w:r>
          </w:p>
          <w:p>
            <w:pPr>
              <w:spacing w:before="0" w:after="19"/>
              <w:rPr>
                <w:rFonts w:ascii="Arial" w:hAnsi="Arial" w:cs="Arial"/>
                <w:sz w:val="20"/>
                <w:szCs w:val="20"/>
                <w:lang w:val="ro-RO" w:bidi="ar-SA"/>
              </w:rPr>
            </w:pPr>
            <w:r>
              <w:rPr>
                <w:rFonts w:ascii="Arial" w:hAnsi="Arial" w:cs="Arial"/>
                <w:sz w:val="20"/>
                <w:szCs w:val="20"/>
              </w:rPr>
              <w:t>Organ-specific requirements for data presentation and its scope (basic data, indicators, outcome quality, etc.) are stored in the respective Data Sheet. If individual contents in the Data Sheet cannot be generated automatically via the tumour documentation system (TDS), the data presentation must be traceable.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If cross-clinic evaluations (e.g. DKG annual reports, etc.) relating to the Data Sheet are available, these should also be taken into account in the indicator analysis.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Legal cancer registration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rPr>
                <w:rFonts w:ascii="Arial" w:hAnsi="Arial" w:cs="Arial"/>
                <w:sz w:val="20"/>
                <w:szCs w:val="20"/>
                <w:lang w:val="ro-RO" w:bidi="ar-SA"/>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Documentation manager</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At least one documentation manager must be appointed for each certification system or organ group to take responsibility for tumour documentation.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documentation manager must be named (including their role in the hospital).</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Tasks of the documentation manager</w:t>
            </w:r>
          </w:p>
          <w:p>
            <w:pPr>
              <w:framePr w:w="0" w:h="0" w:hRule="auto" w:vSpace="0" w:hSpace="0" w:wrap="auto" w:hAnchor="text" w:x="0" w:xAlign="left" w:yAlign="inline" w:anchorLock="0"/>
              <w:numPr>
                <w:ilvl w:val="0"/>
                <w:numId w:val="128"/>
              </w:numPr>
              <w:spacing w:before="0" w:after="19"/>
              <w:ind w:hanging="283" w:left="283" w:right="0"/>
              <w:rPr>
                <w:rFonts w:ascii="Arial" w:hAnsi="Arial" w:cs="Arial"/>
                <w:sz w:val="20"/>
                <w:szCs w:val="20"/>
              </w:rPr>
            </w:pPr>
            <w:r>
              <w:rPr>
                <w:rFonts w:ascii="Arial" w:hAnsi="Arial" w:cs="Arial"/>
                <w:sz w:val="20"/>
                <w:szCs w:val="20"/>
              </w:rPr>
              <w:t>Ensuring and monitoring timely, complete, comprehensive and accurate documentation</w:t>
            </w:r>
          </w:p>
          <w:p>
            <w:pPr>
              <w:framePr w:w="0" w:h="0" w:hRule="auto" w:vSpace="0" w:hSpace="0" w:wrap="auto" w:hAnchor="text" w:x="0" w:xAlign="left" w:yAlign="inline" w:anchorLock="0"/>
              <w:numPr>
                <w:ilvl w:val="0"/>
                <w:numId w:val="128"/>
              </w:numPr>
              <w:spacing w:before="0" w:after="19"/>
              <w:ind w:hanging="283" w:left="283" w:right="0"/>
              <w:rPr>
                <w:rFonts w:ascii="Arial" w:hAnsi="Arial" w:cs="Arial"/>
                <w:sz w:val="20"/>
                <w:szCs w:val="20"/>
              </w:rPr>
            </w:pPr>
            <w:r>
              <w:rPr>
                <w:rFonts w:ascii="Arial" w:hAnsi="Arial" w:cs="Arial"/>
                <w:sz w:val="20"/>
                <w:szCs w:val="20"/>
              </w:rPr>
              <w:t>Available to answer questions about tumour documentation</w:t>
            </w:r>
          </w:p>
          <w:p>
            <w:pPr>
              <w:framePr w:w="0" w:h="0" w:hRule="auto" w:vSpace="0" w:hSpace="0" w:wrap="auto" w:hAnchor="text" w:x="0" w:xAlign="left" w:yAlign="inline" w:anchorLock="0"/>
              <w:numPr>
                <w:ilvl w:val="0"/>
                <w:numId w:val="128"/>
              </w:numPr>
              <w:spacing w:before="0" w:after="19"/>
              <w:ind w:hanging="283" w:left="283" w:right="0"/>
              <w:rPr>
                <w:rFonts w:ascii="Arial" w:hAnsi="Arial" w:cs="Arial"/>
                <w:sz w:val="20"/>
                <w:szCs w:val="20"/>
              </w:rPr>
            </w:pPr>
            <w:r>
              <w:rPr>
                <w:rFonts w:ascii="Arial" w:hAnsi="Arial" w:cs="Arial"/>
                <w:sz w:val="20"/>
                <w:szCs w:val="20"/>
              </w:rPr>
              <w:t>Available to answer technical questions and, if necessary, liaises with the tumour documentation manufacturer</w:t>
            </w:r>
          </w:p>
          <w:p>
            <w:pPr>
              <w:framePr w:w="0" w:h="0" w:hRule="auto" w:vSpace="0" w:hSpace="0" w:wrap="auto" w:hAnchor="text" w:x="0" w:xAlign="left" w:yAlign="inline" w:anchorLock="0"/>
              <w:numPr>
                <w:ilvl w:val="0"/>
                <w:numId w:val="128"/>
              </w:numPr>
              <w:spacing w:before="0" w:after="19"/>
              <w:ind w:hanging="283" w:left="283" w:right="0"/>
              <w:rPr>
                <w:rFonts w:ascii="Arial" w:hAnsi="Arial" w:cs="Arial"/>
                <w:sz w:val="20"/>
                <w:szCs w:val="20"/>
              </w:rPr>
            </w:pPr>
            <w:r>
              <w:rPr>
                <w:rFonts w:ascii="Arial" w:hAnsi="Arial" w:cs="Arial"/>
                <w:sz w:val="20"/>
                <w:szCs w:val="20"/>
              </w:rPr>
              <w:t>Regular analysis of evaluations, particularly over time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Medical contact person</w:t>
            </w:r>
          </w:p>
          <w:p>
            <w:pPr>
              <w:spacing w:before="0" w:after="19"/>
              <w:rPr>
                <w:rFonts w:ascii="Arial" w:hAnsi="Arial" w:cs="Arial"/>
                <w:sz w:val="20"/>
                <w:szCs w:val="20"/>
                <w:lang w:val="ro-RO" w:bidi="ar-SA"/>
              </w:rPr>
            </w:pPr>
            <w:r>
              <w:rPr>
                <w:rFonts w:ascii="Arial" w:hAnsi="Arial" w:cs="Arial"/>
                <w:sz w:val="20"/>
                <w:szCs w:val="20"/>
              </w:rPr>
              <w:t>For questions regarding the content of tumour documentation, a suitable medical contact person (central and/or specific tumour entity/specialist area) must be named.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10.2.4</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Tumour documentation managers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Names of the responsible tumour documentation managers (at least one person must be named per entity; one person may be responsible for several entities/specialist areas).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Provision of resources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necessary personnel capacity should be provided for the performance of documentation tasks and data collection (guideline: 0.5 FTE per 200 primary cases and 0.1 FTE per 200 follow-up cases).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Criteria for higher resource requirements</w:t>
            </w:r>
          </w:p>
          <w:p>
            <w:pPr>
              <w:framePr w:w="0" w:h="0" w:hRule="auto" w:vSpace="0" w:hSpace="0" w:wrap="auto" w:hAnchor="text" w:x="0" w:xAlign="left" w:yAlign="inline" w:anchorLock="0"/>
              <w:numPr>
                <w:ilvl w:val="0"/>
                <w:numId w:val="129"/>
              </w:numPr>
              <w:spacing w:before="0" w:after="19"/>
              <w:ind w:hanging="283" w:left="283" w:right="0"/>
              <w:rPr>
                <w:rFonts w:ascii="Arial" w:hAnsi="Arial" w:cs="Arial"/>
                <w:sz w:val="20"/>
                <w:szCs w:val="20"/>
              </w:rPr>
            </w:pPr>
            <w:r>
              <w:rPr>
                <w:rFonts w:ascii="Arial" w:hAnsi="Arial" w:cs="Arial"/>
                <w:sz w:val="20"/>
                <w:szCs w:val="20"/>
              </w:rPr>
              <w:t>Comprehensive responsibilities in the form of data analysis, including quality circles, healthcare research projects and studies</w:t>
            </w:r>
          </w:p>
          <w:p>
            <w:pPr>
              <w:framePr w:w="0" w:h="0" w:hRule="auto" w:vSpace="0" w:hSpace="0" w:wrap="auto" w:hAnchor="text" w:x="0" w:xAlign="left" w:yAlign="inline" w:anchorLock="0"/>
              <w:numPr>
                <w:ilvl w:val="0"/>
                <w:numId w:val="129"/>
              </w:numPr>
              <w:spacing w:before="0" w:after="19"/>
              <w:ind w:hanging="283" w:left="283" w:right="0"/>
              <w:rPr>
                <w:rFonts w:ascii="Arial" w:hAnsi="Arial" w:cs="Arial"/>
                <w:sz w:val="20"/>
                <w:szCs w:val="20"/>
              </w:rPr>
            </w:pPr>
            <w:r>
              <w:rPr>
                <w:rFonts w:ascii="Arial" w:hAnsi="Arial" w:cs="Arial"/>
                <w:sz w:val="20"/>
                <w:szCs w:val="20"/>
              </w:rPr>
              <w:t>High proportion of complex treatment processes or high proportion of non-primary cases</w:t>
            </w:r>
          </w:p>
          <w:p>
            <w:pPr>
              <w:framePr w:w="0" w:h="0" w:hRule="auto" w:vSpace="0" w:hSpace="0" w:wrap="auto" w:hAnchor="text" w:x="0" w:xAlign="left" w:yAlign="inline" w:anchorLock="0"/>
              <w:numPr>
                <w:ilvl w:val="0"/>
                <w:numId w:val="129"/>
              </w:numPr>
              <w:spacing w:before="0" w:after="19"/>
              <w:ind w:hanging="283" w:left="283" w:right="0"/>
              <w:rPr>
                <w:rFonts w:ascii="Arial" w:hAnsi="Arial" w:cs="Arial"/>
                <w:sz w:val="20"/>
                <w:szCs w:val="20"/>
              </w:rPr>
            </w:pPr>
            <w:r>
              <w:rPr>
                <w:rFonts w:ascii="Arial" w:hAnsi="Arial" w:cs="Arial"/>
                <w:sz w:val="20"/>
                <w:szCs w:val="20"/>
              </w:rPr>
              <w:t>Support at tumour board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10.2.6</w:t>
            </w:r>
          </w:p>
        </w:tc>
        <w:tc>
          <w:tcPr>
            <w:tcW w:w="1" w:type="dxa"/>
          </w:tcPr>
          <w:p>
            <w:pPr>
              <w:spacing w:before="0" w:after="19"/>
              <w:rPr>
                <w:rFonts w:ascii="Arial" w:hAnsi="Arial" w:cs="Arial"/>
                <w:sz w:val="20"/>
                <w:szCs w:val="20"/>
                <w:lang w:val="ro-RO" w:bidi="ar-SA"/>
              </w:rPr>
            </w:pPr>
            <w:r>
              <w:rPr>
                <w:rFonts w:ascii="Arial" w:hAnsi="Arial" w:cs="Arial"/>
                <w:sz w:val="20"/>
                <w:szCs w:val="20"/>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Selection of tumour documentation system (TDS)</w:t>
            </w:r>
          </w:p>
          <w:p>
            <w:pPr>
              <w:spacing w:before="0" w:after="19"/>
              <w:rPr>
                <w:rFonts w:ascii="Arial" w:hAnsi="Arial" w:cs="Arial"/>
                <w:sz w:val="20"/>
                <w:szCs w:val="20"/>
                <w:lang w:val="ro-RO" w:bidi="ar-SA"/>
              </w:rPr>
            </w:pPr>
            <w:r>
              <w:rPr>
                <w:rFonts w:ascii="Arial" w:hAnsi="Arial" w:cs="Arial"/>
                <w:sz w:val="20"/>
                <w:szCs w:val="20"/>
              </w:rPr>
              <w:t>The type of tumour documentation system (TDS) is at the discretion of the centre (e.g. in-house development, external provider, integrated into the HIS or via the §65c cancer registry).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Selection options TDS – case list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framePr w:w="0" w:h="0" w:hRule="auto" w:vSpace="0" w:hSpace="0" w:wrap="auto" w:hAnchor="text" w:x="0" w:xAlign="left" w:yAlign="inline" w:anchorLock="0"/>
              <w:numPr>
                <w:ilvl w:val="0"/>
                <w:numId w:val="130"/>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framePr w:w="0" w:h="0" w:hRule="auto" w:vSpace="0" w:hSpace="0" w:wrap="auto" w:hAnchor="text" w:x="0" w:xAlign="left" w:yAlign="inline" w:anchorLock="0"/>
              <w:numPr>
                <w:ilvl w:val="0"/>
                <w:numId w:val="130"/>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framePr w:w="0" w:h="0" w:hRule="auto" w:vSpace="0" w:hSpace="0" w:wrap="auto" w:hAnchor="text" w:x="0" w:xAlign="left" w:yAlign="inline" w:anchorLock="0"/>
              <w:numPr>
                <w:ilvl w:val="0"/>
                <w:numId w:val="130"/>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framePr w:w="0" w:h="0" w:hRule="auto" w:vSpace="0" w:hSpace="0" w:wrap="auto" w:hAnchor="text" w:x="0" w:xAlign="left" w:yAlign="inline" w:anchorLock="0"/>
              <w:numPr>
                <w:ilvl w:val="0"/>
                <w:numId w:val="130"/>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framePr w:w="0" w:h="0" w:hRule="auto" w:vSpace="0" w:hSpace="0" w:wrap="auto" w:hAnchor="text" w:x="0" w:xAlign="left" w:yAlign="inline" w:anchorLock="0"/>
              <w:numPr>
                <w:ilvl w:val="0"/>
                <w:numId w:val="130"/>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Use of OncoBox</w:t>
            </w:r>
          </w:p>
          <w:p>
            <w:pPr>
              <w:framePr w:w="0" w:h="0" w:hRule="auto" w:vSpace="0" w:hSpace="0" w:wrap="auto" w:hAnchor="text" w:x="0" w:xAlign="left" w:yAlign="inline" w:anchorLock="0"/>
              <w:numPr>
                <w:ilvl w:val="0"/>
                <w:numId w:val="131"/>
              </w:numPr>
              <w:spacing w:before="0" w:after="19"/>
              <w:ind w:hanging="283" w:left="283" w:right="0"/>
              <w:rPr>
                <w:rFonts w:ascii="Arial" w:hAnsi="Arial" w:cs="Arial"/>
                <w:sz w:val="20"/>
                <w:szCs w:val="20"/>
              </w:rPr>
            </w:pPr>
            <w:r>
              <w:rPr>
                <w:rFonts w:ascii="Arial" w:hAnsi="Arial" w:cs="Arial"/>
                <w:sz w:val="20"/>
                <w:szCs w:val="20"/>
              </w:rPr>
              <w:t>Breast: Use of OncoBox recommended (optional)</w:t>
            </w:r>
          </w:p>
          <w:p>
            <w:pPr>
              <w:framePr w:w="0" w:h="0" w:hRule="auto" w:vSpace="0" w:hSpace="0" w:wrap="auto" w:hAnchor="text" w:x="0" w:xAlign="left" w:yAlign="inline" w:anchorLock="0"/>
              <w:numPr>
                <w:ilvl w:val="0"/>
                <w:numId w:val="131"/>
              </w:numPr>
              <w:spacing w:before="0" w:after="19"/>
              <w:ind w:hanging="283" w:left="283" w:right="0"/>
              <w:rPr>
                <w:rFonts w:ascii="Arial" w:hAnsi="Arial" w:cs="Arial"/>
                <w:sz w:val="20"/>
                <w:szCs w:val="20"/>
              </w:rPr>
            </w:pPr>
            <w:r>
              <w:rPr>
                <w:rFonts w:ascii="Arial" w:hAnsi="Arial" w:cs="Arial"/>
                <w:sz w:val="20"/>
                <w:szCs w:val="20"/>
              </w:rPr>
              <w:t>Colon: Use of OncoBox mandatory</w:t>
            </w:r>
          </w:p>
          <w:p>
            <w:pPr>
              <w:framePr w:w="0" w:h="0" w:hRule="auto" w:vSpace="0" w:hSpace="0" w:wrap="auto" w:hAnchor="text" w:x="0" w:xAlign="left" w:yAlign="inline" w:anchorLock="0"/>
              <w:numPr>
                <w:ilvl w:val="0"/>
                <w:numId w:val="131"/>
              </w:numPr>
              <w:spacing w:before="0" w:after="19"/>
              <w:ind w:hanging="283" w:left="283" w:right="0"/>
              <w:rPr>
                <w:rFonts w:ascii="Arial" w:hAnsi="Arial" w:cs="Arial"/>
                <w:sz w:val="20"/>
                <w:szCs w:val="20"/>
              </w:rPr>
            </w:pPr>
            <w:r>
              <w:rPr>
                <w:rFonts w:ascii="Arial" w:hAnsi="Arial" w:cs="Arial"/>
                <w:sz w:val="20"/>
                <w:szCs w:val="20"/>
              </w:rPr>
              <w:t>Lung: Use of OncoBox recommended (optional)</w:t>
            </w:r>
          </w:p>
          <w:p>
            <w:pPr>
              <w:framePr w:w="0" w:h="0" w:hRule="auto" w:vSpace="0" w:hSpace="0" w:wrap="auto" w:hAnchor="text" w:x="0" w:xAlign="left" w:yAlign="inline" w:anchorLock="0"/>
              <w:numPr>
                <w:ilvl w:val="0"/>
                <w:numId w:val="131"/>
              </w:numPr>
              <w:spacing w:before="0" w:after="19"/>
              <w:ind w:hanging="283" w:left="283" w:right="0"/>
              <w:rPr>
                <w:rFonts w:ascii="Arial" w:hAnsi="Arial" w:cs="Arial"/>
                <w:sz w:val="20"/>
                <w:szCs w:val="20"/>
              </w:rPr>
            </w:pPr>
            <w:r>
              <w:rPr>
                <w:rFonts w:ascii="Arial" w:hAnsi="Arial" w:cs="Arial"/>
                <w:sz w:val="20"/>
                <w:szCs w:val="20"/>
              </w:rPr>
              <w:t>Prostate: Use of OncoBox mandatory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tumour-specific terms of use for OncoBox, see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10.4.2</w:t>
            </w:r>
          </w:p>
        </w:tc>
        <w:tc>
          <w:tcPr>
            <w:tcW w:w="1" w:type="dxa"/>
          </w:tcPr>
          <w:p>
            <w:pPr>
              <w:spacing w:before="0" w:after="19"/>
              <w:rPr>
                <w:rFonts w:ascii="Arial" w:hAnsi="Arial" w:cs="Arial"/>
                <w:sz w:val="20"/>
                <w:szCs w:val="20"/>
                <w:lang w:val="ro-RO" w:bidi="ar-SA"/>
              </w:rPr>
            </w:pPr>
            <w:r>
              <w:rPr>
                <w:rFonts w:ascii="Arial" w:hAnsi="Arial" w:cs="Arial"/>
                <w:sz w:val="20"/>
                <w:szCs w:val="20"/>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eastAsia="Arial"/>
                <w:color w:val="1A2020"/>
                <w:sz w:val="20"/>
                <w:szCs w:val="20"/>
              </w:rPr>
              <w:t>Patient-reported outcome measures (PROM)</w:t>
            </w:r>
          </w:p>
          <w:p>
            <w:pPr>
              <w:spacing w:before="0" w:after="19"/>
              <w:rPr>
                <w:rFonts w:ascii="Arial" w:hAnsi="Arial" w:cs="Arial"/>
                <w:sz w:val="20"/>
                <w:szCs w:val="20"/>
                <w:lang w:val="ro-RO" w:bidi="ar-SA"/>
              </w:rPr>
            </w:pPr>
            <w:r>
              <w:rPr>
                <w:rFonts w:ascii="Arial" w:hAnsi="Arial" w:cs="Arial"/>
                <w:sz w:val="20"/>
                <w:szCs w:val="20"/>
              </w:rPr>
              <w:t>The following PROM systems are in use with regard to cancer patients (name of questionnaires/technical survey system):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10.5.2</w:t>
            </w:r>
          </w:p>
        </w:tc>
        <w:tc>
          <w:tcPr>
            <w:tcW w:w="1" w:type="dxa"/>
          </w:tcPr>
          <w:p>
            <w:pPr>
              <w:spacing w:before="0" w:after="19"/>
              <w:rPr>
                <w:rFonts w:ascii="Arial" w:hAnsi="Arial" w:cs="Arial"/>
                <w:sz w:val="20"/>
                <w:szCs w:val="20"/>
                <w:lang w:val="ro-RO" w:bidi="ar-SA"/>
              </w:rPr>
            </w:pPr>
            <w:r>
              <w:rPr>
                <w:rFonts w:ascii="Arial" w:hAnsi="Arial" w:cs="Arial"/>
                <w:sz w:val="20"/>
                <w:szCs w:val="20"/>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Follow-up status – details (cross-organ)</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Describe how follow-up data is collected.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framePr w:w="0" w:h="0" w:hRule="auto" w:vSpace="0" w:hSpace="0" w:wrap="auto" w:hAnchor="text" w:x="0" w:xAlign="left" w:yAlign="inline" w:anchorLock="0"/>
              <w:numPr>
                <w:ilvl w:val="0"/>
                <w:numId w:val="132"/>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framePr w:w="0" w:h="0" w:hRule="auto" w:vSpace="0" w:hSpace="0" w:wrap="auto" w:hAnchor="text" w:x="0" w:xAlign="left" w:yAlign="inline" w:anchorLock="0"/>
              <w:numPr>
                <w:ilvl w:val="0"/>
                <w:numId w:val="132"/>
              </w:numPr>
              <w:spacing w:before="0" w:after="19"/>
              <w:ind w:hanging="283" w:left="283" w:right="0"/>
              <w:rPr>
                <w:rFonts w:ascii="Arial" w:hAnsi="Arial" w:cs="Arial"/>
                <w:sz w:val="20"/>
                <w:szCs w:val="20"/>
              </w:rPr>
            </w:pPr>
            <w:r>
              <w:rPr>
                <w:rFonts w:ascii="Arial" w:hAnsi="Arial" w:cs="Arial"/>
                <w:sz w:val="20"/>
                <w:szCs w:val="20"/>
              </w:rPr>
              <w:t>Second malignancies</w:t>
            </w:r>
          </w:p>
          <w:p>
            <w:pPr>
              <w:framePr w:w="0" w:h="0" w:hRule="auto" w:vSpace="0" w:hSpace="0" w:wrap="auto" w:hAnchor="text" w:x="0" w:xAlign="left" w:yAlign="inline" w:anchorLock="0"/>
              <w:numPr>
                <w:ilvl w:val="0"/>
                <w:numId w:val="132"/>
              </w:numPr>
              <w:spacing w:before="0" w:after="19"/>
              <w:ind w:hanging="283" w:left="283" w:right="0"/>
              <w:rPr>
                <w:rFonts w:ascii="Arial" w:hAnsi="Arial" w:cs="Arial"/>
                <w:sz w:val="20"/>
                <w:szCs w:val="20"/>
              </w:rPr>
            </w:pPr>
            <w:r>
              <w:rPr>
                <w:rFonts w:ascii="Arial" w:hAnsi="Arial" w:cs="Arial"/>
                <w:sz w:val="20"/>
                <w:szCs w:val="20"/>
              </w:rPr>
              <w:t>Deaths</w:t>
            </w:r>
          </w:p>
          <w:p>
            <w:pPr>
              <w:framePr w:w="0" w:h="0" w:hRule="auto" w:vSpace="0" w:hSpace="0" w:wrap="auto" w:hAnchor="text" w:x="0" w:xAlign="left" w:yAlign="inline" w:anchorLock="0"/>
              <w:numPr>
                <w:ilvl w:val="0"/>
                <w:numId w:val="132"/>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10.6.2</w:t>
            </w:r>
          </w:p>
        </w:tc>
        <w:tc>
          <w:tcPr>
            <w:tcW w:w="1" w:type="dxa"/>
          </w:tcPr>
          <w:p>
            <w:pPr>
              <w:spacing w:before="0" w:after="19"/>
              <w:rPr>
                <w:rFonts w:ascii="Arial" w:hAnsi="Arial" w:cs="Arial"/>
                <w:sz w:val="20"/>
                <w:szCs w:val="20"/>
                <w:lang w:val="ro-RO" w:bidi="ar-SA"/>
              </w:rPr>
            </w:pPr>
            <w:r>
              <w:rPr>
                <w:rFonts w:ascii="Arial" w:hAnsi="Arial" w:cs="Arial"/>
                <w:sz w:val="20"/>
                <w:szCs w:val="20"/>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10.6.3</w:t>
            </w:r>
          </w:p>
        </w:tc>
        <w:tc>
          <w:tcPr>
            <w:tcW w:w="1" w:type="dxa"/>
          </w:tcPr>
          <w:p>
            <w:pPr>
              <w:spacing w:before="0" w:after="19"/>
              <w:rPr>
                <w:rFonts w:ascii="Arial" w:hAnsi="Arial" w:cs="Arial"/>
                <w:sz w:val="20"/>
                <w:szCs w:val="20"/>
                <w:lang w:val="ro-RO" w:bidi="ar-SA"/>
              </w:rPr>
            </w:pPr>
            <w:r>
              <w:rPr>
                <w:rFonts w:ascii="Arial" w:hAnsi="Arial" w:cs="Arial"/>
                <w:sz w:val="20"/>
                <w:szCs w:val="20"/>
              </w:rPr>
              <w:t>If the outcome quality is displayed via OncoBox 2.0, the type and scope of follow-up/quality of results is defined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10.6.4</w:t>
            </w:r>
          </w:p>
        </w:tc>
        <w:tc>
          <w:tcPr>
            <w:tcW w:w="1" w:type="dxa"/>
          </w:tcPr>
          <w:p>
            <w:pPr>
              <w:spacing w:before="0" w:after="19"/>
              <w:rPr>
                <w:rFonts w:ascii="Arial" w:hAnsi="Arial" w:cs="Arial"/>
                <w:sz w:val="20"/>
                <w:szCs w:val="20"/>
                <w:lang w:val="ro-RO" w:bidi="ar-SA"/>
              </w:rPr>
            </w:pPr>
            <w:r>
              <w:rPr>
                <w:rFonts w:ascii="Arial" w:hAnsi="Arial" w:cs="Arial"/>
                <w:sz w:val="20"/>
                <w:szCs w:val="20"/>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Processing note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Chapter 10 is identical in all survey forms.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information in Chapter 10.7 only needs to be provided if the corresponding certified centre/module is available.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Matrix of outcome quality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 matrix of outcome quality (part of the Data Sheet) exists for the following tumour entities: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breast, colon, skin, lung, pancreas and prostate.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Outcome quality for breast cancer</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10.7.2.b</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Outcome quality for skin cancer</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collection of survival data is optional. Missing Kaplan-Meier curves should not lead to a deviation of the centre.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The tumour documentation/matrix </w:t>
            </w:r>
            <w:r>
              <w:rPr>
                <w:rFonts w:ascii="Arial" w:hAnsi="Arial" w:cs="Arial"/>
                <w:b w:val="1"/>
                <w:sz w:val="20"/>
                <w:szCs w:val="20"/>
              </w:rPr>
              <w:t>must be</w:t>
            </w:r>
            <w:r>
              <w:rPr>
                <w:rFonts w:ascii="Arial" w:hAnsi="Arial" w:cs="Arial"/>
                <w:sz w:val="20"/>
                <w:szCs w:val="20"/>
              </w:rPr>
              <w:t> for malignant melanoma stages I to IV according to TNM 8th edition (primary cases; no stage shifts), and additionally for rare tumours (cutaneous lymphomas from stage IIb, angiosarcoma, Merkel cell carcinoma, DFSP).</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Kaplan-Meier curves for malignant melanoma only</w:t>
            </w:r>
          </w:p>
          <w:p>
            <w:pPr>
              <w:framePr w:w="0" w:h="0" w:hRule="auto" w:vSpace="0" w:hSpace="0" w:wrap="auto" w:hAnchor="text" w:x="0" w:xAlign="left" w:yAlign="inline" w:anchorLock="0"/>
              <w:numPr>
                <w:ilvl w:val="0"/>
                <w:numId w:val="133"/>
              </w:numPr>
              <w:spacing w:before="0" w:after="19"/>
              <w:ind w:hanging="283" w:left="283" w:right="0"/>
              <w:rPr>
                <w:rFonts w:ascii="Arial" w:hAnsi="Arial" w:cs="Arial"/>
                <w:sz w:val="20"/>
                <w:szCs w:val="20"/>
              </w:rPr>
            </w:pPr>
            <w:r>
              <w:rPr>
                <w:rFonts w:ascii="Arial" w:hAnsi="Arial" w:cs="Arial"/>
                <w:sz w:val="20"/>
                <w:szCs w:val="20"/>
              </w:rPr>
              <w:t>Overall survival (OAS) and progression-free survival (PFS)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10.7.2.c</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prostate cancer</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eastAsia="Arial"/>
                <w:color w:val="1A2020"/>
                <w:sz w:val="20"/>
                <w:szCs w:val="20"/>
                <w:shd w:val="clear" w:color="auto" w:fill="FFFFFF"/>
              </w:rPr>
              <w:t>1. Recurrence-free survival by stage (Kaplan-Meier curves)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Definition of biochemical recurrence: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 After radical prostatectomy, a PSA value of &gt; 0.2 ng/ml confirmed in at least two measurements (interval of 2 weeks)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eastAsia="Arial"/>
                <w:color w:val="1A2020"/>
                <w:sz w:val="20"/>
                <w:szCs w:val="20"/>
                <w:shd w:val="clear" w:color="auto" w:fill="FFFFFF"/>
              </w:rPr>
              <w:t>b. After radiotherapy alone, a PSA increase of &gt; 2 ng/ml above the post-interventional PSA nadir confirmed in at least two measurements (2-3 months apart).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eastAsia="Arial"/>
                <w:color w:val="1A2020"/>
                <w:sz w:val="20"/>
                <w:szCs w:val="20"/>
                <w:shd w:val="clear" w:color="auto" w:fill="FFFFFF"/>
              </w:rPr>
              <w:t>2. Overall survival by pT categories, stage (Kaplan-Meier curves)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eastAsia="Arial"/>
                <w:color w:val="1A2020"/>
                <w:sz w:val="20"/>
                <w:szCs w:val="20"/>
                <w:shd w:val="clear" w:color="auto" w:fill="FFFFFF"/>
              </w:rPr>
              <w:t>3. Patient questionnaire EPIC-26 including additional questions; must be available at the time of initial certification.</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10.8</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Parameter outcome quality / Kaplan-Meier curve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If Kaplan-Meier curves can be generated from OncoBox or TDS, they must be created and evaluated annually.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Each Kaplan-Meier curve must also include a table with patient numbers and survival data.</w:t>
            </w:r>
          </w:p>
          <w:p>
            <w:pPr>
              <w:framePr w:w="0" w:h="0" w:hRule="auto" w:vSpace="0" w:hSpace="0" w:wrap="auto" w:hAnchor="text" w:x="0" w:xAlign="left" w:yAlign="inline" w:anchorLock="0"/>
              <w:numPr>
                <w:ilvl w:val="0"/>
                <w:numId w:val="134"/>
              </w:numPr>
              <w:spacing w:before="0" w:after="19"/>
              <w:ind w:hanging="283" w:left="283" w:right="0"/>
              <w:rPr>
                <w:rFonts w:ascii="Arial" w:hAnsi="Arial" w:cs="Arial"/>
                <w:sz w:val="20"/>
                <w:szCs w:val="20"/>
              </w:rPr>
            </w:pPr>
            <w:r>
              <w:rPr>
                <w:rFonts w:ascii="Arial" w:hAnsi="Arial" w:cs="Arial"/>
                <w:sz w:val="20"/>
                <w:szCs w:val="20"/>
              </w:rPr>
              <w:t>Disease-free survival (DFS); valid for PZ</w:t>
            </w:r>
          </w:p>
          <w:p>
            <w:pPr>
              <w:framePr w:w="0" w:h="0" w:hRule="auto" w:vSpace="0" w:hSpace="0" w:wrap="auto" w:hAnchor="text" w:x="0" w:xAlign="left" w:yAlign="inline" w:anchorLock="0"/>
              <w:numPr>
                <w:ilvl w:val="0"/>
                <w:numId w:val="134"/>
              </w:numPr>
              <w:spacing w:before="0" w:after="19"/>
              <w:ind w:hanging="283" w:left="283" w:right="0"/>
              <w:rPr>
                <w:rFonts w:ascii="Arial" w:hAnsi="Arial" w:cs="Arial"/>
                <w:sz w:val="20"/>
                <w:szCs w:val="20"/>
              </w:rPr>
            </w:pPr>
            <w:r>
              <w:rPr>
                <w:rFonts w:ascii="Arial" w:hAnsi="Arial" w:cs="Arial"/>
                <w:sz w:val="20"/>
                <w:szCs w:val="20"/>
              </w:rPr>
              <w:t>Local recurrence rate (LRR); valid for BZ, DZ, MP</w:t>
            </w:r>
          </w:p>
          <w:p>
            <w:pPr>
              <w:framePr w:w="0" w:h="0" w:hRule="auto" w:vSpace="0" w:hSpace="0" w:wrap="auto" w:hAnchor="text" w:x="0" w:xAlign="left" w:yAlign="inline" w:anchorLock="0"/>
              <w:numPr>
                <w:ilvl w:val="0"/>
                <w:numId w:val="134"/>
              </w:numPr>
              <w:spacing w:before="0" w:after="19"/>
              <w:ind w:hanging="283" w:left="283" w:right="0"/>
              <w:rPr>
                <w:rFonts w:ascii="Arial" w:hAnsi="Arial" w:cs="Arial"/>
                <w:sz w:val="20"/>
                <w:szCs w:val="20"/>
              </w:rPr>
            </w:pPr>
            <w:r>
              <w:rPr>
                <w:rFonts w:ascii="Arial" w:hAnsi="Arial" w:cs="Arial"/>
                <w:sz w:val="20"/>
                <w:szCs w:val="20"/>
              </w:rPr>
              <w:t>Local recurrence-free survival (LRFS); valid for LZ, MN, MB, MH, OZ</w:t>
            </w:r>
          </w:p>
          <w:p>
            <w:pPr>
              <w:framePr w:w="0" w:h="0" w:hRule="auto" w:vSpace="0" w:hSpace="0" w:wrap="auto" w:hAnchor="text" w:x="0" w:xAlign="left" w:yAlign="inline" w:anchorLock="0"/>
              <w:numPr>
                <w:ilvl w:val="0"/>
                <w:numId w:val="134"/>
              </w:numPr>
              <w:spacing w:before="0" w:after="19"/>
              <w:ind w:hanging="283" w:left="283" w:right="0"/>
              <w:rPr>
                <w:rFonts w:ascii="Arial" w:hAnsi="Arial" w:cs="Arial"/>
                <w:sz w:val="20"/>
                <w:szCs w:val="20"/>
              </w:rPr>
            </w:pPr>
            <w:r>
              <w:rPr>
                <w:rFonts w:ascii="Arial" w:hAnsi="Arial" w:cs="Arial"/>
                <w:sz w:val="20"/>
                <w:szCs w:val="20"/>
              </w:rPr>
              <w:t>Metastasis-free survival (MFS); valid for BZ, DZ, MP, OZ</w:t>
            </w:r>
          </w:p>
          <w:p>
            <w:pPr>
              <w:framePr w:w="0" w:h="0" w:hRule="auto" w:vSpace="0" w:hSpace="0" w:wrap="auto" w:hAnchor="text" w:x="0" w:xAlign="left" w:yAlign="inline" w:anchorLock="0"/>
              <w:numPr>
                <w:ilvl w:val="0"/>
                <w:numId w:val="134"/>
              </w:numPr>
              <w:spacing w:before="0" w:after="19"/>
              <w:ind w:hanging="283" w:left="283" w:right="0"/>
              <w:rPr>
                <w:rFonts w:ascii="Arial" w:hAnsi="Arial" w:cs="Arial"/>
                <w:sz w:val="20"/>
                <w:szCs w:val="20"/>
              </w:rPr>
            </w:pPr>
            <w:r>
              <w:rPr>
                <w:rFonts w:ascii="Arial" w:hAnsi="Arial" w:cs="Arial"/>
                <w:sz w:val="20"/>
                <w:szCs w:val="20"/>
              </w:rPr>
              <w:t>Progression-free time/survival (PFS);</w:t>
            </w:r>
          </w:p>
          <w:p>
            <w:pPr>
              <w:framePr w:w="0" w:h="0" w:hRule="auto" w:vSpace="0" w:hSpace="0" w:wrap="auto" w:hAnchor="text" w:x="0" w:xAlign="left" w:yAlign="inline" w:anchorLock="0"/>
              <w:numPr>
                <w:ilvl w:val="0"/>
                <w:numId w:val="134"/>
              </w:numPr>
              <w:spacing w:before="0" w:after="19"/>
              <w:ind w:hanging="283" w:left="283" w:right="0"/>
              <w:rPr>
                <w:rFonts w:ascii="Arial" w:hAnsi="Arial" w:cs="Arial"/>
                <w:sz w:val="20"/>
                <w:szCs w:val="20"/>
              </w:rPr>
            </w:pPr>
            <w:r>
              <w:rPr>
                <w:rFonts w:ascii="Arial" w:hAnsi="Arial" w:cs="Arial"/>
                <w:sz w:val="20"/>
                <w:szCs w:val="20"/>
              </w:rPr>
              <w:t>valid for GZ, HAEZ, HZ</w:t>
            </w:r>
          </w:p>
          <w:p>
            <w:pPr>
              <w:framePr w:w="0" w:h="0" w:hRule="auto" w:vSpace="0" w:hSpace="0" w:wrap="auto" w:hAnchor="text" w:x="0" w:xAlign="left" w:yAlign="inline" w:anchorLock="0"/>
              <w:numPr>
                <w:ilvl w:val="0"/>
                <w:numId w:val="134"/>
              </w:numPr>
              <w:spacing w:before="0" w:after="19"/>
              <w:ind w:hanging="283" w:left="283" w:right="0"/>
              <w:rPr>
                <w:rFonts w:ascii="Arial" w:hAnsi="Arial" w:cs="Arial"/>
                <w:sz w:val="20"/>
                <w:szCs w:val="20"/>
              </w:rPr>
            </w:pPr>
            <w:r>
              <w:rPr>
                <w:rFonts w:ascii="Arial" w:hAnsi="Arial" w:cs="Arial"/>
                <w:sz w:val="20"/>
                <w:szCs w:val="20"/>
              </w:rPr>
              <w:t>Progression-free survival (PFS) or disease-free survival (DFS); valid for BZ, DZ, MP</w:t>
            </w:r>
          </w:p>
          <w:p>
            <w:pPr>
              <w:framePr w:w="0" w:h="0" w:hRule="auto" w:vSpace="0" w:hSpace="0" w:wrap="auto" w:hAnchor="text" w:x="0" w:xAlign="left" w:yAlign="inline" w:anchorLock="0"/>
              <w:numPr>
                <w:ilvl w:val="0"/>
                <w:numId w:val="134"/>
              </w:numPr>
              <w:spacing w:before="0" w:after="19"/>
              <w:ind w:hanging="283" w:left="283" w:right="0"/>
              <w:rPr>
                <w:rFonts w:ascii="Arial" w:hAnsi="Arial" w:cs="Arial"/>
                <w:sz w:val="20"/>
                <w:szCs w:val="20"/>
              </w:rPr>
            </w:pPr>
            <w:r>
              <w:rPr>
                <w:rFonts w:ascii="Arial" w:hAnsi="Arial" w:cs="Arial"/>
                <w:sz w:val="20"/>
                <w:szCs w:val="20"/>
              </w:rPr>
              <w:t>Survival from progression (PPS); valid for BZ, LZ, DZ, MP, HAEZ, MN, MB, MH</w:t>
            </w:r>
          </w:p>
          <w:p>
            <w:pPr>
              <w:framePr w:w="0" w:h="0" w:hRule="auto" w:vSpace="0" w:hSpace="0" w:wrap="auto" w:hAnchor="text" w:x="0" w:xAlign="left" w:yAlign="inline" w:anchorLock="0"/>
              <w:numPr>
                <w:ilvl w:val="0"/>
                <w:numId w:val="134"/>
              </w:numPr>
              <w:spacing w:before="0" w:after="19"/>
              <w:ind w:hanging="283" w:left="283" w:right="0"/>
              <w:rPr>
                <w:rFonts w:ascii="Arial" w:hAnsi="Arial" w:cs="Arial"/>
                <w:sz w:val="20"/>
                <w:szCs w:val="20"/>
              </w:rPr>
            </w:pPr>
            <w:r>
              <w:rPr>
                <w:rFonts w:ascii="Arial" w:hAnsi="Arial" w:cs="Arial"/>
                <w:sz w:val="20"/>
                <w:szCs w:val="20"/>
              </w:rPr>
              <w:t>Overall survival (OAS)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framePr w:w="0" w:h="0" w:hRule="auto" w:vSpace="0" w:hSpace="0" w:wrap="auto" w:hAnchor="text" w:x="0" w:xAlign="left" w:yAlign="inline" w:anchorLock="0"/>
              <w:numPr>
                <w:ilvl w:val="0"/>
                <w:numId w:val="135"/>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framePr w:w="0" w:h="0" w:hRule="auto" w:vSpace="0" w:hSpace="0" w:wrap="auto" w:hAnchor="text" w:x="0" w:xAlign="left" w:yAlign="inline" w:anchorLock="0"/>
              <w:numPr>
                <w:ilvl w:val="0"/>
                <w:numId w:val="135"/>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framePr w:w="0" w:h="0" w:hRule="auto" w:vSpace="0" w:hSpace="0" w:wrap="auto" w:hAnchor="text" w:x="0" w:xAlign="left" w:yAlign="inline" w:anchorLock="0"/>
              <w:numPr>
                <w:ilvl w:val="0"/>
                <w:numId w:val="135"/>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framePr w:w="0" w:h="0" w:hRule="auto" w:vSpace="0" w:hSpace="0" w:wrap="auto" w:hAnchor="text" w:x="0" w:xAlign="left" w:yAlign="inline" w:anchorLock="0"/>
              <w:numPr>
                <w:ilvl w:val="0"/>
                <w:numId w:val="135"/>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framePr w:w="0" w:h="0" w:hRule="auto" w:vSpace="0" w:hSpace="0" w:wrap="auto" w:hAnchor="text" w:x="0" w:xAlign="left" w:yAlign="inline" w:anchorLock="0"/>
              <w:numPr>
                <w:ilvl w:val="0"/>
                <w:numId w:val="135"/>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process of data exchange between the §65c Cancer Registry and the centre must be described.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10.9.2</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If available, the procedure or IT tool (e.g. OncoBox Compare) used to compare patient cohorts should be specified.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10.9.3.a</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Follow-up rate for colon, pancreas and prostate cancer</w:t>
            </w:r>
          </w:p>
          <w:p>
            <w:pPr>
              <w:framePr w:w="0" w:h="0" w:hRule="auto" w:vSpace="0" w:hSpace="0" w:wrap="auto" w:hAnchor="text" w:x="0" w:xAlign="left" w:yAlign="inline" w:anchorLock="0"/>
              <w:numPr>
                <w:ilvl w:val="0"/>
                <w:numId w:val="136"/>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framePr w:w="0" w:h="0" w:hRule="auto" w:vSpace="0" w:hSpace="0" w:wrap="auto" w:hAnchor="text" w:x="0" w:xAlign="left" w:yAlign="inline" w:anchorLock="0"/>
              <w:numPr>
                <w:ilvl w:val="0"/>
                <w:numId w:val="136"/>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136"/>
              </w:numPr>
              <w:spacing w:before="0" w:after="19"/>
              <w:ind w:hanging="283" w:left="283"/>
              <w:rPr>
                <w:rFonts w:ascii="Arial" w:hAnsi="Arial" w:cs="Arial"/>
                <w:sz w:val="20"/>
                <w:szCs w:val="20"/>
                <w:lang w:val="ro-RO" w:bidi="ar-SA"/>
              </w:rPr>
            </w:pPr>
            <w:r>
              <w:rPr>
                <w:rFonts w:ascii="Arial" w:hAnsi="Arial" w:cs="Arial"/>
                <w:sz w:val="20"/>
                <w:szCs w:val="20"/>
              </w:rPr>
              <w:t>&lt; 60% – recertification or maintenance of certification not possible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10.9.3.b</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Follow-up rate for lung cancer</w:t>
            </w:r>
          </w:p>
          <w:p>
            <w:pPr>
              <w:framePr w:w="0" w:h="0" w:hRule="auto" w:vSpace="0" w:hSpace="0" w:wrap="auto" w:hAnchor="text" w:x="0" w:xAlign="left" w:yAlign="inline" w:anchorLock="0"/>
              <w:numPr>
                <w:ilvl w:val="0"/>
                <w:numId w:val="137"/>
              </w:numPr>
              <w:spacing w:before="0" w:after="19"/>
              <w:ind w:hanging="283" w:left="283" w:right="0"/>
              <w:rPr>
                <w:rFonts w:ascii="Arial" w:hAnsi="Arial" w:cs="Arial"/>
                <w:sz w:val="20"/>
                <w:szCs w:val="20"/>
              </w:rPr>
            </w:pPr>
            <w:r>
              <w:rPr>
                <w:rFonts w:ascii="Arial" w:hAnsi="Arial" w:cs="Arial"/>
                <w:sz w:val="20"/>
                <w:szCs w:val="20"/>
              </w:rPr>
              <w:t>Minimum requirement for successful recertification: ≥ 80%</w:t>
            </w:r>
          </w:p>
          <w:p>
            <w:pPr>
              <w:numPr>
                <w:ilvl w:val="0"/>
                <w:numId w:val="137"/>
              </w:numPr>
              <w:spacing w:before="0" w:after="19"/>
              <w:ind w:hanging="283" w:left="283"/>
              <w:rPr>
                <w:rFonts w:ascii="Arial" w:hAnsi="Arial" w:cs="Arial"/>
                <w:sz w:val="20"/>
                <w:szCs w:val="20"/>
                <w:lang w:val="ro-RO" w:bidi="ar-SA"/>
              </w:rPr>
            </w:pPr>
            <w:r>
              <w:rPr>
                <w:rFonts w:ascii="Arial" w:hAnsi="Arial" w:cs="Arial"/>
                <w:sz w:val="20"/>
                <w:szCs w:val="20"/>
              </w:rPr>
              <w:t>Recertification or maintenance of certification only possible with conditions (e.g. reduced period of validity, concept for increasing the response rate, etc.): up to 79%</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10.9.3.c</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Follow-up rate for bladder cancer</w:t>
            </w:r>
          </w:p>
          <w:p>
            <w:pPr>
              <w:spacing w:before="0" w:after="19"/>
              <w:rPr>
                <w:rFonts w:ascii="Arial" w:hAnsi="Arial" w:cs="Arial"/>
                <w:sz w:val="20"/>
                <w:szCs w:val="20"/>
                <w:lang w:val="ro-RO" w:bidi="ar-SA"/>
              </w:rPr>
            </w:pPr>
            <w:r>
              <w:rPr>
                <w:rFonts w:ascii="Arial" w:hAnsi="Arial" w:cs="Arial"/>
                <w:sz w:val="20"/>
                <w:szCs w:val="20"/>
              </w:rPr>
              <w:t>No follow-up data is to be collected for stage 0 a/is (Ta/Tis-N0-M0).</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10.9.3.d</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Recording Follow-up </w:t>
            </w:r>
            <w:r>
              <w:rPr>
                <w:rFonts w:ascii="Arial" w:hAnsi="Arial" w:cs="Arial" w:eastAsia="Arial"/>
                <w:color w:val="1A2020"/>
                <w:sz w:val="20"/>
                <w:szCs w:val="20"/>
                <w:shd w:val="clear" w:color="auto" w:fill="FFFFFF"/>
              </w:rPr>
              <w:t>HBOC (Hereditary Breast and Ovarian Cancer) </w:t>
            </w:r>
          </w:p>
          <w:p>
            <w:pPr>
              <w:framePr w:w="0" w:h="0" w:hRule="auto" w:vSpace="0" w:hSpace="0" w:wrap="auto" w:hAnchor="text" w:x="0" w:xAlign="left" w:yAlign="inline" w:anchorLock="0"/>
              <w:numPr>
                <w:ilvl w:val="0"/>
                <w:numId w:val="138"/>
              </w:numPr>
              <w:spacing w:before="0" w:after="19"/>
              <w:ind w:hanging="283" w:left="283" w:right="0"/>
              <w:rPr>
                <w:rFonts w:ascii="Arial" w:hAnsi="Arial" w:cs="Arial"/>
                <w:sz w:val="20"/>
                <w:szCs w:val="20"/>
              </w:rPr>
            </w:pPr>
            <w:r>
              <w:rPr>
                <w:rFonts w:ascii="Arial" w:hAnsi="Arial" w:cs="Arial"/>
                <w:sz w:val="20"/>
                <w:szCs w:val="20"/>
              </w:rPr>
              <w:t>High-risk patients requiring intensive follow-up care in accordance with SOP</w:t>
            </w:r>
          </w:p>
          <w:p>
            <w:pPr>
              <w:framePr w:w="0" w:h="0" w:hRule="auto" w:vSpace="0" w:hSpace="0" w:wrap="auto" w:hAnchor="text" w:x="0" w:xAlign="left" w:yAlign="inline" w:anchorLock="0"/>
              <w:numPr>
                <w:ilvl w:val="0"/>
                <w:numId w:val="138"/>
              </w:numPr>
              <w:spacing w:before="0" w:after="19"/>
              <w:ind w:hanging="283" w:left="283" w:right="0"/>
              <w:rPr>
                <w:rFonts w:ascii="Arial" w:hAnsi="Arial" w:cs="Arial"/>
                <w:sz w:val="20"/>
                <w:szCs w:val="20"/>
              </w:rPr>
            </w:pPr>
            <w:r>
              <w:rPr>
                <w:rFonts w:ascii="Arial" w:hAnsi="Arial" w:cs="Arial"/>
                <w:sz w:val="20"/>
                <w:szCs w:val="20"/>
              </w:rPr>
              <w:t>Those seeking advice who are at high risk requiring intensive early detection in accordance with SOP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A</w:t>
        <w:tab/>
        <w:t xml:space="preserve"> Requirements for top oncology centres</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framePr w:w="0" w:h="0" w:hRule="auto" w:vSpace="0" w:hSpace="0" w:wrap="auto" w:hAnchor="text" w:x="0" w:xAlign="left" w:yAlign="inline" w:anchorLock="0"/>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The Technical and Medical Requirements to be met by the Comprehensive Cancer Centres are summed up in the document “Application Guidelines Oncology Centres of Excellence”. The latest version is available for download at </w:t>
            </w:r>
            <w:hyperlink xmlns:r="http://schemas.openxmlformats.org/officeDocument/2006/relationships" r:id="RF" w:tgtFrame="_blank">
              <w:r>
                <w:rPr>
                  <w:rFonts w:ascii="Arial" w:hAnsi="Arial" w:cs="Arial"/>
                  <w:color w:val="0000FF"/>
                  <w:sz w:val="20"/>
                  <w:szCs w:val="20"/>
                  <w:u w:val="single"/>
                </w:rPr>
                <w:t>https://www.krebshilfe.de/forschen/foerderung/ausschreibungen/</w:t>
              </w:r>
            </w:hyperlink>
            <w:r>
              <w:rPr>
                <w:rFonts w:ascii="Arial" w:hAnsi="Arial" w:cs="Arial"/>
                <w:sz w:val="20"/>
                <w:szCs w:val="20"/>
              </w:rPr>
              <w:t>.</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A1</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Internationally competitive and innovative research programmes, most importantly in the area of translational cancer research (‘bench to bedside’). This must include major solid tumours. The number and quality of ongoing peer-reviewed research projects are important. Active participation in local, national or international collaborative research consortia is expected.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What measures have been taken to promote the development of scientific excellence and to integrate (translational) research into the different multidisciplinary groups responsible for health care?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A2</w:t>
            </w:r>
          </w:p>
        </w:tc>
        <w:tc>
          <w:tcPr>
            <w:tcW w:w="1" w:type="dxa"/>
          </w:tcPr>
          <w:p>
            <w:pPr>
              <w:framePr w:w="0" w:h="0" w:hRule="auto" w:vSpace="0" w:hSpace="0" w:wrap="auto" w:hAnchor="text" w:x="0" w:xAlign="left" w:yAlign="inline" w:anchorLock="0"/>
              <w:numPr>
                <w:ilvl w:val="0"/>
                <w:numId w:val="139"/>
              </w:numPr>
              <w:spacing w:before="0" w:after="19"/>
              <w:ind w:hanging="283" w:left="283" w:right="0"/>
              <w:rPr>
                <w:rFonts w:ascii="Arial" w:hAnsi="Arial" w:cs="Arial"/>
                <w:sz w:val="20"/>
                <w:szCs w:val="20"/>
              </w:rPr>
            </w:pPr>
            <w:r>
              <w:rPr>
                <w:rFonts w:ascii="Arial" w:hAnsi="Arial" w:cs="Arial"/>
                <w:sz w:val="20"/>
                <w:szCs w:val="20"/>
              </w:rPr>
              <w:t>What are the most important research pro-grammes/main foci in your Centre? Describe these programmes paying special attention to translational research aspects as well as the integration of both clinicians and scientists engaged in basic research.</w:t>
            </w:r>
          </w:p>
          <w:p>
            <w:pPr>
              <w:framePr w:w="0" w:h="0" w:hRule="auto" w:vSpace="0" w:hSpace="0" w:wrap="auto" w:hAnchor="text" w:x="0" w:xAlign="left" w:yAlign="inline" w:anchorLock="0"/>
              <w:numPr>
                <w:ilvl w:val="0"/>
                <w:numId w:val="139"/>
              </w:numPr>
              <w:spacing w:before="0" w:after="19"/>
              <w:ind w:hanging="283" w:left="283" w:right="0"/>
              <w:rPr>
                <w:rFonts w:ascii="Arial" w:hAnsi="Arial" w:cs="Arial"/>
                <w:sz w:val="20"/>
                <w:szCs w:val="20"/>
              </w:rPr>
            </w:pPr>
            <w:r>
              <w:rPr>
                <w:rFonts w:ascii="Arial" w:hAnsi="Arial" w:cs="Arial"/>
                <w:sz w:val="20"/>
                <w:szCs w:val="20"/>
              </w:rPr>
              <w:t>How do these programmes complement each other to reach the scientific goals/visions of your Centre?</w:t>
            </w:r>
          </w:p>
          <w:p>
            <w:pPr>
              <w:framePr w:w="0" w:h="0" w:hRule="auto" w:vSpace="0" w:hSpace="0" w:wrap="auto" w:hAnchor="text" w:x="0" w:xAlign="left" w:yAlign="inline" w:anchorLock="0"/>
              <w:numPr>
                <w:ilvl w:val="0"/>
                <w:numId w:val="139"/>
              </w:numPr>
              <w:spacing w:before="0" w:after="19"/>
              <w:ind w:hanging="283" w:left="283" w:right="0"/>
              <w:rPr>
                <w:rFonts w:ascii="Arial" w:hAnsi="Arial" w:cs="Arial"/>
                <w:sz w:val="20"/>
                <w:szCs w:val="20"/>
              </w:rPr>
            </w:pPr>
            <w:r>
              <w:rPr>
                <w:rFonts w:ascii="Arial" w:hAnsi="Arial" w:cs="Arial"/>
                <w:sz w:val="20"/>
                <w:szCs w:val="20"/>
              </w:rPr>
              <w:t>How do the different cancer-related scientific themes of the parent institution fit together with those of the Centre? How do they complement each other?</w:t>
            </w:r>
          </w:p>
          <w:p>
            <w:pPr>
              <w:framePr w:w="0" w:h="0" w:hRule="auto" w:vSpace="0" w:hSpace="0" w:wrap="auto" w:hAnchor="text" w:x="0" w:xAlign="left" w:yAlign="inline" w:anchorLock="0"/>
              <w:numPr>
                <w:ilvl w:val="0"/>
                <w:numId w:val="139"/>
              </w:numPr>
              <w:spacing w:before="0" w:after="19"/>
              <w:ind w:hanging="283" w:left="283" w:right="0"/>
              <w:rPr>
                <w:rFonts w:ascii="Arial" w:hAnsi="Arial" w:cs="Arial"/>
                <w:sz w:val="20"/>
                <w:szCs w:val="20"/>
              </w:rPr>
            </w:pPr>
            <w:r>
              <w:rPr>
                <w:rFonts w:ascii="Arial" w:hAnsi="Arial" w:cs="Arial"/>
                <w:sz w:val="20"/>
                <w:szCs w:val="20"/>
              </w:rPr>
              <w:t>How does the Centre contribute to practice-changing developments which lead to more effective cancer prevention, diagnosis and treatment?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In case of a CCC Consortium, please specify the above points for each partner site. Also, list the measures to establish joint research programs and strategies.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A3</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Mandatory development and conduct of innovative clinical trials, including investigator initiated trials. The trials must include a reasonable portfolio of the most important cancer entities. The proportion of patients in trials must be close to 90% for paediatric neoplasms, 50% for haematolymphoid and 10% for solid tumours.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Availability of a specialised, centrally coordinated clinical trials office for oncology. The office must be involved in the design and management of the clinical trials. Existence of a central early clinical trials unit where all Phase-I/II cancer trials are conducted.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A4</w:t>
            </w:r>
          </w:p>
        </w:tc>
        <w:tc>
          <w:tcPr>
            <w:tcW w:w="1" w:type="dxa"/>
          </w:tcPr>
          <w:p>
            <w:pPr>
              <w:spacing w:before="0" w:after="19"/>
              <w:rPr>
                <w:rFonts w:ascii="Arial" w:hAnsi="Arial" w:cs="Arial"/>
                <w:sz w:val="20"/>
                <w:szCs w:val="20"/>
                <w:lang w:val="ro-RO" w:bidi="ar-SA"/>
              </w:rPr>
            </w:pPr>
            <w:r>
              <w:rPr>
                <w:rFonts w:ascii="Arial" w:hAnsi="Arial" w:cs="Arial"/>
                <w:sz w:val="20"/>
                <w:szCs w:val="20"/>
              </w:rPr>
              <w:t>Programmes in outcomes research, including tumour epidemiology, and the identification of cancer risks and predictive factors.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A5</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A comprehensive and centralised tumour bank and biobank with defined quality and documentation standards is expected.</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Give a summary of the Oncology Centre’s tumour bank/biobank(s) with special consideration of the Centre’s policies for the operation of the biobank and for the use of tumour tissues (project management, standard operating procedures, quality control, connection to clinical documentation system). Are the complete clinical data of each patient accessible? Describe the development of the biobank in recent years with specific reference to the biobank-IT/laboratory information management system (LIMS) and quality management. Include a description of your activities in the field of liquid biobanking. Please comment on the size of the tumor-/biobank (current number of patients whose fresh frozen tissue specimens, formalin-fixed paraffin-embedded (FFPE) specimens, liquid and living (organoid) samples are stored in the biobank). Describe whether and how the paraffin blocks archive of the Pathology Institute is accessible for projects of the biobank. Describe the degree of centralization/harmonization of the tumor-/biobank(s). Describe your concept of performance measurement of the biobank.</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In case of a CCC consortium please describe the interconnection of the biobanks between the individual CCC partner sites, particularly by means of IT technology. Also describe how accessibility of samples between the partner sites is guaranteed.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xml:space="preserve">Please address the criteria defined in the list of requirements for CCC biobanks (Enclosure 2 in </w:t>
            </w:r>
          </w:p>
          <w:p>
            <w:pPr>
              <w:framePr w:w="0" w:h="0" w:hRule="auto" w:vSpace="0" w:hSpace="0" w:wrap="auto" w:hAnchor="text" w:x="0" w:xAlign="left" w:yAlign="inline" w:anchorLock="0"/>
              <w:spacing w:before="0" w:after="19"/>
              <w:ind w:left="0" w:right="0"/>
              <w:rPr>
                <w:rFonts w:ascii="Arial" w:hAnsi="Arial" w:cs="Arial"/>
                <w:sz w:val="20"/>
                <w:szCs w:val="20"/>
              </w:rPr>
            </w:pPr>
            <w:hyperlink xmlns:r="http://schemas.openxmlformats.org/officeDocument/2006/relationships" r:id="R10" w:tgtFrame="_blank">
              <w:r>
                <w:rPr>
                  <w:rFonts w:ascii="Arial" w:hAnsi="Arial" w:cs="Arial"/>
                  <w:color w:val="0000FF"/>
                  <w:sz w:val="20"/>
                  <w:szCs w:val="20"/>
                  <w:u w:val="single"/>
                  <w:shd w:val="clear" w:color="auto" w:fill="00FF00"/>
                </w:rPr>
                <w:t>https://www.krebshilfe.de/fileadmin/Downloads/PDFs/Foerderung/CCCs_9th_Call/Ausschreibung_und_Leitfaden_9._Call_30.09.21.pdf</w:t>
              </w:r>
            </w:hyperlink>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Note:</w:t>
            </w:r>
          </w:p>
          <w:p>
            <w:pPr>
              <w:spacing w:before="0" w:after="19"/>
              <w:rPr>
                <w:rFonts w:ascii="Arial" w:hAnsi="Arial" w:cs="Arial"/>
                <w:sz w:val="20"/>
                <w:szCs w:val="20"/>
                <w:lang w:val="ro-RO" w:bidi="ar-SA"/>
              </w:rPr>
            </w:pPr>
            <w:r>
              <w:rPr>
                <w:rFonts w:ascii="Arial" w:hAnsi="Arial" w:cs="Arial"/>
                <w:sz w:val="20"/>
                <w:szCs w:val="20"/>
              </w:rPr>
              <w:t>Oncology Centres active in the field of translational research are also advised to set up or maintain quality-assured tumour banks and biobanks.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A6</w:t>
            </w:r>
          </w:p>
        </w:tc>
        <w:tc>
          <w:tcPr>
            <w:tcW w:w="1" w:type="dxa"/>
          </w:tcPr>
          <w:p>
            <w:pPr>
              <w:spacing w:before="0" w:after="19"/>
              <w:rPr>
                <w:rFonts w:ascii="Arial" w:hAnsi="Arial" w:cs="Arial"/>
                <w:sz w:val="20"/>
                <w:szCs w:val="20"/>
                <w:lang w:val="ro-RO" w:bidi="ar-SA"/>
              </w:rPr>
            </w:pPr>
            <w:r>
              <w:rPr>
                <w:rFonts w:ascii="Arial" w:hAnsi="Arial" w:cs="Arial"/>
                <w:sz w:val="20"/>
                <w:szCs w:val="20"/>
              </w:rPr>
              <w:t>Structures which promoteinterdisciplinary as well as translational research. Core facilities/ technology platforms and shared resources available to the center must be presented.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A7</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Metrics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Catchment area (map, number of inhabitants).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Number of all cancer patients treated in the Centre.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Number of newly diagnosed cancer patients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Number of patients enrolled in clinical trials</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List of specific clinical trials at the Centre (Investigator Initiated Trials (IIT) and Industry Trials) etc.</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In case of a CCC Consortium show the data for each CCC site as well as for the total consortium.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A8</w:t>
            </w:r>
          </w:p>
        </w:tc>
        <w:tc>
          <w:tcPr>
            <w:tcW w:w="1" w:type="dxa"/>
          </w:tcPr>
          <w:p>
            <w:pPr>
              <w:spacing w:before="0" w:after="19"/>
              <w:rPr>
                <w:rFonts w:ascii="Arial" w:hAnsi="Arial" w:cs="Arial"/>
                <w:sz w:val="20"/>
                <w:szCs w:val="20"/>
                <w:lang w:val="ro-RO" w:bidi="ar-SA"/>
              </w:rPr>
            </w:pPr>
            <w:r>
              <w:rPr>
                <w:rFonts w:ascii="Arial" w:hAnsi="Arial" w:cs="Arial"/>
                <w:sz w:val="20"/>
                <w:szCs w:val="20"/>
              </w:rPr>
              <w:t>Fields of specific competence of the Oncology Centre (e.g. rare tumour entities, specific diagnostic or therapeutic options).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A9</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Multidisciplinary care and research must be supported by an up-to-date and adequate in-formation technology.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Describe the information technology structure and systems operated at the Oncology Centre. Please give special consideration to the following points/issues:</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clinical information system</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electronic medical record for each patient</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local clinical cancer registry</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documentation of tumor board decisions</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electronic clinical pathways/care plans</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access to information about clinical trials/study management</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biobank IT system</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data warehouse</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user access (Who has access?)</w:t>
            </w:r>
          </w:p>
          <w:p>
            <w:pPr>
              <w:framePr w:w="0" w:h="0" w:hRule="auto" w:vSpace="0" w:hSpace="0" w:wrap="auto" w:hAnchor="text" w:x="0" w:xAlign="left" w:yAlign="inline" w:anchorLock="0"/>
              <w:numPr>
                <w:ilvl w:val="0"/>
                <w:numId w:val="140"/>
              </w:numPr>
              <w:spacing w:before="0" w:after="19"/>
              <w:ind w:hanging="283" w:left="283" w:right="0"/>
              <w:rPr>
                <w:rFonts w:ascii="Arial" w:hAnsi="Arial" w:cs="Arial"/>
                <w:sz w:val="20"/>
                <w:szCs w:val="20"/>
              </w:rPr>
            </w:pPr>
            <w:r>
              <w:rPr>
                <w:rFonts w:ascii="Arial" w:hAnsi="Arial" w:cs="Arial"/>
                <w:sz w:val="20"/>
                <w:szCs w:val="20"/>
              </w:rPr>
              <w:t>responsibilities/ support from IT-Department</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In case of a CCC Consortium, please describe how the individual partner sites are interconnected regarding their IT systems. How does your center ensure interoperability with national initiatives (e.g., NCT Program, DKTK, MII, nNGM, DNPM etc.)?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A10</w:t>
            </w:r>
          </w:p>
        </w:tc>
        <w:tc>
          <w:tcPr>
            <w:tcW w:w="1" w:type="dxa"/>
          </w:tcPr>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b w:val="1"/>
                <w:sz w:val="20"/>
                <w:szCs w:val="20"/>
                <w:shd w:val="clear" w:color="auto" w:fill="00FF00"/>
              </w:rPr>
              <w:t>Innovative Therapy Concepts/Precision Medicine</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Broad portfolio of innovative diagnostic and clinical therapy programs, including immunotherapy</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sz w:val="20"/>
                <w:szCs w:val="20"/>
              </w:rPr>
              <w:t> </w:t>
            </w:r>
          </w:p>
          <w:p>
            <w:pPr>
              <w:framePr w:w="0" w:h="0" w:hRule="auto" w:vSpace="0" w:hSpace="0" w:wrap="auto" w:hAnchor="text" w:x="0" w:xAlign="left" w:yAlign="inline" w:anchorLock="0"/>
              <w:spacing w:before="0" w:after="19"/>
              <w:ind w:left="0" w:right="0"/>
              <w:rPr>
                <w:rFonts w:ascii="Arial" w:hAnsi="Arial" w:cs="Arial"/>
                <w:sz w:val="20"/>
                <w:szCs w:val="20"/>
              </w:rPr>
            </w:pPr>
            <w:r>
              <w:rPr>
                <w:rFonts w:ascii="Arial" w:hAnsi="Arial" w:cs="Arial"/>
                <w:b w:val="1"/>
                <w:sz w:val="20"/>
                <w:szCs w:val="20"/>
                <w:shd w:val="clear" w:color="auto" w:fill="00FF00"/>
              </w:rPr>
              <w:t>Patient Engagement/Involvement</w:t>
            </w:r>
          </w:p>
          <w:p>
            <w:pPr>
              <w:spacing w:before="0" w:after="19"/>
              <w:rPr>
                <w:rFonts w:ascii="Arial" w:hAnsi="Arial" w:cs="Arial"/>
                <w:sz w:val="20"/>
                <w:szCs w:val="20"/>
                <w:lang w:val="ro-RO" w:bidi="ar-SA"/>
              </w:rPr>
            </w:pPr>
            <w:r>
              <w:rPr>
                <w:rFonts w:ascii="Arial" w:hAnsi="Arial" w:cs="Arial"/>
                <w:sz w:val="20"/>
                <w:szCs w:val="20"/>
              </w:rPr>
              <w:t>Involvement of patient representatives in patient-related aspects of clinical care and in boards/committees of the cancer center, responsible for the conceptual design and assessment of patient care.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widowControl w:val="1"/>
        <w:rPr>
          <w:lang w:val="ro-RO" w:bidi="ar-SA" w:eastAsia="de-DE"/>
        </w:rPr>
      </w:pPr>
    </w:p>
    <w:p>
      <w:pPr>
        <w:widowControl w:val="1"/>
        <w:rPr>
          <w:lang w:val="ro-RO" w:bidi="he-IL" w:eastAsia="de-DE"/>
        </w:rPr>
      </w:pPr>
    </w:p>
    <w:p>
      <w:pPr>
        <w:widowControl w:val="1"/>
        <w:rPr>
          <w:lang w:val="en-GB" w:bidi="en-GB" w:eastAsia="en-GB"/>
        </w:rPr>
      </w:pPr>
      <w:r>
        <w:rPr>
          <w:lang w:val="en-GB" w:bidi="en-GB" w:eastAsia="en-GB"/>
        </w:rPr>
        <w:br w:type="page"/>
      </w:r>
    </w:p>
    <w:tbl>
      <w:tblPr>
        <w:tblW w:w="10173"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1E0"/>
      </w:tblPr>
      <w:tblGrid/>
      <w:tr>
        <w:trPr>
          <w:tblHeader/>
        </w:trPr>
        <w:tc>
          <w:tcPr>
            <w:tcW w:w="10173" w:type="dxa"/>
            <w:gridSpan w:val="4"/>
            <w:tcBorders>
              <w:top w:val="nil"/>
              <w:left w:val="nil"/>
              <w:bottom w:val="single" w:sz="4" w:space="0" w:shadow="0" w:frame="0" w:color="000000"/>
              <w:right w:val="nil"/>
            </w:tcBorders>
            <w:tcMar>
              <w:top w:w="0" w:type="dxa"/>
              <w:left w:w="108" w:type="dxa"/>
              <w:bottom w:w="0" w:type="dxa"/>
              <w:right w:w="108" w:type="dxa"/>
            </w:tcMar>
            <w:vAlign w:val="center"/>
          </w:tcPr>
          <w:p>
            <w:pPr>
              <w:widowControl w:val="1"/>
              <w:rPr>
                <w:b w:val="1"/>
                <w:bCs w:val="1"/>
                <w:lang w:val="en-GB" w:bidi="en-GB" w:eastAsia="en-GB"/>
              </w:rPr>
            </w:pPr>
            <w:r>
              <w:rPr>
                <w:lang w:val="en-GB" w:bidi="en-GB" w:eastAsia="en-GB"/>
              </w:rPr>
              <w:br w:type="page"/>
              <w:br w:type="page"/>
            </w:r>
            <w:r>
              <w:rPr>
                <w:b w:val="1"/>
                <w:bCs w:val="1"/>
                <w:lang w:val="en-GB" w:bidi="en-GB" w:eastAsia="en-GB"/>
              </w:rPr>
              <w:t>Annex 1 - List of Guidelines/ SOPs</w:t>
            </w:r>
          </w:p>
          <w:p>
            <w:pPr>
              <w:widowControl w:val="1"/>
              <w:rPr>
                <w:bCs w:val="1"/>
                <w:lang w:val="en-GB" w:bidi="en-GB" w:eastAsia="en-GB"/>
              </w:rPr>
            </w:pPr>
          </w:p>
        </w:tc>
      </w:tr>
      <w:tr>
        <w:trPr>
          <w:tblHeader/>
        </w:trPr>
        <w:tc>
          <w:tcPr>
            <w:tcW w:w="26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jc w:val="center"/>
              <w:rPr>
                <w:bCs w:val="1"/>
                <w:lang w:val="en-GB" w:bidi="en-GB" w:eastAsia="en-GB"/>
              </w:rPr>
            </w:pPr>
            <w:r>
              <w:rPr>
                <w:bCs w:val="1"/>
                <w:lang w:val="en-GB" w:bidi="en-GB" w:eastAsia="en-GB"/>
              </w:rPr>
              <w:t xml:space="preserve">Specialty </w:t>
              <w:br w:type="textWrapping"/>
              <w:t>(field of application)</w:t>
            </w:r>
          </w:p>
        </w:tc>
        <w:tc>
          <w:tcPr>
            <w:tcW w:w="3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jc w:val="center"/>
              <w:rPr>
                <w:bCs w:val="1"/>
                <w:lang w:val="en-GB" w:bidi="en-GB" w:eastAsia="en-GB"/>
              </w:rPr>
            </w:pPr>
            <w:r>
              <w:rPr>
                <w:bCs w:val="1"/>
                <w:lang w:val="en-GB" w:bidi="en-GB" w:eastAsia="en-GB"/>
              </w:rPr>
              <w:t>Guideline designation (incl. version, level of classification S1-3)</w:t>
            </w:r>
          </w:p>
        </w:tc>
        <w:tc>
          <w:tcPr>
            <w:tcW w:w="19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jc w:val="center"/>
              <w:rPr>
                <w:bCs w:val="1"/>
                <w:lang w:val="en-GB" w:bidi="en-GB" w:eastAsia="en-GB"/>
              </w:rPr>
            </w:pPr>
            <w:r>
              <w:rPr>
                <w:bCs w:val="1"/>
                <w:lang w:val="en-GB" w:bidi="en-GB" w:eastAsia="en-GB"/>
              </w:rPr>
              <w:t>SOP designation (incl. version)</w:t>
            </w:r>
          </w:p>
        </w:tc>
        <w:tc>
          <w:tcPr>
            <w:tcW w:w="241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jc w:val="center"/>
              <w:rPr>
                <w:bCs w:val="1"/>
                <w:lang w:val="en-GB" w:bidi="en-GB" w:eastAsia="en-GB"/>
              </w:rPr>
            </w:pPr>
            <w:r>
              <w:rPr>
                <w:bCs w:val="1"/>
                <w:lang w:val="en-GB" w:bidi="en-GB" w:eastAsia="en-GB"/>
              </w:rPr>
              <w:t>Person responsible for guideline / SOP</w:t>
            </w:r>
          </w:p>
        </w:tc>
      </w:tr>
      <w:tr>
        <w:trPr>
          <w:trHeight w:hRule="atLeast" w:val="63"/>
        </w:trPr>
        <w:tc>
          <w:tcPr>
            <w:tcW w:w="26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r>
              <w:rPr>
                <w:bCs w:val="1"/>
                <w:color w:val="0000FF"/>
                <w:lang w:val="en-GB" w:bidi="en-GB" w:eastAsia="en-GB"/>
              </w:rPr>
              <w:t>e.g. gynaecology</w:t>
            </w:r>
          </w:p>
        </w:tc>
        <w:tc>
          <w:tcPr>
            <w:tcW w:w="3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r>
              <w:rPr>
                <w:bCs w:val="1"/>
                <w:color w:val="0000FF"/>
                <w:lang w:val="en-GB" w:bidi="en-GB" w:eastAsia="en-GB"/>
              </w:rPr>
              <w:t>S3-LL MaCa Version 4.0</w:t>
            </w:r>
          </w:p>
        </w:tc>
        <w:tc>
          <w:tcPr>
            <w:tcW w:w="19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241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r>
      <w:tr>
        <w:tc>
          <w:tcPr>
            <w:tcW w:w="26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3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19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241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r>
      <w:tr>
        <w:tc>
          <w:tcPr>
            <w:tcW w:w="26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3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19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241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r>
      <w:tr>
        <w:tc>
          <w:tcPr>
            <w:tcW w:w="26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315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194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c>
          <w:tcPr>
            <w:tcW w:w="241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color w:val="0000FF"/>
                <w:lang w:val="en-GB" w:bidi="en-GB" w:eastAsia="en-GB"/>
              </w:rPr>
            </w:pPr>
          </w:p>
        </w:tc>
      </w:tr>
    </w:tbl>
    <w:p>
      <w:pPr>
        <w:widowControl w:val="1"/>
        <w:rPr>
          <w:bCs w:val="1"/>
          <w:lang w:val="en-GB" w:bidi="en-GB" w:eastAsia="en-GB"/>
        </w:rPr>
      </w:pPr>
    </w:p>
    <w:p>
      <w:pPr>
        <w:widowControl w:val="1"/>
        <w:rPr>
          <w:bCs w:val="1"/>
          <w:lang w:val="en-GB" w:bidi="en-GB" w:eastAsia="en-GB"/>
        </w:rPr>
      </w:pPr>
    </w:p>
    <w:tbl>
      <w:tblPr>
        <w:tblW w:w="10135"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70" w:type="dxa"/>
          <w:right w:w="70" w:type="dxa"/>
        </w:tblCellMar>
      </w:tblPr>
      <w:tblGrid/>
      <w:tr>
        <w:trPr>
          <w:cantSplit/>
          <w:tblHeader/>
        </w:trPr>
        <w:tc>
          <w:tcPr>
            <w:tcW w:w="10135" w:type="dxa"/>
            <w:gridSpan w:val="5"/>
            <w:tcBorders>
              <w:top w:val="nil"/>
              <w:left w:val="nil"/>
              <w:bottom w:val="single" w:sz="4" w:space="0" w:shadow="0" w:frame="0" w:color="000000"/>
              <w:right w:val="nil"/>
            </w:tcBorders>
            <w:tcMar>
              <w:top w:w="0" w:type="dxa"/>
              <w:left w:w="70" w:type="dxa"/>
              <w:bottom w:w="0" w:type="dxa"/>
              <w:right w:w="70" w:type="dxa"/>
            </w:tcMar>
            <w:vAlign w:val="center"/>
          </w:tcPr>
          <w:p>
            <w:pPr>
              <w:widowControl w:val="1"/>
              <w:rPr>
                <w:bCs w:val="1"/>
                <w:lang w:val="en-GB" w:bidi="en-GB" w:eastAsia="en-GB"/>
              </w:rPr>
            </w:pPr>
            <w:r>
              <w:rPr>
                <w:b w:val="1"/>
                <w:bCs w:val="1"/>
                <w:lang w:val="en-GB" w:bidi="en-GB" w:eastAsia="en-GB"/>
              </w:rPr>
              <w:t>Annex 2 - Study organigram</w:t>
            </w:r>
          </w:p>
        </w:tc>
      </w:tr>
      <w:tr>
        <w:trPr>
          <w:cantSplit/>
          <w:tblHeader/>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lang w:val="en-GB" w:bidi="en-GB" w:eastAsia="en-GB"/>
              </w:rPr>
            </w:pPr>
            <w:r>
              <w:rPr>
                <w:bCs w:val="1"/>
                <w:lang w:val="en-GB" w:bidi="en-GB" w:eastAsia="en-GB"/>
              </w:rPr>
              <w:t>Unit performing study</w:t>
            </w:r>
          </w:p>
        </w:tc>
        <w:tc>
          <w:tcPr>
            <w:tcW w:w="18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lang w:val="en-GB" w:bidi="en-GB" w:eastAsia="en-GB"/>
              </w:rPr>
            </w:pPr>
            <w:r>
              <w:rPr>
                <w:bCs w:val="1"/>
                <w:lang w:val="en-GB" w:bidi="en-GB" w:eastAsia="en-GB"/>
              </w:rPr>
              <w:t xml:space="preserve">Investigator </w:t>
            </w:r>
          </w:p>
          <w:p>
            <w:pPr>
              <w:widowControl w:val="1"/>
              <w:jc w:val="center"/>
              <w:rPr>
                <w:bCs w:val="1"/>
                <w:lang w:val="en-GB" w:bidi="en-GB" w:eastAsia="en-GB"/>
              </w:rPr>
            </w:pPr>
            <w:r>
              <w:rPr>
                <w:bCs w:val="1"/>
                <w:lang w:val="en-GB" w:bidi="en-GB" w:eastAsia="en-GB"/>
              </w:rPr>
              <w:t xml:space="preserve">(Section 40 AMG) </w:t>
            </w:r>
          </w:p>
        </w:tc>
        <w:tc>
          <w:tcPr>
            <w:tcW w:w="1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lang w:val="en-GB" w:bidi="en-GB" w:eastAsia="en-GB"/>
              </w:rPr>
            </w:pPr>
            <w:r>
              <w:rPr>
                <w:bCs w:val="1"/>
                <w:lang w:val="en-GB" w:bidi="en-GB" w:eastAsia="en-GB"/>
              </w:rPr>
              <w:t>Study leader</w:t>
              <w:br w:type="textWrapping"/>
              <w:t>(if available)</w:t>
            </w:r>
          </w:p>
        </w:tc>
        <w:tc>
          <w:tcPr>
            <w:tcW w:w="15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lang w:val="en-GB" w:bidi="en-GB" w:eastAsia="en-GB"/>
              </w:rPr>
            </w:pPr>
            <w:r>
              <w:rPr>
                <w:bCs w:val="1"/>
                <w:lang w:val="en-GB" w:bidi="en-GB" w:eastAsia="en-GB"/>
              </w:rPr>
              <w:t xml:space="preserve">Study assistant  </w:t>
            </w:r>
          </w:p>
        </w:tc>
        <w:tc>
          <w:tcPr>
            <w:tcW w:w="22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lang w:val="en-GB" w:bidi="en-GB" w:eastAsia="en-GB"/>
              </w:rPr>
            </w:pPr>
            <w:r>
              <w:rPr>
                <w:bCs w:val="1"/>
                <w:lang w:val="en-GB" w:bidi="en-GB" w:eastAsia="en-GB"/>
              </w:rPr>
              <w:t>Contact</w:t>
            </w:r>
          </w:p>
          <w:p>
            <w:pPr>
              <w:widowControl w:val="1"/>
              <w:jc w:val="center"/>
              <w:rPr>
                <w:bCs w:val="1"/>
                <w:lang w:val="en-GB" w:bidi="en-GB" w:eastAsia="en-GB"/>
              </w:rPr>
            </w:pPr>
            <w:r>
              <w:rPr>
                <w:bCs w:val="1"/>
                <w:lang w:val="en-GB" w:bidi="en-GB" w:eastAsia="en-GB"/>
              </w:rPr>
              <w:t>(email, telephone)</w:t>
            </w: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e.g. internal medicine</w:t>
            </w:r>
          </w:p>
        </w:tc>
        <w:tc>
          <w:tcPr>
            <w:tcW w:w="18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1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15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22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e.g. radio-oncology</w:t>
            </w:r>
          </w:p>
        </w:tc>
        <w:tc>
          <w:tcPr>
            <w:tcW w:w="18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1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15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22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e.g. oncology 1 practice</w:t>
            </w:r>
          </w:p>
        </w:tc>
        <w:tc>
          <w:tcPr>
            <w:tcW w:w="18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1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15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22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e.g. urology</w:t>
            </w:r>
          </w:p>
        </w:tc>
        <w:tc>
          <w:tcPr>
            <w:tcW w:w="184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184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156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c>
          <w:tcPr>
            <w:tcW w:w="22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rPr>
                <w:bCs w:val="1"/>
                <w:color w:val="0000FF"/>
                <w:lang w:val="en-GB" w:bidi="en-GB" w:eastAsia="en-GB"/>
              </w:rPr>
            </w:pPr>
          </w:p>
        </w:tc>
      </w:tr>
    </w:tbl>
    <w:p>
      <w:pPr>
        <w:widowControl w:val="1"/>
        <w:rPr>
          <w:bCs w:val="1"/>
          <w:lang w:val="en-GB" w:bidi="en-GB" w:eastAsia="en-GB"/>
        </w:rPr>
      </w:pPr>
    </w:p>
    <w:p>
      <w:pPr>
        <w:widowControl w:val="1"/>
        <w:rPr>
          <w:bCs w:val="1"/>
          <w:lang w:val="en-GB" w:bidi="en-GB" w:eastAsia="en-GB"/>
        </w:rPr>
      </w:pPr>
    </w:p>
    <w:p>
      <w:pPr>
        <w:widowControl w:val="1"/>
        <w:rPr>
          <w:bCs w:val="1"/>
          <w:lang w:val="en-GB" w:bidi="en-GB" w:eastAsia="en-GB"/>
        </w:rPr>
      </w:pPr>
    </w:p>
    <w:tbl>
      <w:tblPr>
        <w:tblW w:w="10135"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left w:w="70" w:type="dxa"/>
          <w:right w:w="70" w:type="dxa"/>
        </w:tblCellMar>
      </w:tblPr>
      <w:tblGrid/>
      <w:tr>
        <w:trPr>
          <w:cantSplit/>
          <w:tblHeader/>
        </w:trPr>
        <w:tc>
          <w:tcPr>
            <w:tcW w:w="2622" w:type="dxa"/>
            <w:tcBorders>
              <w:top w:val="nil"/>
              <w:left w:val="nil"/>
              <w:bottom w:val="nil"/>
              <w:right w:val="nil"/>
            </w:tcBorders>
            <w:tcMar>
              <w:top w:w="0" w:type="dxa"/>
              <w:left w:w="70" w:type="dxa"/>
              <w:bottom w:w="0" w:type="dxa"/>
              <w:right w:w="70" w:type="dxa"/>
            </w:tcMar>
          </w:tcPr>
          <w:p>
            <w:pPr>
              <w:widowControl w:val="1"/>
              <w:spacing w:before="60" w:after="60"/>
              <w:rPr>
                <w:b w:val="1"/>
                <w:bCs w:val="1"/>
                <w:lang w:val="en-GB" w:bidi="en-GB" w:eastAsia="en-GB"/>
              </w:rPr>
            </w:pPr>
            <w:r>
              <w:rPr>
                <w:b w:val="1"/>
                <w:bCs w:val="1"/>
                <w:lang w:val="en-GB" w:bidi="en-GB" w:eastAsia="en-GB"/>
              </w:rPr>
              <w:t>Study list</w:t>
            </w:r>
          </w:p>
        </w:tc>
        <w:tc>
          <w:tcPr>
            <w:tcW w:w="5103" w:type="dxa"/>
            <w:gridSpan w:val="2"/>
            <w:tcBorders>
              <w:top w:val="nil"/>
              <w:left w:val="nil"/>
              <w:bottom w:val="nil"/>
              <w:right w:val="single" w:sz="4" w:space="0" w:shadow="0" w:frame="0" w:color="000000"/>
            </w:tcBorders>
            <w:tcMar>
              <w:top w:w="0" w:type="dxa"/>
              <w:left w:w="70" w:type="dxa"/>
              <w:bottom w:w="0" w:type="dxa"/>
              <w:right w:w="70" w:type="dxa"/>
            </w:tcMar>
          </w:tcPr>
          <w:p>
            <w:pPr>
              <w:widowControl w:val="1"/>
              <w:spacing w:before="60" w:after="60"/>
              <w:ind w:right="284"/>
              <w:jc w:val="right"/>
              <w:rPr>
                <w:bCs w:val="1"/>
                <w:lang w:val="en-GB" w:bidi="en-GB" w:eastAsia="en-GB"/>
              </w:rPr>
            </w:pPr>
            <w:r>
              <w:rPr>
                <w:bCs w:val="1"/>
                <w:lang w:val="en-GB" w:bidi="en-GB" w:eastAsia="en-GB"/>
              </w:rPr>
              <w:t>Patients included during the period from … to….</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tcPr>
          <w:p>
            <w:pPr>
              <w:widowControl w:val="1"/>
              <w:spacing w:before="60" w:after="60"/>
              <w:jc w:val="center"/>
              <w:rPr>
                <w:bCs w:val="1"/>
                <w:color w:val="0000FF"/>
                <w:lang w:val="en-GB" w:bidi="en-GB" w:eastAsia="en-GB"/>
              </w:rPr>
            </w:pPr>
            <w:r>
              <w:rPr>
                <w:bCs w:val="1"/>
                <w:color w:val="0000FF"/>
              </w:rPr>
              <w:t>01.01.24 – 31.12.24</w:t>
            </w:r>
          </w:p>
        </w:tc>
      </w:tr>
      <w:tr>
        <w:trPr>
          <w:cantSplit/>
          <w:tblHeader/>
        </w:trPr>
        <w:tc>
          <w:tcPr>
            <w:tcW w:w="2622" w:type="dxa"/>
            <w:tcBorders>
              <w:top w:val="nil"/>
              <w:left w:val="nil"/>
              <w:bottom w:val="single" w:sz="4" w:space="0" w:shadow="0" w:frame="0" w:color="000000"/>
              <w:right w:val="nil"/>
            </w:tcBorders>
            <w:tcMar>
              <w:top w:w="0" w:type="dxa"/>
              <w:left w:w="70" w:type="dxa"/>
              <w:bottom w:w="0" w:type="dxa"/>
              <w:right w:w="70" w:type="dxa"/>
            </w:tcMar>
          </w:tcPr>
          <w:p>
            <w:pPr>
              <w:widowControl w:val="1"/>
              <w:rPr>
                <w:bCs w:val="1"/>
                <w:lang w:val="en-GB" w:bidi="en-GB" w:eastAsia="en-GB"/>
              </w:rPr>
            </w:pPr>
          </w:p>
        </w:tc>
        <w:tc>
          <w:tcPr>
            <w:tcW w:w="1984" w:type="dxa"/>
            <w:tcBorders>
              <w:top w:val="nil"/>
              <w:left w:val="nil"/>
              <w:bottom w:val="single" w:sz="4" w:space="0" w:shadow="0" w:frame="0" w:color="000000"/>
              <w:right w:val="nil"/>
            </w:tcBorders>
            <w:tcMar>
              <w:top w:w="0" w:type="dxa"/>
              <w:left w:w="70" w:type="dxa"/>
              <w:bottom w:w="0" w:type="dxa"/>
              <w:right w:w="70" w:type="dxa"/>
            </w:tcMar>
          </w:tcPr>
          <w:p>
            <w:pPr>
              <w:widowControl w:val="1"/>
              <w:rPr>
                <w:bCs w:val="1"/>
                <w:lang w:val="en-GB" w:bidi="en-GB" w:eastAsia="en-GB"/>
              </w:rPr>
            </w:pPr>
          </w:p>
        </w:tc>
        <w:tc>
          <w:tcPr>
            <w:tcW w:w="3119" w:type="dxa"/>
            <w:tcBorders>
              <w:top w:val="nil"/>
              <w:left w:val="nil"/>
              <w:bottom w:val="single" w:sz="4" w:space="0" w:shadow="0" w:frame="0" w:color="000000"/>
              <w:right w:val="nil"/>
            </w:tcBorders>
            <w:tcMar>
              <w:top w:w="0" w:type="dxa"/>
              <w:left w:w="70" w:type="dxa"/>
              <w:bottom w:w="0" w:type="dxa"/>
              <w:right w:w="70" w:type="dxa"/>
            </w:tcMar>
          </w:tcPr>
          <w:p>
            <w:pPr>
              <w:widowControl w:val="1"/>
              <w:rPr>
                <w:bCs w:val="1"/>
                <w:lang w:val="en-GB" w:bidi="en-GB" w:eastAsia="en-GB"/>
              </w:rPr>
            </w:pPr>
          </w:p>
        </w:tc>
        <w:tc>
          <w:tcPr>
            <w:tcW w:w="2410" w:type="dxa"/>
            <w:tcBorders>
              <w:top w:val="nil"/>
              <w:left w:val="nil"/>
              <w:bottom w:val="single" w:sz="4" w:space="0" w:shadow="0" w:frame="0" w:color="000000"/>
              <w:right w:val="nil"/>
            </w:tcBorders>
            <w:tcMar>
              <w:top w:w="0" w:type="dxa"/>
              <w:left w:w="70" w:type="dxa"/>
              <w:bottom w:w="0" w:type="dxa"/>
              <w:right w:w="70" w:type="dxa"/>
            </w:tcMar>
          </w:tcPr>
          <w:p>
            <w:pPr>
              <w:widowControl w:val="1"/>
              <w:rPr>
                <w:bCs w:val="1"/>
                <w:lang w:val="en-GB" w:bidi="en-GB" w:eastAsia="en-GB"/>
              </w:rPr>
            </w:pPr>
          </w:p>
        </w:tc>
      </w:tr>
      <w:tr>
        <w:trPr>
          <w:cantSplit/>
          <w:tblHeader/>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lang w:val="en-GB" w:bidi="en-GB" w:eastAsia="en-GB"/>
              </w:rPr>
            </w:pPr>
            <w:r>
              <w:rPr>
                <w:bCs w:val="1"/>
                <w:lang w:val="en-GB" w:bidi="en-GB" w:eastAsia="en-GB"/>
              </w:rPr>
              <w:t>Unit performing the study</w:t>
            </w: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lang w:val="en-GB" w:bidi="en-GB" w:eastAsia="en-GB"/>
              </w:rPr>
            </w:pPr>
            <w:r>
              <w:rPr>
                <w:bCs w:val="1"/>
                <w:lang w:val="en-GB" w:bidi="en-GB" w:eastAsia="en-GB"/>
              </w:rPr>
              <w:t>Study</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lang w:val="en-GB" w:bidi="en-GB" w:eastAsia="en-GB"/>
              </w:rPr>
            </w:pPr>
            <w:r>
              <w:rPr>
                <w:bCs w:val="1"/>
                <w:lang w:val="en-GB" w:bidi="en-GB" w:eastAsia="en-GB"/>
              </w:rPr>
              <w:t>Status of study</w:t>
            </w:r>
          </w:p>
          <w:p>
            <w:pPr>
              <w:widowControl w:val="1"/>
              <w:jc w:val="center"/>
              <w:rPr>
                <w:bCs w:val="1"/>
                <w:sz w:val="16"/>
                <w:szCs w:val="16"/>
                <w:lang w:val="en-GB" w:bidi="en-GB" w:eastAsia="en-GB"/>
              </w:rPr>
            </w:pPr>
            <w:r>
              <w:rPr>
                <w:bCs w:val="1"/>
                <w:sz w:val="16"/>
                <w:szCs w:val="16"/>
                <w:lang w:val="en-GB" w:bidi="en-GB" w:eastAsia="en-GB"/>
              </w:rPr>
              <w:t>open / closed (dd.mm.yy)</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lang w:val="en-GB" w:bidi="en-GB" w:eastAsia="en-GB"/>
              </w:rPr>
            </w:pPr>
            <w:r>
              <w:rPr>
                <w:bCs w:val="1"/>
                <w:lang w:val="en-GB" w:bidi="en-GB" w:eastAsia="en-GB"/>
              </w:rPr>
              <w:t>Number of patients</w:t>
              <w:br w:type="textWrapping"/>
            </w:r>
            <w:r>
              <w:rPr>
                <w:bCs w:val="1"/>
                <w:sz w:val="16"/>
                <w:szCs w:val="16"/>
                <w:lang w:val="en-GB" w:bidi="en-GB" w:eastAsia="en-GB"/>
              </w:rPr>
              <w:t>(during assessment period)</w:t>
            </w: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 xml:space="preserve">e.g. internal medicine </w:t>
            </w: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Study type A</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open</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4</w:t>
            </w: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Study type B</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closed (30.09.07)</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5</w:t>
            </w: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e.g. radio-oncology</w:t>
            </w: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Study type A</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open</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14</w:t>
            </w: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Study type C</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open</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12</w:t>
            </w: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Study type D</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open</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r>
              <w:rPr>
                <w:bCs w:val="1"/>
                <w:color w:val="0000FF"/>
                <w:lang w:val="en-GB" w:bidi="en-GB" w:eastAsia="en-GB"/>
              </w:rPr>
              <w:t>2</w:t>
            </w: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e.g. oncology 1 practice</w:t>
            </w: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r>
      <w:tr>
        <w:trPr>
          <w:cantSplit/>
        </w:trPr>
        <w:tc>
          <w:tcPr>
            <w:tcW w:w="262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e.g. urology</w:t>
            </w:r>
          </w:p>
        </w:tc>
        <w:tc>
          <w:tcPr>
            <w:tcW w:w="198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rPr>
                <w:bCs w:val="1"/>
                <w:color w:val="0000FF"/>
                <w:lang w:val="en-GB" w:bidi="en-GB" w:eastAsia="en-GB"/>
              </w:rPr>
            </w:pPr>
            <w:r>
              <w:rPr>
                <w:bCs w:val="1"/>
                <w:color w:val="0000FF"/>
                <w:lang w:val="en-GB" w:bidi="en-GB" w:eastAsia="en-GB"/>
              </w:rPr>
              <w:t>…..</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70" w:type="dxa"/>
              <w:bottom w:w="0" w:type="dxa"/>
              <w:right w:w="70" w:type="dxa"/>
            </w:tcMar>
            <w:vAlign w:val="center"/>
          </w:tcPr>
          <w:p>
            <w:pPr>
              <w:widowControl w:val="1"/>
              <w:jc w:val="center"/>
              <w:rPr>
                <w:bCs w:val="1"/>
                <w:color w:val="0000FF"/>
                <w:lang w:val="en-GB" w:bidi="en-GB" w:eastAsia="en-GB"/>
              </w:rPr>
            </w:pPr>
          </w:p>
        </w:tc>
      </w:tr>
    </w:tbl>
    <w:p>
      <w:pPr>
        <w:widowControl w:val="1"/>
        <w:rPr>
          <w:bCs w:val="1"/>
          <w:lang w:val="en-GB" w:bidi="en-GB" w:eastAsia="en-GB"/>
        </w:rPr>
      </w:pPr>
    </w:p>
    <w:p>
      <w:pPr>
        <w:widowControl w:val="1"/>
        <w:rPr>
          <w:bCs w:val="1"/>
          <w:lang w:val="en-GB" w:bidi="en-GB" w:eastAsia="en-GB"/>
        </w:rPr>
      </w:pPr>
    </w:p>
    <w:tbl>
      <w:tblPr>
        <w:tblW w:w="10173" w:type="dxa"/>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Look w:val="01E0"/>
      </w:tblPr>
      <w:tblGrid/>
      <w:tr>
        <w:trPr>
          <w:tblHeader/>
        </w:trPr>
        <w:tc>
          <w:tcPr>
            <w:tcW w:w="10173" w:type="dxa"/>
            <w:gridSpan w:val="4"/>
            <w:tcBorders>
              <w:top w:val="nil"/>
              <w:left w:val="nil"/>
              <w:bottom w:val="single" w:sz="4" w:space="0" w:shadow="0" w:frame="0" w:color="000000"/>
              <w:right w:val="nil"/>
            </w:tcBorders>
            <w:tcMar>
              <w:top w:w="0" w:type="dxa"/>
              <w:left w:w="108" w:type="dxa"/>
              <w:bottom w:w="0" w:type="dxa"/>
              <w:right w:w="108" w:type="dxa"/>
            </w:tcMar>
            <w:vAlign w:val="center"/>
          </w:tcPr>
          <w:p>
            <w:pPr>
              <w:widowControl w:val="1"/>
              <w:rPr>
                <w:b w:val="1"/>
                <w:bCs w:val="1"/>
                <w:lang w:val="en-GB" w:bidi="en-GB" w:eastAsia="en-GB"/>
              </w:rPr>
            </w:pPr>
            <w:r>
              <w:rPr>
                <w:b w:val="1"/>
                <w:bCs w:val="1"/>
                <w:lang w:val="en-GB" w:bidi="en-GB" w:eastAsia="en-GB"/>
              </w:rPr>
              <w:t>Annex 3 - Matrix tumour documentation</w:t>
            </w:r>
          </w:p>
          <w:p>
            <w:pPr>
              <w:widowControl w:val="1"/>
              <w:jc w:val="center"/>
              <w:rPr>
                <w:b w:val="1"/>
                <w:bCs w:val="1"/>
                <w:lang w:val="en-GB" w:bidi="en-GB" w:eastAsia="en-GB"/>
              </w:rPr>
            </w:pPr>
          </w:p>
        </w:tc>
      </w:tr>
      <w:tr>
        <w:trPr>
          <w:tblHeader/>
        </w:trP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jc w:val="center"/>
              <w:rPr>
                <w:bCs w:val="1"/>
                <w:sz w:val="18"/>
                <w:szCs w:val="18"/>
                <w:lang w:val="en-GB" w:bidi="en-GB" w:eastAsia="en-GB"/>
              </w:rPr>
            </w:pPr>
            <w:r>
              <w:rPr>
                <w:bCs w:val="1"/>
                <w:sz w:val="18"/>
                <w:szCs w:val="18"/>
                <w:lang w:val="en-GB" w:bidi="en-GB" w:eastAsia="en-GB"/>
              </w:rPr>
              <w:t>Tumour entity/ies</w:t>
            </w:r>
          </w:p>
        </w:tc>
        <w:tc>
          <w:tcPr>
            <w:tcW w:w="29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jc w:val="center"/>
              <w:rPr>
                <w:bCs w:val="1"/>
                <w:sz w:val="18"/>
                <w:szCs w:val="18"/>
                <w:lang w:val="en-GB" w:bidi="en-GB" w:eastAsia="en-GB"/>
              </w:rPr>
            </w:pPr>
            <w:r>
              <w:rPr>
                <w:bCs w:val="1"/>
                <w:sz w:val="18"/>
                <w:szCs w:val="18"/>
                <w:lang w:val="en-GB" w:bidi="en-GB" w:eastAsia="en-GB"/>
              </w:rPr>
              <w:t>Specialist unit system support / tumour documentation officer</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jc w:val="center"/>
              <w:rPr>
                <w:bCs w:val="1"/>
                <w:sz w:val="18"/>
                <w:szCs w:val="18"/>
                <w:lang w:val="en-GB" w:bidi="en-GB" w:eastAsia="en-GB"/>
              </w:rPr>
            </w:pPr>
            <w:r>
              <w:rPr>
                <w:bCs w:val="1"/>
                <w:sz w:val="18"/>
                <w:szCs w:val="18"/>
                <w:lang w:val="en-GB" w:bidi="en-GB" w:eastAsia="en-GB"/>
              </w:rPr>
              <w:t>System designation</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jc w:val="center"/>
              <w:rPr>
                <w:bCs w:val="1"/>
                <w:strike w:val="1"/>
                <w:sz w:val="18"/>
                <w:szCs w:val="18"/>
                <w:lang w:val="en-GB" w:bidi="en-GB" w:eastAsia="en-GB"/>
              </w:rPr>
            </w:pPr>
            <w:r>
              <w:rPr>
                <w:bCs w:val="1"/>
                <w:sz w:val="18"/>
                <w:szCs w:val="18"/>
                <w:lang w:val="en-GB" w:bidi="en-GB" w:eastAsia="en-GB"/>
              </w:rPr>
              <w:t>Interface clinical cancer registry</w:t>
            </w:r>
          </w:p>
        </w:tc>
      </w:tr>
      <w:t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rPr>
                <w:bCs w:val="1"/>
                <w:color w:val="0000FF"/>
                <w:sz w:val="18"/>
                <w:szCs w:val="18"/>
                <w:lang w:val="en-GB" w:bidi="en-GB" w:eastAsia="en-GB"/>
              </w:rPr>
            </w:pPr>
            <w:r>
              <w:rPr>
                <w:bCs w:val="1"/>
                <w:color w:val="0000FF"/>
                <w:sz w:val="18"/>
                <w:szCs w:val="18"/>
                <w:lang w:val="en-GB" w:bidi="en-GB" w:eastAsia="en-GB"/>
              </w:rPr>
              <w:t>Breast</w:t>
            </w:r>
          </w:p>
        </w:tc>
        <w:tc>
          <w:tcPr>
            <w:tcW w:w="29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rPr>
                <w:bCs w:val="1"/>
                <w:color w:val="0000FF"/>
                <w:sz w:val="18"/>
                <w:szCs w:val="18"/>
                <w:lang w:val="en-GB" w:bidi="en-GB" w:eastAsia="en-GB"/>
              </w:rPr>
            </w:pPr>
            <w:r>
              <w:rPr>
                <w:bCs w:val="1"/>
                <w:color w:val="0000FF"/>
                <w:sz w:val="18"/>
                <w:szCs w:val="18"/>
                <w:lang w:val="en-GB" w:bidi="en-GB" w:eastAsia="en-GB"/>
              </w:rPr>
              <w:t>Breast Cancer Centre (gynaecology)</w:t>
            </w: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rPr>
                <w:bCs w:val="1"/>
                <w:color w:val="0000FF"/>
                <w:sz w:val="18"/>
                <w:szCs w:val="18"/>
                <w:lang w:val="en-GB" w:bidi="en-GB" w:eastAsia="en-GB"/>
              </w:rPr>
            </w:pPr>
            <w:r>
              <w:rPr>
                <w:bCs w:val="1"/>
                <w:color w:val="0000FF"/>
                <w:sz w:val="18"/>
                <w:szCs w:val="18"/>
                <w:lang w:val="en-GB" w:bidi="en-GB" w:eastAsia="en-GB"/>
              </w:rPr>
              <w:t>Mammasystem5000</w:t>
            </w: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vAlign w:val="center"/>
          </w:tcPr>
          <w:p>
            <w:pPr>
              <w:widowControl w:val="1"/>
              <w:rPr>
                <w:bCs w:val="1"/>
                <w:strike w:val="1"/>
                <w:color w:val="0000FF"/>
                <w:sz w:val="18"/>
                <w:szCs w:val="18"/>
                <w:lang w:val="en-GB" w:bidi="en-GB" w:eastAsia="en-GB"/>
              </w:rPr>
            </w:pPr>
            <w:r>
              <w:rPr>
                <w:bCs w:val="1"/>
                <w:color w:val="0000FF"/>
                <w:sz w:val="18"/>
                <w:szCs w:val="18"/>
                <w:lang w:val="en-GB" w:bidi="en-GB" w:eastAsia="en-GB"/>
              </w:rPr>
              <w:t>Cancer registry federal state xy</w:t>
            </w:r>
          </w:p>
        </w:tc>
      </w:tr>
      <w:t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29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r>
      <w:t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29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r>
      <w:tr>
        <w:tc>
          <w:tcPr>
            <w:tcW w:w="166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297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3119"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241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r>
    </w:tbl>
    <w:p>
      <w:pPr>
        <w:widowControl w:val="1"/>
        <w:rPr>
          <w:bCs w:val="1"/>
          <w:lang w:val="en-GB" w:bidi="en-GB" w:eastAsia="en-GB"/>
        </w:rPr>
      </w:pPr>
    </w:p>
    <w:p>
      <w:pPr>
        <w:keepNext w:val="1"/>
        <w:widowControl w:val="1"/>
        <w:jc w:val="right"/>
        <w:outlineLvl w:val="2"/>
        <w:rPr>
          <w:b w:val="1"/>
          <w:bCs w:val="1"/>
          <w:lang w:val="en-GB" w:bidi="en-GB" w:eastAsia="en-GB"/>
        </w:rPr>
      </w:pPr>
      <w:r>
        <w:rPr>
          <w:b w:val="1"/>
          <w:bCs w:val="1"/>
          <w:lang w:val="en-GB" w:bidi="en-GB" w:eastAsia="en-GB"/>
        </w:rPr>
        <w:br w:type="page"/>
      </w:r>
    </w:p>
    <w:p>
      <w:pPr>
        <w:widowControl w:val="1"/>
        <w:spacing w:lineRule="auto" w:line="276" w:after="200"/>
        <w:rPr>
          <w:bCs w:val="1"/>
          <w:lang w:val="en-GB" w:bidi="en-GB" w:eastAsia="en-GB"/>
        </w:rPr>
      </w:pPr>
      <w:r>
        <w:rPr>
          <w:b w:val="1"/>
          <w:bCs w:val="1"/>
          <w:lang w:val="en-GB" w:bidi="en-GB" w:eastAsia="en-GB"/>
        </w:rPr>
        <w:t xml:space="preserve">Annex 4 - Mailing list / Scientific societies involved </w:t>
      </w:r>
      <w:r>
        <w:rPr>
          <w:bCs w:val="1"/>
          <w:lang w:val="en-GB" w:bidi="en-GB" w:eastAsia="en-GB"/>
        </w:rPr>
        <w:t>(in alphabetical order)</w:t>
      </w:r>
    </w:p>
    <w:p>
      <w:pPr>
        <w:widowControl w:val="1"/>
        <w:tabs>
          <w:tab w:val="left" w:pos="567" w:leader="none"/>
        </w:tabs>
        <w:rPr>
          <w:bCs w:val="1"/>
          <w:lang w:val="en-GB" w:bidi="en-GB" w:eastAsia="en-GB"/>
        </w:rPr>
      </w:pPr>
      <w:r>
        <w:rPr>
          <w:bCs w:val="1"/>
          <w:lang w:val="en-GB" w:bidi="en-GB" w:eastAsia="en-GB"/>
        </w:rPr>
        <w:t xml:space="preserve">Auditors </w:t>
      </w:r>
    </w:p>
    <w:p>
      <w:pPr>
        <w:widowControl w:val="1"/>
        <w:tabs>
          <w:tab w:val="left" w:pos="567" w:leader="none"/>
        </w:tabs>
        <w:rPr>
          <w:bCs w:val="1"/>
          <w:lang w:val="en-GB" w:bidi="en-GB" w:eastAsia="en-GB"/>
        </w:rPr>
      </w:pPr>
      <w:r>
        <w:rPr>
          <w:bCs w:val="1"/>
          <w:lang w:val="en-GB" w:bidi="en-GB" w:eastAsia="en-GB"/>
        </w:rPr>
        <w:t>Association of German Pathologists - BDP</w:t>
      </w:r>
    </w:p>
    <w:p>
      <w:pPr>
        <w:widowControl w:val="1"/>
        <w:tabs>
          <w:tab w:val="left" w:pos="567" w:leader="none"/>
        </w:tabs>
        <w:rPr>
          <w:bCs w:val="1"/>
          <w:lang w:val="en-GB" w:bidi="en-GB" w:eastAsia="en-GB"/>
        </w:rPr>
      </w:pPr>
      <w:r>
        <w:rPr>
          <w:bCs w:val="1"/>
          <w:lang w:val="en-GB" w:bidi="en-GB" w:eastAsia="en-GB"/>
        </w:rPr>
        <w:t>Association of Haematologists and Oncologists in Private Practice – BNHO</w:t>
      </w:r>
    </w:p>
    <w:p>
      <w:pPr>
        <w:widowControl w:val="1"/>
        <w:tabs>
          <w:tab w:val="left" w:pos="567" w:leader="none"/>
        </w:tabs>
        <w:rPr>
          <w:bCs w:val="1"/>
          <w:lang w:val="en-GB" w:bidi="en-GB" w:eastAsia="en-GB"/>
        </w:rPr>
      </w:pPr>
      <w:r>
        <w:rPr>
          <w:bCs w:val="1"/>
          <w:lang w:val="en-GB" w:bidi="en-GB" w:eastAsia="en-GB"/>
        </w:rPr>
        <w:t>Associations of German Radiotherapists – BVDST</w:t>
      </w:r>
    </w:p>
    <w:p>
      <w:pPr>
        <w:widowControl w:val="1"/>
        <w:tabs>
          <w:tab w:val="left" w:pos="567" w:leader="none"/>
        </w:tabs>
        <w:rPr>
          <w:bCs w:val="1"/>
          <w:lang w:val="en-GB" w:bidi="en-GB" w:eastAsia="en-GB"/>
        </w:rPr>
      </w:pPr>
      <w:r>
        <w:rPr>
          <w:bCs w:val="1"/>
          <w:lang w:val="en-GB" w:bidi="en-GB" w:eastAsia="en-GB"/>
        </w:rPr>
        <w:t>Chairmen of the Committees of the Organ Cancer Centres and Organ Modules</w:t>
      </w:r>
    </w:p>
    <w:p>
      <w:pPr>
        <w:widowControl w:val="1"/>
        <w:tabs>
          <w:tab w:val="left" w:pos="567" w:leader="none"/>
        </w:tabs>
        <w:rPr>
          <w:bCs w:val="1"/>
          <w:lang w:val="en-GB" w:bidi="en-GB" w:eastAsia="en-GB"/>
        </w:rPr>
      </w:pPr>
      <w:r>
        <w:rPr>
          <w:bCs w:val="1"/>
          <w:lang w:val="en-GB" w:bidi="en-GB" w:eastAsia="en-GB"/>
        </w:rPr>
        <w:t>Conference of Oncological Nursing and Paediatric Nursing Care - KOK</w:t>
      </w:r>
    </w:p>
    <w:p>
      <w:pPr>
        <w:widowControl w:val="1"/>
        <w:tabs>
          <w:tab w:val="left" w:pos="567" w:leader="none"/>
        </w:tabs>
        <w:rPr>
          <w:bCs w:val="1"/>
          <w:lang w:val="en-GB" w:bidi="en-GB" w:eastAsia="en-GB"/>
        </w:rPr>
      </w:pPr>
      <w:r>
        <w:rPr>
          <w:bCs w:val="1"/>
          <w:lang w:val="en-GB" w:bidi="en-GB" w:eastAsia="en-GB"/>
        </w:rPr>
        <w:t>German Association of Social Work in Health Care - DVSG</w:t>
      </w:r>
    </w:p>
    <w:p>
      <w:pPr>
        <w:widowControl w:val="1"/>
        <w:outlineLvl w:val="0"/>
        <w:rPr>
          <w:bCs w:val="1"/>
          <w:lang w:val="en-GB" w:bidi="en-GB" w:eastAsia="en-GB"/>
        </w:rPr>
      </w:pPr>
      <w:r>
        <w:rPr>
          <w:bCs w:val="1"/>
          <w:lang w:val="en-GB" w:bidi="en-GB" w:eastAsia="en-GB"/>
        </w:rPr>
        <w:t>German Cancer Aid - DKH</w:t>
      </w:r>
    </w:p>
    <w:p>
      <w:pPr>
        <w:widowControl w:val="1"/>
        <w:outlineLvl w:val="0"/>
        <w:rPr>
          <w:bCs w:val="1"/>
          <w:lang w:val="en-GB" w:bidi="en-GB" w:eastAsia="en-GB"/>
        </w:rPr>
      </w:pPr>
      <w:r>
        <w:rPr>
          <w:bCs w:val="1"/>
          <w:lang w:val="en-GB" w:bidi="en-GB" w:eastAsia="en-GB"/>
        </w:rPr>
        <w:t>German Cancer Society – DKG</w:t>
      </w:r>
    </w:p>
    <w:p>
      <w:pPr>
        <w:widowControl w:val="1"/>
        <w:tabs>
          <w:tab w:val="left" w:pos="567" w:leader="none"/>
        </w:tabs>
        <w:rPr>
          <w:bCs w:val="1"/>
          <w:lang w:val="en-GB" w:bidi="en-GB" w:eastAsia="en-GB"/>
        </w:rPr>
      </w:pPr>
      <w:r>
        <w:rPr>
          <w:bCs w:val="1"/>
          <w:lang w:val="en-GB" w:bidi="en-GB" w:eastAsia="en-GB"/>
        </w:rPr>
        <w:t>German Dermatology Society - DDG</w:t>
      </w:r>
    </w:p>
    <w:p>
      <w:pPr>
        <w:widowControl w:val="1"/>
        <w:tabs>
          <w:tab w:val="left" w:pos="567" w:leader="none"/>
        </w:tabs>
        <w:rPr>
          <w:bCs w:val="1"/>
          <w:lang w:val="en-GB" w:bidi="en-GB" w:eastAsia="en-GB"/>
        </w:rPr>
      </w:pPr>
      <w:r>
        <w:rPr>
          <w:bCs w:val="1"/>
          <w:lang w:val="en-GB" w:bidi="en-GB" w:eastAsia="en-GB"/>
        </w:rPr>
        <w:t>German Pathology Society - DGP</w:t>
      </w:r>
    </w:p>
    <w:p>
      <w:pPr>
        <w:widowControl w:val="1"/>
        <w:tabs>
          <w:tab w:val="left" w:pos="567" w:leader="none"/>
        </w:tabs>
        <w:rPr>
          <w:bCs w:val="1"/>
          <w:lang w:val="en-GB" w:bidi="en-GB" w:eastAsia="en-GB"/>
        </w:rPr>
      </w:pPr>
      <w:r>
        <w:rPr>
          <w:bCs w:val="1"/>
          <w:lang w:val="en-GB" w:bidi="en-GB" w:eastAsia="en-GB"/>
        </w:rPr>
        <w:t>German Radiology Society - DRG</w:t>
      </w:r>
    </w:p>
    <w:p>
      <w:pPr>
        <w:widowControl w:val="1"/>
        <w:tabs>
          <w:tab w:val="left" w:pos="567" w:leader="none"/>
        </w:tabs>
        <w:rPr>
          <w:bCs w:val="1"/>
          <w:lang w:val="en-GB" w:bidi="en-GB" w:eastAsia="en-GB"/>
        </w:rPr>
      </w:pPr>
      <w:r>
        <w:rPr>
          <w:bCs w:val="1"/>
          <w:lang w:val="en-GB" w:bidi="en-GB" w:eastAsia="en-GB"/>
        </w:rPr>
        <w:t>German Respiratory Society - DGP</w:t>
      </w:r>
    </w:p>
    <w:p>
      <w:pPr>
        <w:widowControl w:val="1"/>
        <w:tabs>
          <w:tab w:val="left" w:pos="567" w:leader="none"/>
        </w:tabs>
        <w:rPr>
          <w:bCs w:val="1"/>
          <w:lang w:val="en-GB" w:bidi="en-GB" w:eastAsia="en-GB"/>
        </w:rPr>
      </w:pPr>
      <w:r>
        <w:rPr>
          <w:bCs w:val="1"/>
          <w:lang w:val="en-GB" w:bidi="en-GB" w:eastAsia="en-GB"/>
        </w:rPr>
        <w:t>German Society for Coloproctology – DGK</w:t>
      </w:r>
    </w:p>
    <w:p>
      <w:pPr>
        <w:widowControl w:val="1"/>
        <w:tabs>
          <w:tab w:val="left" w:pos="567" w:leader="none"/>
        </w:tabs>
        <w:rPr>
          <w:bCs w:val="1"/>
          <w:lang w:val="en-GB" w:bidi="en-GB" w:eastAsia="en-GB"/>
        </w:rPr>
      </w:pPr>
      <w:r>
        <w:rPr>
          <w:bCs w:val="1"/>
          <w:lang w:val="en-GB" w:bidi="en-GB" w:eastAsia="en-GB"/>
        </w:rPr>
        <w:t>German Society for Digestive and Metabolic Diseases - DGVS</w:t>
      </w:r>
    </w:p>
    <w:p>
      <w:pPr>
        <w:widowControl w:val="1"/>
        <w:tabs>
          <w:tab w:val="left" w:pos="567" w:leader="none"/>
        </w:tabs>
        <w:rPr>
          <w:bCs w:val="1"/>
          <w:lang w:val="en-GB" w:bidi="en-GB" w:eastAsia="en-GB"/>
        </w:rPr>
      </w:pPr>
      <w:r>
        <w:rPr>
          <w:bCs w:val="1"/>
          <w:lang w:val="en-GB" w:bidi="en-GB" w:eastAsia="en-GB"/>
        </w:rPr>
        <w:t>German Society for Ear-Nose-Throat Medicine, Head and Neck Surgery - DGMKG</w:t>
      </w:r>
    </w:p>
    <w:p>
      <w:pPr>
        <w:widowControl w:val="1"/>
        <w:tabs>
          <w:tab w:val="left" w:pos="567" w:leader="none"/>
        </w:tabs>
        <w:rPr>
          <w:bCs w:val="1"/>
          <w:lang w:val="en-GB" w:bidi="en-GB" w:eastAsia="en-GB"/>
        </w:rPr>
      </w:pPr>
      <w:r>
        <w:rPr>
          <w:bCs w:val="1"/>
          <w:lang w:val="en-GB" w:bidi="en-GB" w:eastAsia="en-GB"/>
        </w:rPr>
        <w:t>German Society for Endocrinology – DGE</w:t>
      </w:r>
    </w:p>
    <w:p>
      <w:pPr>
        <w:widowControl w:val="1"/>
        <w:tabs>
          <w:tab w:val="left" w:pos="567" w:leader="none"/>
        </w:tabs>
        <w:rPr>
          <w:bCs w:val="1"/>
          <w:lang w:val="en-GB" w:bidi="en-GB" w:eastAsia="en-GB"/>
        </w:rPr>
      </w:pPr>
      <w:r>
        <w:rPr>
          <w:bCs w:val="1"/>
          <w:lang w:val="en-GB" w:bidi="en-GB" w:eastAsia="en-GB"/>
        </w:rPr>
        <w:t>German Society for General and Visceral Surgery - DGAV</w:t>
      </w:r>
    </w:p>
    <w:p>
      <w:pPr>
        <w:widowControl w:val="1"/>
        <w:tabs>
          <w:tab w:val="left" w:pos="567" w:leader="none"/>
        </w:tabs>
        <w:rPr>
          <w:bCs w:val="1"/>
          <w:lang w:val="en-GB" w:bidi="en-GB" w:eastAsia="en-GB"/>
        </w:rPr>
      </w:pPr>
      <w:r>
        <w:rPr>
          <w:bCs w:val="1"/>
          <w:lang w:val="en-GB" w:bidi="en-GB" w:eastAsia="en-GB"/>
        </w:rPr>
        <w:t>German Society for Gynaecology and Obstetrics – DGGG</w:t>
      </w:r>
    </w:p>
    <w:p>
      <w:pPr>
        <w:widowControl w:val="1"/>
        <w:tabs>
          <w:tab w:val="left" w:pos="567" w:leader="none"/>
        </w:tabs>
        <w:rPr>
          <w:bCs w:val="1"/>
          <w:lang w:val="en-GB" w:bidi="en-GB" w:eastAsia="en-GB"/>
        </w:rPr>
      </w:pPr>
      <w:r>
        <w:rPr>
          <w:bCs w:val="1"/>
          <w:lang w:val="en-GB" w:bidi="en-GB" w:eastAsia="en-GB"/>
        </w:rPr>
        <w:t>German Society for Interventional Radiology and Minimally Invasive Therapy – DeGIR</w:t>
      </w:r>
    </w:p>
    <w:p>
      <w:pPr>
        <w:widowControl w:val="1"/>
        <w:tabs>
          <w:tab w:val="left" w:pos="567" w:leader="none"/>
        </w:tabs>
        <w:rPr>
          <w:bCs w:val="1"/>
          <w:lang w:val="en-GB" w:bidi="en-GB" w:eastAsia="en-GB"/>
        </w:rPr>
      </w:pPr>
      <w:r>
        <w:rPr>
          <w:bCs w:val="1"/>
          <w:lang w:val="en-GB" w:bidi="en-GB" w:eastAsia="en-GB"/>
        </w:rPr>
        <w:t>German Society for Nuclear Medicine - DGN</w:t>
      </w:r>
    </w:p>
    <w:p>
      <w:pPr>
        <w:widowControl w:val="1"/>
        <w:tabs>
          <w:tab w:val="left" w:pos="567" w:leader="none"/>
        </w:tabs>
        <w:rPr>
          <w:bCs w:val="1"/>
          <w:lang w:val="en-GB" w:bidi="en-GB" w:eastAsia="en-GB"/>
        </w:rPr>
      </w:pPr>
      <w:r>
        <w:rPr>
          <w:bCs w:val="1"/>
          <w:lang w:val="en-GB" w:bidi="en-GB" w:eastAsia="en-GB"/>
        </w:rPr>
        <w:t>German Society for Oral and Maxillofacial Surgery - DGMKG</w:t>
      </w:r>
    </w:p>
    <w:p>
      <w:pPr>
        <w:widowControl w:val="1"/>
        <w:tabs>
          <w:tab w:val="left" w:pos="567" w:leader="none"/>
        </w:tabs>
        <w:rPr>
          <w:bCs w:val="1"/>
          <w:lang w:val="en-GB" w:bidi="en-GB" w:eastAsia="en-GB"/>
        </w:rPr>
      </w:pPr>
      <w:r>
        <w:rPr>
          <w:bCs w:val="1"/>
          <w:lang w:val="en-GB" w:bidi="en-GB" w:eastAsia="en-GB"/>
        </w:rPr>
        <w:t>German Society for Orthopaedics and Orthopaedic Surgery - DGOOC</w:t>
      </w:r>
    </w:p>
    <w:p>
      <w:pPr>
        <w:widowControl w:val="1"/>
        <w:tabs>
          <w:tab w:val="left" w:pos="567" w:leader="none"/>
        </w:tabs>
        <w:rPr>
          <w:bCs w:val="1"/>
          <w:lang w:val="en-GB" w:bidi="en-GB" w:eastAsia="en-GB"/>
        </w:rPr>
      </w:pPr>
      <w:r>
        <w:rPr>
          <w:bCs w:val="1"/>
          <w:lang w:val="en-GB" w:bidi="en-GB" w:eastAsia="en-GB"/>
        </w:rPr>
        <w:t>German Society for Palliative Medicine - DGP</w:t>
      </w:r>
    </w:p>
    <w:p>
      <w:pPr>
        <w:widowControl w:val="1"/>
        <w:tabs>
          <w:tab w:val="left" w:pos="567" w:leader="none"/>
        </w:tabs>
        <w:rPr>
          <w:bCs w:val="1"/>
          <w:lang w:val="en-GB" w:bidi="en-GB" w:eastAsia="en-GB"/>
        </w:rPr>
      </w:pPr>
      <w:r>
        <w:rPr>
          <w:bCs w:val="1"/>
          <w:lang w:val="en-GB" w:bidi="en-GB" w:eastAsia="en-GB"/>
        </w:rPr>
        <w:t>German Society for Radio-oncology - DEGRO</w:t>
      </w:r>
    </w:p>
    <w:p>
      <w:pPr>
        <w:widowControl w:val="1"/>
        <w:tabs>
          <w:tab w:val="left" w:pos="567" w:leader="none"/>
        </w:tabs>
        <w:rPr>
          <w:bCs w:val="1"/>
          <w:lang w:val="en-GB" w:bidi="en-GB" w:eastAsia="en-GB"/>
        </w:rPr>
      </w:pPr>
      <w:r>
        <w:rPr>
          <w:bCs w:val="1"/>
          <w:lang w:val="en-GB" w:bidi="en-GB" w:eastAsia="en-GB"/>
        </w:rPr>
        <w:t>German Society for Senology - DGS</w:t>
      </w:r>
    </w:p>
    <w:p>
      <w:pPr>
        <w:widowControl w:val="1"/>
        <w:tabs>
          <w:tab w:val="left" w:pos="567" w:leader="none"/>
        </w:tabs>
        <w:rPr>
          <w:bCs w:val="1"/>
          <w:lang w:val="en-GB" w:bidi="en-GB" w:eastAsia="en-GB"/>
        </w:rPr>
      </w:pPr>
      <w:r>
        <w:rPr>
          <w:bCs w:val="1"/>
          <w:lang w:val="en-GB" w:bidi="en-GB" w:eastAsia="en-GB"/>
        </w:rPr>
        <w:t>German Society for Thoracic Surgery - DGT</w:t>
      </w:r>
    </w:p>
    <w:p>
      <w:pPr>
        <w:widowControl w:val="1"/>
        <w:tabs>
          <w:tab w:val="left" w:pos="567" w:leader="none"/>
        </w:tabs>
        <w:rPr>
          <w:bCs w:val="1"/>
          <w:lang w:val="en-GB" w:bidi="en-GB" w:eastAsia="en-GB"/>
        </w:rPr>
      </w:pPr>
      <w:r>
        <w:rPr>
          <w:bCs w:val="1"/>
          <w:lang w:val="en-GB" w:bidi="en-GB" w:eastAsia="en-GB"/>
        </w:rPr>
        <w:t xml:space="preserve">German Society of Haematology and Oncology – DGHO </w:t>
      </w:r>
    </w:p>
    <w:p>
      <w:pPr>
        <w:widowControl w:val="1"/>
        <w:tabs>
          <w:tab w:val="left" w:pos="567" w:leader="none"/>
        </w:tabs>
        <w:rPr>
          <w:bCs w:val="1"/>
          <w:lang w:val="en-GB" w:bidi="en-GB" w:eastAsia="en-GB"/>
        </w:rPr>
      </w:pPr>
      <w:r>
        <w:rPr>
          <w:bCs w:val="1"/>
          <w:lang w:val="en-GB" w:bidi="en-GB" w:eastAsia="en-GB"/>
        </w:rPr>
        <w:t>German Society of Plastic, Reconstructive and Aesthetic Surgeons – DGPRÄC</w:t>
      </w:r>
    </w:p>
    <w:p>
      <w:pPr>
        <w:widowControl w:val="1"/>
        <w:tabs>
          <w:tab w:val="left" w:pos="567" w:leader="none"/>
        </w:tabs>
        <w:rPr>
          <w:bCs w:val="1"/>
          <w:lang w:val="en-GB" w:bidi="en-GB" w:eastAsia="en-GB"/>
        </w:rPr>
      </w:pPr>
      <w:r>
        <w:rPr>
          <w:bCs w:val="1"/>
          <w:lang w:val="en-GB" w:bidi="en-GB" w:eastAsia="en-GB"/>
        </w:rPr>
        <w:t>German Society of Urology - DGU</w:t>
      </w:r>
    </w:p>
    <w:p>
      <w:pPr>
        <w:widowControl w:val="1"/>
        <w:tabs>
          <w:tab w:val="left" w:pos="567" w:leader="none"/>
        </w:tabs>
        <w:rPr>
          <w:bCs w:val="1"/>
          <w:lang w:val="en-GB" w:bidi="en-GB" w:eastAsia="en-GB"/>
        </w:rPr>
      </w:pPr>
      <w:r>
        <w:rPr>
          <w:bCs w:val="1"/>
          <w:lang w:val="en-GB" w:bidi="en-GB" w:eastAsia="en-GB"/>
        </w:rPr>
        <w:t>German Surgical Society – DGCH</w:t>
      </w:r>
    </w:p>
    <w:p>
      <w:pPr>
        <w:widowControl w:val="1"/>
        <w:tabs>
          <w:tab w:val="left" w:pos="567" w:leader="none"/>
        </w:tabs>
        <w:ind w:right="284"/>
        <w:rPr>
          <w:bCs w:val="1"/>
          <w:lang w:val="en-GB" w:bidi="en-GB" w:eastAsia="en-GB"/>
        </w:rPr>
      </w:pPr>
      <w:r>
        <w:rPr>
          <w:bCs w:val="1"/>
          <w:lang w:val="en-GB" w:bidi="en-GB" w:eastAsia="en-GB"/>
        </w:rPr>
        <w:t>German Society for Ear, Nose and Throat Medicine, Head and Throat Surgery - DGHNO</w:t>
        <w:tab/>
      </w:r>
    </w:p>
    <w:p>
      <w:pPr>
        <w:widowControl w:val="1"/>
        <w:tabs>
          <w:tab w:val="left" w:pos="709" w:leader="none"/>
          <w:tab w:val="left" w:pos="851" w:leader="none"/>
          <w:tab w:val="left" w:pos="992" w:leader="none"/>
          <w:tab w:val="center" w:pos="4536" w:leader="none"/>
          <w:tab w:val="right" w:pos="9072" w:leader="none"/>
        </w:tabs>
        <w:rPr>
          <w:bCs w:val="1"/>
          <w:lang w:val="en-GB" w:bidi="he-IL" w:eastAsia="de-DE"/>
        </w:rPr>
      </w:pPr>
      <w:r>
        <w:rPr>
          <w:bCs w:val="1"/>
          <w:lang w:val="en-GB" w:bidi="he-IL" w:eastAsia="de-DE"/>
        </w:rPr>
        <w:t>German Society for Senology - DGS</w:t>
        <w:tab/>
        <w:tab/>
        <w:tab/>
      </w:r>
    </w:p>
    <w:p>
      <w:pPr>
        <w:widowControl w:val="1"/>
        <w:tabs>
          <w:tab w:val="left" w:pos="567" w:leader="none"/>
        </w:tabs>
        <w:rPr>
          <w:bCs w:val="1"/>
          <w:lang w:val="en-GB" w:bidi="en-GB" w:eastAsia="en-GB"/>
        </w:rPr>
      </w:pPr>
      <w:r>
        <w:rPr>
          <w:bCs w:val="1"/>
          <w:lang w:val="en-GB" w:bidi="en-GB" w:eastAsia="en-GB"/>
        </w:rPr>
        <w:t>House of Cancer Self-Help - Federal Association e.V.</w:t>
      </w:r>
    </w:p>
    <w:p>
      <w:pPr>
        <w:widowControl w:val="1"/>
        <w:tabs>
          <w:tab w:val="left" w:pos="567" w:leader="none"/>
        </w:tabs>
        <w:rPr>
          <w:bCs w:val="1"/>
          <w:lang w:val="en-GB" w:bidi="en-GB" w:eastAsia="en-GB"/>
        </w:rPr>
      </w:pPr>
      <w:r>
        <w:rPr>
          <w:bCs w:val="1"/>
          <w:lang w:val="en-GB" w:bidi="en-GB" w:eastAsia="en-GB"/>
        </w:rPr>
        <w:t>Neuro-oncology Working Group - NOA</w:t>
      </w:r>
    </w:p>
    <w:p>
      <w:pPr>
        <w:widowControl w:val="1"/>
        <w:tabs>
          <w:tab w:val="left" w:pos="567" w:leader="none"/>
        </w:tabs>
        <w:rPr>
          <w:bCs w:val="1"/>
          <w:lang w:val="en-GB" w:bidi="en-GB" w:eastAsia="en-GB"/>
        </w:rPr>
      </w:pPr>
      <w:r>
        <w:rPr>
          <w:bCs w:val="1"/>
          <w:lang w:val="en-GB" w:bidi="en-GB" w:eastAsia="en-GB"/>
        </w:rPr>
        <w:t>Pneumology-Oncology Working Group - POA</w:t>
      </w:r>
    </w:p>
    <w:p>
      <w:pPr>
        <w:widowControl w:val="1"/>
        <w:tabs>
          <w:tab w:val="left" w:pos="567" w:leader="none"/>
        </w:tabs>
        <w:rPr>
          <w:bCs w:val="1"/>
          <w:lang w:val="en-GB" w:bidi="en-GB" w:eastAsia="en-GB"/>
        </w:rPr>
      </w:pPr>
      <w:r>
        <w:rPr>
          <w:bCs w:val="1"/>
          <w:lang w:val="en-GB" w:bidi="en-GB" w:eastAsia="en-GB"/>
        </w:rPr>
        <w:t>Society for Paediatric Oncology and Haematology - GPOH</w:t>
      </w:r>
    </w:p>
    <w:p>
      <w:pPr>
        <w:widowControl w:val="1"/>
        <w:tabs>
          <w:tab w:val="left" w:pos="567" w:leader="none"/>
        </w:tabs>
        <w:rPr>
          <w:bCs w:val="1"/>
          <w:lang w:val="en-GB" w:bidi="en-GB" w:eastAsia="en-GB"/>
        </w:rPr>
      </w:pPr>
      <w:r>
        <w:rPr>
          <w:bCs w:val="1"/>
          <w:lang w:val="en-GB" w:bidi="en-GB" w:eastAsia="en-GB"/>
        </w:rPr>
        <w:t>Spokesperson of the Network of Comprehensive Cancer Centres (CCC)</w:t>
      </w:r>
    </w:p>
    <w:p>
      <w:pPr>
        <w:widowControl w:val="1"/>
        <w:tabs>
          <w:tab w:val="left" w:pos="567" w:leader="none"/>
        </w:tabs>
        <w:rPr>
          <w:bCs w:val="1"/>
          <w:lang w:val="en-GB" w:bidi="en-GB" w:eastAsia="en-GB"/>
        </w:rPr>
      </w:pPr>
      <w:r>
        <w:rPr>
          <w:bCs w:val="1"/>
          <w:lang w:val="en-GB" w:bidi="en-GB" w:eastAsia="en-GB"/>
        </w:rPr>
        <w:t>Working Group for Oncological Rehabilitation and Social Medicine - AGORS</w:t>
      </w:r>
    </w:p>
    <w:p>
      <w:pPr>
        <w:widowControl w:val="1"/>
        <w:tabs>
          <w:tab w:val="left" w:pos="567" w:leader="none"/>
        </w:tabs>
        <w:rPr>
          <w:bCs w:val="1"/>
          <w:lang w:val="en-GB" w:bidi="en-GB" w:eastAsia="en-GB"/>
        </w:rPr>
      </w:pPr>
      <w:r>
        <w:rPr>
          <w:bCs w:val="1"/>
          <w:lang w:val="en-GB" w:bidi="en-GB" w:eastAsia="en-GB"/>
        </w:rPr>
        <w:t>Working group for Social Work in Oncology – ASO</w:t>
      </w:r>
    </w:p>
    <w:p>
      <w:pPr>
        <w:widowControl w:val="1"/>
        <w:tabs>
          <w:tab w:val="left" w:pos="567" w:leader="none"/>
        </w:tabs>
        <w:rPr>
          <w:bCs w:val="1"/>
          <w:lang w:val="en-GB" w:bidi="en-GB" w:eastAsia="en-GB"/>
        </w:rPr>
      </w:pPr>
      <w:r>
        <w:rPr>
          <w:bCs w:val="1"/>
          <w:lang w:val="en-GB" w:bidi="en-GB" w:eastAsia="en-GB"/>
        </w:rPr>
        <w:t>Working Group for Surgical Oncology – CAO</w:t>
      </w:r>
    </w:p>
    <w:p>
      <w:pPr>
        <w:widowControl w:val="1"/>
        <w:tabs>
          <w:tab w:val="left" w:pos="567" w:leader="none"/>
        </w:tabs>
        <w:rPr>
          <w:bCs w:val="1"/>
          <w:lang w:val="en-GB" w:bidi="en-GB" w:eastAsia="en-GB"/>
        </w:rPr>
      </w:pPr>
      <w:r>
        <w:rPr>
          <w:bCs w:val="1"/>
          <w:lang w:val="en-GB" w:bidi="en-GB" w:eastAsia="en-GB"/>
        </w:rPr>
        <w:t>Working Group of German Tumour Centres - ADT</w:t>
      </w:r>
    </w:p>
    <w:p>
      <w:pPr>
        <w:widowControl w:val="1"/>
        <w:tabs>
          <w:tab w:val="left" w:pos="567" w:leader="none"/>
        </w:tabs>
        <w:rPr>
          <w:bCs w:val="1"/>
          <w:lang w:val="en-GB" w:bidi="en-GB" w:eastAsia="en-GB"/>
        </w:rPr>
      </w:pPr>
      <w:r>
        <w:rPr>
          <w:bCs w:val="1"/>
          <w:lang w:val="en-GB" w:bidi="en-GB" w:eastAsia="en-GB"/>
        </w:rPr>
        <w:t>Working Group on Dermatological Oncology - ADO</w:t>
      </w:r>
    </w:p>
    <w:p>
      <w:pPr>
        <w:widowControl w:val="1"/>
        <w:tabs>
          <w:tab w:val="left" w:pos="567" w:leader="none"/>
        </w:tabs>
        <w:rPr>
          <w:bCs w:val="1"/>
          <w:lang w:val="en-GB" w:bidi="en-GB" w:eastAsia="en-GB"/>
        </w:rPr>
      </w:pPr>
      <w:r>
        <w:rPr>
          <w:bCs w:val="1"/>
          <w:lang w:val="en-GB" w:bidi="en-GB" w:eastAsia="en-GB"/>
        </w:rPr>
        <w:t>Working Group on Ear-Nose-Throat Medicine, Oral and Maxillofacial Surgical Oncology - AHMO</w:t>
      </w:r>
    </w:p>
    <w:p>
      <w:pPr>
        <w:widowControl w:val="1"/>
        <w:tabs>
          <w:tab w:val="left" w:pos="567" w:leader="none"/>
        </w:tabs>
        <w:rPr>
          <w:bCs w:val="1"/>
          <w:lang w:val="en-GB" w:bidi="en-GB" w:eastAsia="en-GB"/>
        </w:rPr>
      </w:pPr>
      <w:r>
        <w:rPr>
          <w:bCs w:val="1"/>
          <w:lang w:val="en-GB" w:bidi="en-GB" w:eastAsia="en-GB"/>
        </w:rPr>
        <w:t>Working Group on Gynaecological Oncology - AGO</w:t>
      </w:r>
    </w:p>
    <w:p>
      <w:pPr>
        <w:widowControl w:val="1"/>
        <w:tabs>
          <w:tab w:val="left" w:pos="567" w:leader="none"/>
        </w:tabs>
        <w:rPr>
          <w:bCs w:val="1"/>
          <w:lang w:val="en-GB" w:bidi="en-GB" w:eastAsia="en-GB"/>
        </w:rPr>
      </w:pPr>
      <w:r>
        <w:rPr>
          <w:bCs w:val="1"/>
          <w:lang w:val="en-GB" w:bidi="en-GB" w:eastAsia="en-GB"/>
        </w:rPr>
        <w:t>Working group on hereditary tumour diseases – AET</w:t>
      </w:r>
    </w:p>
    <w:p>
      <w:pPr>
        <w:widowControl w:val="1"/>
        <w:tabs>
          <w:tab w:val="left" w:pos="567" w:leader="none"/>
        </w:tabs>
        <w:rPr>
          <w:bCs w:val="1"/>
          <w:lang w:val="en-GB" w:bidi="en-GB" w:eastAsia="en-GB"/>
        </w:rPr>
      </w:pPr>
      <w:r>
        <w:rPr>
          <w:bCs w:val="1"/>
          <w:lang w:val="en-GB" w:bidi="en-GB" w:eastAsia="en-GB"/>
        </w:rPr>
        <w:t>Working Group on Internal Oncology – AIO</w:t>
      </w:r>
    </w:p>
    <w:p>
      <w:pPr>
        <w:widowControl w:val="1"/>
        <w:tabs>
          <w:tab w:val="left" w:pos="567" w:leader="none"/>
        </w:tabs>
        <w:rPr>
          <w:bCs w:val="1"/>
          <w:lang w:val="en-GB" w:bidi="en-GB" w:eastAsia="en-GB"/>
        </w:rPr>
      </w:pPr>
      <w:r>
        <w:rPr>
          <w:bCs w:val="1"/>
          <w:lang w:val="en-GB" w:bidi="en-GB" w:eastAsia="en-GB"/>
        </w:rPr>
        <w:t>Working Group on Oncological Pathology - AOP</w:t>
      </w:r>
    </w:p>
    <w:p>
      <w:pPr>
        <w:widowControl w:val="1"/>
        <w:tabs>
          <w:tab w:val="left" w:pos="567" w:leader="none"/>
        </w:tabs>
        <w:rPr>
          <w:bCs w:val="1"/>
          <w:lang w:val="en-GB" w:bidi="en-GB" w:eastAsia="en-GB"/>
        </w:rPr>
      </w:pPr>
      <w:r>
        <w:rPr>
          <w:bCs w:val="1"/>
          <w:lang w:val="en-GB" w:bidi="en-GB" w:eastAsia="en-GB"/>
        </w:rPr>
        <w:t>Working Group on Oncological Pharmacy - OPH</w:t>
      </w:r>
    </w:p>
    <w:p>
      <w:pPr>
        <w:widowControl w:val="1"/>
        <w:tabs>
          <w:tab w:val="left" w:pos="567" w:leader="none"/>
        </w:tabs>
        <w:rPr>
          <w:bCs w:val="1"/>
          <w:lang w:val="en-GB" w:bidi="en-GB" w:eastAsia="en-GB"/>
        </w:rPr>
      </w:pPr>
      <w:r>
        <w:rPr>
          <w:bCs w:val="1"/>
          <w:lang w:val="en-GB" w:bidi="en-GB" w:eastAsia="en-GB"/>
        </w:rPr>
        <w:t>Working Group on Oncological Thoracic Surgery - AOT</w:t>
      </w:r>
    </w:p>
    <w:p>
      <w:pPr>
        <w:widowControl w:val="1"/>
        <w:tabs>
          <w:tab w:val="left" w:pos="284" w:leader="none"/>
        </w:tabs>
        <w:rPr>
          <w:bCs w:val="1"/>
          <w:lang w:val="en-GB" w:bidi="en-GB" w:eastAsia="en-GB"/>
        </w:rPr>
      </w:pPr>
      <w:r>
        <w:rPr>
          <w:bCs w:val="1"/>
          <w:lang w:val="en-GB" w:bidi="en-GB" w:eastAsia="en-GB"/>
        </w:rPr>
        <w:t>Working Group on Oncology - ABO</w:t>
      </w:r>
    </w:p>
    <w:p>
      <w:pPr>
        <w:widowControl w:val="1"/>
        <w:tabs>
          <w:tab w:val="left" w:pos="567" w:leader="none"/>
        </w:tabs>
        <w:rPr>
          <w:bCs w:val="1"/>
          <w:lang w:val="en-GB" w:bidi="en-GB" w:eastAsia="en-GB"/>
        </w:rPr>
      </w:pPr>
      <w:r>
        <w:rPr>
          <w:bCs w:val="1"/>
          <w:lang w:val="en-GB" w:bidi="en-GB" w:eastAsia="en-GB"/>
        </w:rPr>
        <w:t>Working Group on Paediatric Oncology - APO</w:t>
      </w:r>
    </w:p>
    <w:p>
      <w:pPr>
        <w:widowControl w:val="1"/>
        <w:tabs>
          <w:tab w:val="left" w:pos="567" w:leader="none"/>
        </w:tabs>
        <w:rPr>
          <w:bCs w:val="1"/>
          <w:lang w:val="en-GB" w:bidi="en-GB" w:eastAsia="en-GB"/>
        </w:rPr>
      </w:pPr>
      <w:r>
        <w:rPr>
          <w:bCs w:val="1"/>
          <w:lang w:val="en-GB" w:bidi="en-GB" w:eastAsia="en-GB"/>
        </w:rPr>
        <w:t>Working Group on Palliative Medicine - APM</w:t>
      </w:r>
    </w:p>
    <w:p>
      <w:pPr>
        <w:widowControl w:val="1"/>
        <w:tabs>
          <w:tab w:val="left" w:pos="567" w:leader="none"/>
        </w:tabs>
        <w:rPr>
          <w:bCs w:val="1"/>
          <w:lang w:val="en-GB" w:bidi="en-GB" w:eastAsia="en-GB"/>
        </w:rPr>
      </w:pPr>
      <w:r>
        <w:rPr>
          <w:bCs w:val="1"/>
          <w:lang w:val="en-GB" w:bidi="en-GB" w:eastAsia="en-GB"/>
        </w:rPr>
        <w:t>Working Group on Prevention and Integrative Oncology - PRIO</w:t>
      </w:r>
    </w:p>
    <w:p>
      <w:pPr>
        <w:widowControl w:val="1"/>
        <w:tabs>
          <w:tab w:val="left" w:pos="567" w:leader="none"/>
        </w:tabs>
        <w:rPr>
          <w:bCs w:val="1"/>
          <w:lang w:val="en-GB" w:bidi="en-GB" w:eastAsia="en-GB"/>
        </w:rPr>
      </w:pPr>
      <w:r>
        <w:rPr>
          <w:bCs w:val="1"/>
          <w:lang w:val="en-GB" w:bidi="en-GB" w:eastAsia="en-GB"/>
        </w:rPr>
        <w:t>Working Group on Psycho-Oncology - PSO</w:t>
      </w:r>
    </w:p>
    <w:p>
      <w:pPr>
        <w:widowControl w:val="1"/>
        <w:tabs>
          <w:tab w:val="left" w:pos="567" w:leader="none"/>
        </w:tabs>
        <w:rPr>
          <w:bCs w:val="1"/>
          <w:lang w:val="en-GB" w:bidi="en-GB" w:eastAsia="en-GB"/>
        </w:rPr>
      </w:pPr>
      <w:r>
        <w:rPr>
          <w:bCs w:val="1"/>
          <w:lang w:val="en-GB" w:bidi="en-GB" w:eastAsia="en-GB"/>
        </w:rPr>
        <w:t>Working Group on Radiological Oncology - ARO</w:t>
      </w:r>
    </w:p>
    <w:p>
      <w:pPr>
        <w:widowControl w:val="1"/>
        <w:tabs>
          <w:tab w:val="left" w:pos="567" w:leader="none"/>
        </w:tabs>
        <w:rPr>
          <w:bCs w:val="1"/>
          <w:lang w:val="en-GB" w:bidi="en-GB" w:eastAsia="en-GB"/>
        </w:rPr>
      </w:pPr>
      <w:r>
        <w:rPr>
          <w:bCs w:val="1"/>
          <w:lang w:val="en-GB" w:bidi="en-GB" w:eastAsia="en-GB"/>
        </w:rPr>
        <w:t>Working Group on Supportive Measures in Oncology – AGSMO</w:t>
      </w:r>
    </w:p>
    <w:p>
      <w:pPr>
        <w:widowControl w:val="1"/>
        <w:tabs>
          <w:tab w:val="left" w:pos="567" w:leader="none"/>
        </w:tabs>
        <w:rPr>
          <w:bCs w:val="1"/>
          <w:lang w:val="en-GB" w:bidi="en-GB" w:eastAsia="en-GB"/>
        </w:rPr>
      </w:pPr>
      <w:r>
        <w:rPr>
          <w:bCs w:val="1"/>
          <w:lang w:val="en-GB" w:bidi="en-GB" w:eastAsia="en-GB"/>
        </w:rPr>
        <w:t>Working Group on Surgical Oncology - ACO</w:t>
      </w:r>
    </w:p>
    <w:p>
      <w:pPr>
        <w:widowControl w:val="1"/>
        <w:tabs>
          <w:tab w:val="left" w:pos="567" w:leader="none"/>
        </w:tabs>
        <w:rPr>
          <w:bCs w:val="1"/>
          <w:lang w:val="en-GB" w:bidi="en-GB" w:eastAsia="en-GB"/>
        </w:rPr>
      </w:pPr>
      <w:r>
        <w:rPr>
          <w:bCs w:val="1"/>
          <w:lang w:val="en-GB" w:bidi="en-GB" w:eastAsia="en-GB"/>
        </w:rPr>
        <w:t>Working Group on Tumour Classification in Oncology – ATO</w:t>
      </w:r>
    </w:p>
    <w:p>
      <w:pPr>
        <w:widowControl w:val="1"/>
        <w:tabs>
          <w:tab w:val="left" w:pos="567" w:leader="none"/>
        </w:tabs>
        <w:rPr>
          <w:bCs w:val="1"/>
          <w:lang w:val="en-GB" w:bidi="en-GB" w:eastAsia="en-GB"/>
        </w:rPr>
      </w:pPr>
      <w:r>
        <w:rPr>
          <w:bCs w:val="1"/>
          <w:lang w:val="en-GB" w:bidi="en-GB" w:eastAsia="en-GB"/>
        </w:rPr>
        <w:t>Working Group on Uro-oncology - AUO</w:t>
      </w:r>
    </w:p>
    <w:p>
      <w:pPr>
        <w:widowControl w:val="1"/>
        <w:tabs>
          <w:tab w:val="left" w:pos="567" w:leader="none"/>
        </w:tabs>
        <w:rPr>
          <w:bCs w:val="1"/>
          <w:lang w:val="en-GB" w:bidi="en-GB" w:eastAsia="en-GB"/>
        </w:rPr>
      </w:pPr>
    </w:p>
    <w:p>
      <w:pPr>
        <w:widowControl w:val="1"/>
        <w:tabs>
          <w:tab w:val="left" w:pos="567" w:leader="none"/>
        </w:tabs>
        <w:rPr>
          <w:bCs w:val="1"/>
          <w:lang w:val="en-GB" w:bidi="en-GB" w:eastAsia="en-GB"/>
        </w:rPr>
      </w:pPr>
    </w:p>
    <w:p>
      <w:pPr>
        <w:widowControl w:val="1"/>
        <w:rPr>
          <w:b w:val="1"/>
          <w:bCs w:val="1"/>
          <w:lang w:val="en-GB" w:bidi="he-IL" w:eastAsia="de-DE"/>
        </w:rPr>
      </w:pPr>
      <w:r>
        <w:rPr>
          <w:b w:val="1"/>
          <w:bCs w:val="1"/>
          <w:lang w:val="en-GB" w:bidi="en-GB" w:eastAsia="en-GB"/>
        </w:rPr>
        <w:t xml:space="preserve">Annex 5 - </w:t>
      </w:r>
      <w:r>
        <w:rPr>
          <w:b w:val="1"/>
          <w:bCs w:val="1"/>
          <w:lang w:val="en-GB" w:bidi="he-IL" w:eastAsia="de-DE"/>
        </w:rPr>
        <w:t xml:space="preserve">Data Sheet </w:t>
      </w:r>
      <w:r>
        <w:rPr>
          <w:bCs w:val="1"/>
          <w:lang w:val="en-GB" w:bidi="he-IL" w:eastAsia="de-DE"/>
        </w:rPr>
        <w:t xml:space="preserve">– Certcalculator </w:t>
      </w:r>
    </w:p>
    <w:p>
      <w:pPr>
        <w:widowControl w:val="1"/>
        <w:spacing w:lineRule="auto" w:line="276" w:after="200"/>
        <w:rPr>
          <w:bCs w:val="1"/>
          <w:lang w:val="en-GB" w:bidi="en-GB" w:eastAsia="en-GB"/>
        </w:rPr>
      </w:pPr>
    </w:p>
    <w:p>
      <w:pPr>
        <w:widowControl w:val="1"/>
        <w:jc w:val="both"/>
        <w:rPr>
          <w:bCs w:val="1"/>
          <w:lang w:val="en-GB" w:bidi="he-IL" w:eastAsia="de-DE"/>
        </w:rPr>
      </w:pPr>
      <w:r>
        <w:rPr>
          <w:bCs w:val="1"/>
          <w:lang w:val="en-GB" w:bidi="he-IL" w:eastAsia="de-DE"/>
        </w:rPr>
        <w:t>A Data Sheet (EXCEL template) is available for presenting the Basic Data, indicators and other data from the Centre. The Data Sheet is an appendix to the Catalouge of Requirement.</w:t>
      </w:r>
    </w:p>
    <w:p>
      <w:pPr>
        <w:widowControl w:val="1"/>
        <w:jc w:val="both"/>
        <w:rPr>
          <w:bCs w:val="1"/>
          <w:lang w:val="en-GB" w:bidi="he-IL" w:eastAsia="de-DE"/>
        </w:rPr>
      </w:pPr>
    </w:p>
    <w:p>
      <w:pPr>
        <w:pStyle w:val="P64"/>
        <w:rPr>
          <w:rFonts w:ascii="Arial" w:hAnsi="Arial" w:cs="Arial"/>
          <w:sz w:val="20"/>
          <w:szCs w:val="20"/>
          <w:lang w:val="ro-RO" w:bidi="ar-SA"/>
        </w:rPr>
      </w:pPr>
      <w:r>
        <w:rPr>
          <w:bCs w:val="1"/>
          <w:lang w:val="en-GB" w:bidi="he-IL" w:eastAsia="de-DE"/>
        </w:rPr>
        <w:t xml:space="preserve">The EXCEL template can be downloaded from </w:t>
      </w:r>
      <w:hyperlink xmlns:r="http://schemas.openxmlformats.org/officeDocument/2006/relationships" r:id="R11">
        <w:r>
          <w:rPr>
            <w:rStyle w:val="C2"/>
            <w:bCs w:val="1"/>
            <w:lang w:val="en-GB" w:bidi="he-IL" w:eastAsia="de-DE"/>
          </w:rPr>
          <w:t>http://ecc-cert.org/</w:t>
        </w:r>
      </w:hyperlink>
      <w:r>
        <w:rPr>
          <w:bCs w:val="1"/>
          <w:lang w:val="en-GB" w:bidi="he-IL" w:eastAsia="de-DE"/>
        </w:rPr>
        <w:t xml:space="preserve"> and </w:t>
      </w:r>
      <w:hyperlink xmlns:r="http://schemas.openxmlformats.org/officeDocument/2006/relationships" r:id="R12">
        <w:r>
          <w:rPr>
            <w:bCs w:val="1"/>
            <w:color w:val="0000FF"/>
            <w:u w:val="single"/>
            <w:lang w:val="en-GB" w:bidi="he-IL" w:eastAsia="de-DE"/>
          </w:rPr>
          <w:t>www.onkozert.de</w:t>
        </w:r>
      </w:hyperlink>
    </w:p>
    <w:sectPr>
      <w:headerReference xmlns:r="http://schemas.openxmlformats.org/officeDocument/2006/relationships" w:type="first" r:id="RelHdr1"/>
      <w:headerReference xmlns:r="http://schemas.openxmlformats.org/officeDocument/2006/relationships" w:type="default" r:id="RelHdr2"/>
      <w:footerReference xmlns:r="http://schemas.openxmlformats.org/officeDocument/2006/relationships" w:type="first" r:id="RelFtr1"/>
      <w:footerReference xmlns:r="http://schemas.openxmlformats.org/officeDocument/2006/relationships" w:type="default" r:id="RelFtr2"/>
      <w:footnotePr/>
      <w:endnotePr/>
      <w:type w:val="nextPage"/>
      <w:pgSz w:w="11906" w:h="16838" w:code="0"/>
      <w:pgMar w:left="1134" w:right="567" w:top="2127" w:bottom="567" w:header="283" w:footer="283"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670" w:leader="none"/>
        <w:tab w:val="clear" w:pos="9072" w:leader="none"/>
        <w:tab w:val="right" w:pos="10206" w:leader="none"/>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FILENAME </w:instrText>
    </w:r>
    <w:r>
      <w:rPr>
        <w:rFonts w:ascii="Arial" w:hAnsi="Arial" w:cs="Arial"/>
        <w:sz w:val="14"/>
        <w:szCs w:val="14"/>
      </w:rPr>
      <w:fldChar w:fldCharType="separate"/>
    </w:r>
    <w:r>
      <w:rPr>
        <w:rFonts w:ascii="Arial" w:hAnsi="Arial" w:cs="Arial"/>
        <w:noProof w:val="1"/>
        <w:sz w:val="14"/>
        <w:szCs w:val="14"/>
      </w:rPr>
      <w:t>eb</w:t>
    </w:r>
    <w:r>
      <w:rPr>
        <w:rFonts w:ascii="Arial" w:hAnsi="Arial" w:cs="Arial"/>
        <w:noProof w:val="1"/>
        <w:sz w:val="14"/>
        <w:szCs w:val="14"/>
      </w:rPr>
      <w:t>_</w:t>
    </w:r>
    <w:r>
      <w:rPr>
        <w:rFonts w:ascii="Arial" w:hAnsi="Arial" w:cs="Arial"/>
        <w:noProof w:val="1"/>
        <w:sz w:val="14"/>
        <w:szCs w:val="14"/>
      </w:rPr>
      <w:t>oz</w:t>
    </w:r>
    <w:r>
      <w:rPr>
        <w:rFonts w:ascii="Arial" w:hAnsi="Arial" w:cs="Arial"/>
        <w:noProof w:val="1"/>
        <w:sz w:val="14"/>
        <w:szCs w:val="14"/>
      </w:rPr>
      <w:t>-</w:t>
    </w:r>
    <w:r>
      <w:rPr>
        <w:rFonts w:ascii="Arial" w:hAnsi="Arial" w:cs="Arial"/>
        <w:noProof w:val="1"/>
        <w:sz w:val="14"/>
        <w:szCs w:val="14"/>
      </w:rPr>
      <w:t>K4</w:t>
    </w:r>
    <w:r>
      <w:rPr>
        <w:rFonts w:ascii="Arial" w:hAnsi="Arial" w:cs="Arial"/>
        <w:noProof w:val="1"/>
        <w:sz w:val="14"/>
        <w:szCs w:val="14"/>
      </w:rPr>
      <w:t>_</w:t>
    </w:r>
    <w:r>
      <w:rPr>
        <w:rFonts w:ascii="Arial" w:hAnsi="Arial" w:cs="Arial"/>
        <w:noProof w:val="1"/>
        <w:sz w:val="14"/>
        <w:szCs w:val="14"/>
      </w:rPr>
      <w:t>220831</w:t>
    </w:r>
    <w:r>
      <w:rPr>
        <w:rFonts w:ascii="Arial" w:hAnsi="Arial" w:cs="Arial"/>
        <w:sz w:val="14"/>
        <w:szCs w:val="14"/>
      </w:rPr>
      <w:fldChar w:fldCharType="end"/>
    </w:r>
    <w:r>
      <w:rPr>
        <w:rFonts w:ascii="Arial" w:hAnsi="Arial" w:cs="Arial"/>
        <w:sz w:val="14"/>
        <w:szCs w:val="14"/>
      </w:rPr>
      <w:tab/>
      <w:t xml:space="preserve">© 2013 DKG alle Rechte vorbehalten   </w:t>
      <w:tab/>
      <w:t xml:space="preserve">Seite </w:t>
    </w:r>
    <w:r>
      <w:rPr>
        <w:rStyle w:val="C3"/>
        <w:rFonts w:ascii="Arial" w:hAnsi="Arial" w:cs="Arial"/>
        <w:sz w:val="14"/>
        <w:szCs w:val="14"/>
      </w:rPr>
      <w:fldChar w:fldCharType="begin"/>
    </w:r>
    <w:r>
      <w:rPr>
        <w:rStyle w:val="C3"/>
        <w:rFonts w:ascii="Arial" w:hAnsi="Arial" w:cs="Arial"/>
        <w:sz w:val="14"/>
        <w:szCs w:val="14"/>
      </w:rPr>
      <w:instrText xml:space="preserve"> PAGE </w:instrText>
    </w:r>
    <w:r>
      <w:rPr>
        <w:rStyle w:val="C3"/>
        <w:rFonts w:ascii="Arial" w:hAnsi="Arial" w:cs="Arial"/>
        <w:sz w:val="14"/>
        <w:szCs w:val="14"/>
      </w:rPr>
      <w:fldChar w:fldCharType="separate"/>
    </w:r>
    <w:r>
      <w:rPr>
        <w:rStyle w:val="C3"/>
        <w:rFonts w:ascii="Arial" w:hAnsi="Arial" w:cs="Arial"/>
        <w:sz w:val="14"/>
        <w:szCs w:val="14"/>
      </w:rPr>
      <w:t>#</w:t>
    </w:r>
    <w:r>
      <w:rPr>
        <w:rStyle w:val="C3"/>
        <w:rFonts w:ascii="Arial" w:hAnsi="Arial" w:cs="Arial"/>
        <w:sz w:val="14"/>
        <w:szCs w:val="14"/>
      </w:rPr>
      <w:fldChar w:fldCharType="end"/>
    </w:r>
    <w:r>
      <w:rPr>
        <w:rStyle w:val="C3"/>
        <w:rFonts w:ascii="Arial" w:hAnsi="Arial" w:cs="Arial"/>
        <w:sz w:val="14"/>
        <w:szCs w:val="14"/>
      </w:rPr>
      <w:t xml:space="preserve"> von </w:t>
    </w:r>
    <w:r>
      <w:rPr>
        <w:rStyle w:val="C3"/>
        <w:rFonts w:ascii="Arial" w:hAnsi="Arial" w:cs="Arial"/>
        <w:sz w:val="14"/>
        <w:szCs w:val="14"/>
      </w:rPr>
      <w:fldChar w:fldCharType="begin"/>
    </w:r>
    <w:r>
      <w:rPr>
        <w:rStyle w:val="C3"/>
        <w:rFonts w:ascii="Arial" w:hAnsi="Arial" w:cs="Arial"/>
        <w:sz w:val="14"/>
        <w:szCs w:val="14"/>
      </w:rPr>
      <w:instrText xml:space="preserve"> NUMPAGES </w:instrText>
    </w:r>
    <w:r>
      <w:rPr>
        <w:rStyle w:val="C3"/>
        <w:rFonts w:ascii="Arial" w:hAnsi="Arial" w:cs="Arial"/>
        <w:sz w:val="14"/>
        <w:szCs w:val="14"/>
      </w:rPr>
      <w:fldChar w:fldCharType="separate"/>
    </w:r>
    <w:r>
      <w:rPr>
        <w:rStyle w:val="C3"/>
        <w:rFonts w:ascii="Arial" w:hAnsi="Arial" w:cs="Arial"/>
        <w:sz w:val="14"/>
        <w:szCs w:val="14"/>
      </w:rPr>
      <w:t>#</w:t>
    </w:r>
    <w:r>
      <w:rPr>
        <w:rStyle w:val="C3"/>
        <w:rFonts w:ascii="Arial" w:hAnsi="Arial" w:cs="Arial"/>
        <w:sz w:val="14"/>
        <w:szCs w:val="14"/>
      </w:rPr>
      <w:fldChar w:fldCharType="end"/>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left" w:pos="2977" w:leader="none"/>
        <w:tab w:val="clear" w:pos="4536" w:leader="none"/>
        <w:tab w:val="center" w:pos="5245" w:leader="none"/>
        <w:tab w:val="left" w:pos="8364" w:leader="none"/>
        <w:tab w:val="clear" w:pos="9072" w:leader="none"/>
        <w:tab w:val="right" w:pos="9923" w:leader="none"/>
      </w:tabs>
      <w:rPr>
        <w:sz w:val="14"/>
        <w:szCs w:val="14"/>
        <w:lang w:val="en-US"/>
      </w:rPr>
    </w:pPr>
    <w:r>
      <w:rPr>
        <w:rFonts w:ascii="Arial" w:hAnsi="Arial" w:cs="Arial"/>
        <w:sz w:val="14"/>
        <w:szCs w:val="14"/>
      </w:rPr>
      <w:fldChar w:fldCharType="begin"/>
    </w:r>
    <w:r>
      <w:rPr>
        <w:rFonts w:ascii="Arial" w:hAnsi="Arial" w:cs="Arial"/>
        <w:sz w:val="14"/>
        <w:szCs w:val="14"/>
        <w:lang w:val="en-US"/>
      </w:rPr>
      <w:instrText xml:space="preserve"> TITLE   \* MERGEFORMAT </w:instrText>
    </w:r>
    <w:r>
      <w:rPr>
        <w:rFonts w:ascii="Arial" w:hAnsi="Arial" w:cs="Arial"/>
        <w:sz w:val="14"/>
        <w:szCs w:val="14"/>
      </w:rPr>
      <w:fldChar w:fldCharType="separate"/>
    </w:r>
    <w:r>
      <w:rPr>
        <w:rFonts w:ascii="Arial" w:hAnsi="Arial" w:cs="Arial"/>
        <w:sz w:val="14"/>
        <w:szCs w:val="14"/>
        <w:lang w:val="en-US"/>
      </w:rPr>
      <w:t>cr</w:t>
    </w:r>
    <w:r>
      <w:rPr>
        <w:rFonts w:ascii="Arial" w:hAnsi="Arial" w:cs="Arial"/>
        <w:sz w:val="14"/>
        <w:szCs w:val="14"/>
        <w:lang w:val="en-US"/>
      </w:rPr>
      <w:t>_</w:t>
    </w:r>
    <w:r>
      <w:rPr>
        <w:rFonts w:ascii="Arial" w:hAnsi="Arial" w:cs="Arial"/>
        <w:sz w:val="14"/>
        <w:szCs w:val="14"/>
        <w:lang w:val="en-US"/>
      </w:rPr>
      <w:t>oc</w:t>
    </w:r>
    <w:r>
      <w:rPr>
        <w:rFonts w:ascii="Arial" w:hAnsi="Arial" w:cs="Arial"/>
        <w:sz w:val="14"/>
        <w:szCs w:val="14"/>
        <w:lang w:val="en-US"/>
      </w:rPr>
      <w:t>-</w:t>
    </w:r>
    <w:r>
      <w:rPr>
        <w:rFonts w:ascii="Arial" w:hAnsi="Arial" w:cs="Arial"/>
        <w:sz w:val="14"/>
        <w:szCs w:val="14"/>
        <w:lang w:val="en-US"/>
      </w:rPr>
      <w:t>N1</w:t>
    </w:r>
    <w:r>
      <w:rPr>
        <w:rFonts w:ascii="Arial" w:hAnsi="Arial" w:cs="Arial"/>
        <w:sz w:val="14"/>
        <w:szCs w:val="14"/>
        <w:lang w:val="en-US"/>
      </w:rPr>
      <w:t>_</w:t>
    </w:r>
    <w:r>
      <w:rPr>
        <w:rFonts w:ascii="Arial" w:hAnsi="Arial" w:cs="Arial"/>
        <w:sz w:val="14"/>
        <w:szCs w:val="14"/>
        <w:lang w:val="en-US"/>
      </w:rPr>
      <w:t>ENG</w:t>
    </w:r>
    <w:r>
      <w:rPr>
        <w:rFonts w:ascii="Arial" w:hAnsi="Arial" w:cs="Arial"/>
        <w:sz w:val="14"/>
        <w:szCs w:val="14"/>
        <w:lang w:val="en-US"/>
      </w:rPr>
      <w:t>_</w:t>
    </w:r>
    <w:r>
      <w:rPr>
        <w:rFonts w:ascii="Arial" w:hAnsi="Arial" w:cs="Arial"/>
        <w:sz w:val="14"/>
        <w:szCs w:val="14"/>
        <w:lang w:val="en-US"/>
      </w:rPr>
      <w:t>251215</w:t>
    </w:r>
    <w:r>
      <w:rPr>
        <w:rFonts w:ascii="Arial" w:hAnsi="Arial" w:cs="Arial"/>
        <w:sz w:val="14"/>
        <w:szCs w:val="14"/>
        <w:lang w:val="en-US"/>
      </w:rPr>
      <w:t>.</w:t>
    </w:r>
    <w:r>
      <w:rPr>
        <w:rFonts w:ascii="Arial" w:hAnsi="Arial" w:cs="Arial"/>
        <w:sz w:val="14"/>
        <w:szCs w:val="14"/>
        <w:lang w:val="en-US"/>
      </w:rPr>
      <w:t>docx</w:t>
    </w:r>
    <w:r>
      <w:rPr>
        <w:rFonts w:ascii="Arial" w:hAnsi="Arial" w:cs="Arial"/>
        <w:sz w:val="14"/>
        <w:szCs w:val="14"/>
      </w:rPr>
      <w:fldChar w:fldCharType="end"/>
    </w:r>
    <w:r>
      <w:rPr>
        <w:rFonts w:ascii="Arial" w:hAnsi="Arial" w:cs="Arial"/>
        <w:sz w:val="14"/>
        <w:szCs w:val="14"/>
        <w:lang w:val="en-US"/>
      </w:rPr>
      <w:tab/>
      <w:t xml:space="preserve">© DKG  All rights reserved </w:t>
    </w:r>
    <w:r>
      <w:rPr>
        <w:rFonts w:ascii="Arial" w:hAnsi="Arial" w:cs="Arial"/>
        <w:sz w:val="14"/>
        <w:szCs w:val="14"/>
        <w:lang w:val="en-US"/>
      </w:rPr>
      <w:t>(</w:t>
    </w:r>
    <w:r>
      <w:rPr>
        <w:rFonts w:ascii="Arial" w:hAnsi="Arial" w:cs="Arial"/>
        <w:sz w:val="14"/>
        <w:szCs w:val="14"/>
        <w:lang w:val="en-US"/>
      </w:rPr>
      <w:t>Vers N1</w:t>
    </w:r>
    <w:r>
      <w:rPr>
        <w:rFonts w:ascii="Arial" w:hAnsi="Arial" w:cs="Arial"/>
        <w:sz w:val="14"/>
        <w:szCs w:val="14"/>
        <w:lang w:val="en-US"/>
      </w:rPr>
      <w:t>,</w:t>
    </w:r>
    <w:r>
      <w:rPr>
        <w:rFonts w:ascii="Arial" w:hAnsi="Arial" w:cs="Arial"/>
        <w:sz w:val="14"/>
        <w:szCs w:val="14"/>
        <w:lang w:val="en-US"/>
      </w:rPr>
      <w:t xml:space="preserve"> 15 Dec</w:t>
    </w:r>
    <w:r>
      <w:rPr>
        <w:rFonts w:ascii="Arial" w:hAnsi="Arial" w:cs="Arial"/>
        <w:sz w:val="14"/>
        <w:szCs w:val="14"/>
        <w:lang w:val="en-US"/>
      </w:rPr>
      <w:t>.</w:t>
    </w:r>
    <w:r>
      <w:rPr>
        <w:rFonts w:ascii="Arial" w:hAnsi="Arial" w:cs="Arial"/>
        <w:sz w:val="14"/>
        <w:szCs w:val="14"/>
        <w:lang w:val="en-US"/>
      </w:rPr>
      <w:t xml:space="preserve"> 2025</w:t>
    </w:r>
    <w:r>
      <w:rPr>
        <w:rFonts w:ascii="Arial" w:hAnsi="Arial" w:cs="Arial"/>
        <w:sz w:val="14"/>
        <w:szCs w:val="14"/>
        <w:lang w:val="en-US"/>
      </w:rPr>
      <w:t>)</w:t>
    </w:r>
    <w:r>
      <w:rPr>
        <w:rFonts w:ascii="Arial" w:hAnsi="Arial" w:cs="Arial"/>
        <w:sz w:val="14"/>
        <w:szCs w:val="14"/>
        <w:lang w:val="en-US"/>
      </w:rPr>
      <w:tab/>
    </w:r>
    <w:r>
      <w:rPr>
        <w:rFonts w:ascii="Arial" w:hAnsi="Arial" w:cs="Arial"/>
        <w:sz w:val="14"/>
        <w:szCs w:val="14"/>
      </w:rPr>
      <w:fldChar w:fldCharType="begin"/>
    </w:r>
    <w:r>
      <w:rPr>
        <w:rFonts w:ascii="Arial" w:hAnsi="Arial" w:cs="Arial"/>
        <w:sz w:val="14"/>
        <w:szCs w:val="14"/>
        <w:lang w:val="en-US"/>
      </w:rPr>
      <w:instrText xml:space="preserve"> PAGE  \* Arabic  \* MERGEFORMAT </w:instrText>
    </w:r>
    <w:r>
      <w:rPr>
        <w:rFonts w:ascii="Arial" w:hAnsi="Arial" w:cs="Arial"/>
        <w:sz w:val="14"/>
        <w:szCs w:val="14"/>
      </w:rPr>
      <w:fldChar w:fldCharType="separate"/>
    </w:r>
    <w:r>
      <w:rPr>
        <w:rFonts w:ascii="Arial" w:hAnsi="Arial" w:cs="Arial"/>
        <w:noProof w:val="1"/>
        <w:sz w:val="14"/>
        <w:szCs w:val="14"/>
        <w:lang w:val="en-US"/>
      </w:rPr>
      <w:t>#</w:t>
    </w:r>
    <w:r>
      <w:rPr>
        <w:rFonts w:ascii="Arial" w:hAnsi="Arial" w:cs="Arial"/>
        <w:sz w:val="14"/>
        <w:szCs w:val="14"/>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 w:id="1">
    <w:p>
      <w:pPr>
        <w:pStyle w:val="P34"/>
        <w:rPr>
          <w:rFonts w:ascii="Arial" w:hAnsi="Arial" w:cs="Arial"/>
          <w:sz w:val="16"/>
          <w:szCs w:val="16"/>
        </w:rPr>
      </w:pPr>
      <w:r>
        <w:rPr>
          <w:rStyle w:val="C14"/>
          <w:sz w:val="16"/>
        </w:rPr>
        <w:footnoteRef/>
      </w:r>
      <w:r>
        <w:rPr>
          <w:sz w:val="16"/>
        </w:rPr>
        <w:t xml:space="preserve"> </w:t>
      </w:r>
      <w:hyperlink xmlns:r="http://schemas.openxmlformats.org/officeDocument/2006/relationships" r:id="R13">
        <w:r>
          <w:rPr>
            <w:rStyle w:val="C2"/>
            <w:rFonts w:ascii="Arial" w:hAnsi="Arial"/>
            <w:sz w:val="16"/>
          </w:rPr>
          <w:t>http</w:t>
        </w:r>
        <w:r>
          <w:rPr>
            <w:rStyle w:val="C2"/>
            <w:rFonts w:ascii="Arial" w:hAnsi="Arial"/>
            <w:sz w:val="16"/>
          </w:rPr>
          <w:t>:</w:t>
        </w:r>
        <w:r>
          <w:rPr>
            <w:rStyle w:val="C2"/>
            <w:rFonts w:ascii="Arial" w:hAnsi="Arial"/>
            <w:sz w:val="16"/>
          </w:rPr>
          <w:t>/</w:t>
        </w:r>
        <w:r>
          <w:rPr>
            <w:rStyle w:val="C2"/>
            <w:rFonts w:ascii="Arial" w:hAnsi="Arial"/>
            <w:sz w:val="16"/>
          </w:rPr>
          <w:t>/</w:t>
        </w:r>
        <w:r>
          <w:rPr>
            <w:rStyle w:val="C2"/>
            <w:rFonts w:ascii="Arial" w:hAnsi="Arial"/>
            <w:sz w:val="16"/>
          </w:rPr>
          <w:t>www</w:t>
        </w:r>
        <w:r>
          <w:rPr>
            <w:rStyle w:val="C2"/>
            <w:rFonts w:ascii="Arial" w:hAnsi="Arial"/>
            <w:sz w:val="16"/>
          </w:rPr>
          <w:t>.</w:t>
        </w:r>
        <w:r>
          <w:rPr>
            <w:rStyle w:val="C2"/>
            <w:rFonts w:ascii="Arial" w:hAnsi="Arial"/>
            <w:sz w:val="16"/>
          </w:rPr>
          <w:t>bmg</w:t>
        </w:r>
        <w:r>
          <w:rPr>
            <w:rStyle w:val="C2"/>
            <w:rFonts w:ascii="Arial" w:hAnsi="Arial"/>
            <w:sz w:val="16"/>
          </w:rPr>
          <w:t>.</w:t>
        </w:r>
        <w:r>
          <w:rPr>
            <w:rStyle w:val="C2"/>
            <w:rFonts w:ascii="Arial" w:hAnsi="Arial"/>
            <w:sz w:val="16"/>
          </w:rPr>
          <w:t>bund</w:t>
        </w:r>
        <w:r>
          <w:rPr>
            <w:rStyle w:val="C2"/>
            <w:rFonts w:ascii="Arial" w:hAnsi="Arial"/>
            <w:sz w:val="16"/>
          </w:rPr>
          <w:t>.</w:t>
        </w:r>
        <w:r>
          <w:rPr>
            <w:rStyle w:val="C2"/>
            <w:rFonts w:ascii="Arial" w:hAnsi="Arial"/>
            <w:sz w:val="16"/>
          </w:rPr>
          <w:t>de</w:t>
        </w:r>
        <w:r>
          <w:rPr>
            <w:rStyle w:val="C2"/>
            <w:rFonts w:ascii="Arial" w:hAnsi="Arial"/>
            <w:sz w:val="16"/>
          </w:rPr>
          <w:t>/</w:t>
        </w:r>
        <w:r>
          <w:rPr>
            <w:rStyle w:val="C2"/>
            <w:rFonts w:ascii="Arial" w:hAnsi="Arial"/>
            <w:sz w:val="16"/>
          </w:rPr>
          <w:t>fileadmin</w:t>
        </w:r>
        <w:r>
          <w:rPr>
            <w:rStyle w:val="C2"/>
            <w:rFonts w:ascii="Arial" w:hAnsi="Arial"/>
            <w:sz w:val="16"/>
          </w:rPr>
          <w:t>/</w:t>
        </w:r>
        <w:r>
          <w:rPr>
            <w:rStyle w:val="C2"/>
            <w:rFonts w:ascii="Arial" w:hAnsi="Arial"/>
            <w:sz w:val="16"/>
          </w:rPr>
          <w:t>dateien</w:t>
        </w:r>
        <w:r>
          <w:rPr>
            <w:rStyle w:val="C2"/>
            <w:rFonts w:ascii="Arial" w:hAnsi="Arial"/>
            <w:sz w:val="16"/>
          </w:rPr>
          <w:t>/</w:t>
        </w:r>
        <w:r>
          <w:rPr>
            <w:rStyle w:val="C2"/>
            <w:rFonts w:ascii="Arial" w:hAnsi="Arial"/>
            <w:sz w:val="16"/>
          </w:rPr>
          <w:t>Downloads</w:t>
        </w:r>
        <w:r>
          <w:rPr>
            <w:rStyle w:val="C2"/>
            <w:rFonts w:ascii="Arial" w:hAnsi="Arial"/>
            <w:sz w:val="16"/>
          </w:rPr>
          <w:t>/</w:t>
        </w:r>
        <w:r>
          <w:rPr>
            <w:rStyle w:val="C2"/>
            <w:rFonts w:ascii="Arial" w:hAnsi="Arial"/>
            <w:sz w:val="16"/>
          </w:rPr>
          <w:t>N</w:t>
        </w:r>
        <w:r>
          <w:rPr>
            <w:rStyle w:val="C2"/>
            <w:rFonts w:ascii="Arial" w:hAnsi="Arial"/>
            <w:sz w:val="16"/>
          </w:rPr>
          <w:t>/</w:t>
        </w:r>
        <w:r>
          <w:rPr>
            <w:rStyle w:val="C2"/>
            <w:rFonts w:ascii="Arial" w:hAnsi="Arial"/>
            <w:sz w:val="16"/>
          </w:rPr>
          <w:t>Nationaler</w:t>
        </w:r>
        <w:r>
          <w:rPr>
            <w:rStyle w:val="C2"/>
            <w:rFonts w:ascii="Arial" w:hAnsi="Arial"/>
            <w:sz w:val="16"/>
          </w:rPr>
          <w:t>_</w:t>
        </w:r>
        <w:r>
          <w:rPr>
            <w:rStyle w:val="C2"/>
            <w:rFonts w:ascii="Arial" w:hAnsi="Arial"/>
            <w:sz w:val="16"/>
          </w:rPr>
          <w:t>Krebsplan</w:t>
        </w:r>
        <w:r>
          <w:rPr>
            <w:rStyle w:val="C2"/>
            <w:rFonts w:ascii="Arial" w:hAnsi="Arial"/>
            <w:sz w:val="16"/>
          </w:rPr>
          <w:t>/</w:t>
        </w:r>
        <w:r>
          <w:rPr>
            <w:rStyle w:val="C2"/>
            <w:rFonts w:ascii="Arial" w:hAnsi="Arial"/>
            <w:sz w:val="16"/>
          </w:rPr>
          <w:t>Ziel</w:t>
        </w:r>
        <w:r>
          <w:rPr>
            <w:rStyle w:val="C2"/>
            <w:rFonts w:ascii="Arial" w:hAnsi="Arial"/>
            <w:sz w:val="16"/>
          </w:rPr>
          <w:t>_</w:t>
        </w:r>
        <w:r>
          <w:rPr>
            <w:rStyle w:val="C2"/>
            <w:rFonts w:ascii="Arial" w:hAnsi="Arial"/>
            <w:sz w:val="16"/>
          </w:rPr>
          <w:t>5</w:t>
        </w:r>
        <w:r>
          <w:rPr>
            <w:rStyle w:val="C2"/>
            <w:rFonts w:ascii="Arial" w:hAnsi="Arial"/>
            <w:sz w:val="16"/>
          </w:rPr>
          <w:t>-</w:t>
        </w:r>
        <w:r>
          <w:rPr>
            <w:rStyle w:val="C2"/>
            <w:rFonts w:ascii="Arial" w:hAnsi="Arial"/>
            <w:sz w:val="16"/>
          </w:rPr>
          <w:t>Nationaler</w:t>
        </w:r>
        <w:r>
          <w:rPr>
            <w:rStyle w:val="C2"/>
            <w:rFonts w:ascii="Arial" w:hAnsi="Arial"/>
            <w:sz w:val="16"/>
          </w:rPr>
          <w:t>_</w:t>
        </w:r>
        <w:r>
          <w:rPr>
            <w:rStyle w:val="C2"/>
            <w:rFonts w:ascii="Arial" w:hAnsi="Arial"/>
            <w:sz w:val="16"/>
          </w:rPr>
          <w:t>Krebsplan</w:t>
        </w:r>
        <w:r>
          <w:rPr>
            <w:rStyle w:val="C2"/>
            <w:rFonts w:ascii="Arial" w:hAnsi="Arial"/>
            <w:sz w:val="16"/>
          </w:rPr>
          <w:t>.</w:t>
        </w:r>
        <w:r>
          <w:rPr>
            <w:rStyle w:val="C2"/>
            <w:rFonts w:ascii="Arial" w:hAnsi="Arial"/>
            <w:sz w:val="16"/>
          </w:rPr>
          <w:t>pdf</w:t>
        </w:r>
      </w:hyperlink>
      <w:r>
        <w:rPr>
          <w:rFonts w:ascii="Arial" w:hAnsi="Arial"/>
          <w:sz w:val="16"/>
        </w:rPr>
        <w:t xml:space="preserve"> </w:t>
      </w:r>
    </w:p>
  </w:footnote>
  <w:footnote w:id="2">
    <w:p>
      <w:pPr>
        <w:pStyle w:val="P34"/>
        <w:rPr>
          <w:rFonts w:ascii="Arial" w:hAnsi="Arial" w:cs="Arial"/>
          <w:sz w:val="16"/>
          <w:szCs w:val="16"/>
        </w:rPr>
      </w:pPr>
      <w:r>
        <w:rPr>
          <w:rStyle w:val="C14"/>
          <w:rFonts w:ascii="Arial" w:hAnsi="Arial"/>
          <w:sz w:val="16"/>
        </w:rPr>
        <w:footnoteRef/>
      </w:r>
      <w:r>
        <w:rPr>
          <w:rFonts w:ascii="Arial" w:hAnsi="Arial"/>
          <w:sz w:val="16"/>
        </w:rPr>
        <w:t xml:space="preserve"> </w:t>
      </w:r>
      <w:hyperlink xmlns:r="http://schemas.openxmlformats.org/officeDocument/2006/relationships" r:id="R14">
        <w:r>
          <w:rPr>
            <w:rStyle w:val="C2"/>
            <w:rFonts w:ascii="Arial" w:hAnsi="Arial"/>
            <w:sz w:val="16"/>
          </w:rPr>
          <w:t>http</w:t>
        </w:r>
        <w:r>
          <w:rPr>
            <w:rStyle w:val="C2"/>
            <w:rFonts w:ascii="Arial" w:hAnsi="Arial"/>
            <w:sz w:val="16"/>
          </w:rPr>
          <w:t>:</w:t>
        </w:r>
        <w:r>
          <w:rPr>
            <w:rStyle w:val="C2"/>
            <w:rFonts w:ascii="Arial" w:hAnsi="Arial"/>
            <w:sz w:val="16"/>
          </w:rPr>
          <w:t>/</w:t>
        </w:r>
        <w:r>
          <w:rPr>
            <w:rStyle w:val="C2"/>
            <w:rFonts w:ascii="Arial" w:hAnsi="Arial"/>
            <w:sz w:val="16"/>
          </w:rPr>
          <w:t>/</w:t>
        </w:r>
        <w:r>
          <w:rPr>
            <w:rStyle w:val="C2"/>
            <w:rFonts w:ascii="Arial" w:hAnsi="Arial"/>
            <w:sz w:val="16"/>
          </w:rPr>
          <w:t>www</w:t>
        </w:r>
        <w:r>
          <w:rPr>
            <w:rStyle w:val="C2"/>
            <w:rFonts w:ascii="Arial" w:hAnsi="Arial"/>
            <w:sz w:val="16"/>
          </w:rPr>
          <w:t>.</w:t>
        </w:r>
        <w:r>
          <w:rPr>
            <w:rStyle w:val="C2"/>
            <w:rFonts w:ascii="Arial" w:hAnsi="Arial"/>
            <w:sz w:val="16"/>
          </w:rPr>
          <w:t>bmg</w:t>
        </w:r>
        <w:r>
          <w:rPr>
            <w:rStyle w:val="C2"/>
            <w:rFonts w:ascii="Arial" w:hAnsi="Arial"/>
            <w:sz w:val="16"/>
          </w:rPr>
          <w:t>.</w:t>
        </w:r>
        <w:r>
          <w:rPr>
            <w:rStyle w:val="C2"/>
            <w:rFonts w:ascii="Arial" w:hAnsi="Arial"/>
            <w:sz w:val="16"/>
          </w:rPr>
          <w:t>bund</w:t>
        </w:r>
        <w:r>
          <w:rPr>
            <w:rStyle w:val="C2"/>
            <w:rFonts w:ascii="Arial" w:hAnsi="Arial"/>
            <w:sz w:val="16"/>
          </w:rPr>
          <w:t>.</w:t>
        </w:r>
        <w:r>
          <w:rPr>
            <w:rStyle w:val="C2"/>
            <w:rFonts w:ascii="Arial" w:hAnsi="Arial"/>
            <w:sz w:val="16"/>
          </w:rPr>
          <w:t>de</w:t>
        </w:r>
        <w:r>
          <w:rPr>
            <w:rStyle w:val="C2"/>
            <w:rFonts w:ascii="Arial" w:hAnsi="Arial"/>
            <w:sz w:val="16"/>
          </w:rPr>
          <w:t>/</w:t>
        </w:r>
        <w:r>
          <w:rPr>
            <w:rStyle w:val="C2"/>
            <w:rFonts w:ascii="Arial" w:hAnsi="Arial"/>
            <w:sz w:val="16"/>
          </w:rPr>
          <w:t>fileadmin</w:t>
        </w:r>
        <w:r>
          <w:rPr>
            <w:rStyle w:val="C2"/>
            <w:rFonts w:ascii="Arial" w:hAnsi="Arial"/>
            <w:sz w:val="16"/>
          </w:rPr>
          <w:t>/</w:t>
        </w:r>
        <w:r>
          <w:rPr>
            <w:rStyle w:val="C2"/>
            <w:rFonts w:ascii="Arial" w:hAnsi="Arial"/>
            <w:sz w:val="16"/>
          </w:rPr>
          <w:t>dateien</w:t>
        </w:r>
        <w:r>
          <w:rPr>
            <w:rStyle w:val="C2"/>
            <w:rFonts w:ascii="Arial" w:hAnsi="Arial"/>
            <w:sz w:val="16"/>
          </w:rPr>
          <w:t>/</w:t>
        </w:r>
        <w:r>
          <w:rPr>
            <w:rStyle w:val="C2"/>
            <w:rFonts w:ascii="Arial" w:hAnsi="Arial"/>
            <w:sz w:val="16"/>
          </w:rPr>
          <w:t>Downloads</w:t>
        </w:r>
        <w:r>
          <w:rPr>
            <w:rStyle w:val="C2"/>
            <w:rFonts w:ascii="Arial" w:hAnsi="Arial"/>
            <w:sz w:val="16"/>
          </w:rPr>
          <w:t>/</w:t>
        </w:r>
        <w:r>
          <w:rPr>
            <w:rStyle w:val="C2"/>
            <w:rFonts w:ascii="Arial" w:hAnsi="Arial"/>
            <w:sz w:val="16"/>
          </w:rPr>
          <w:t>N</w:t>
        </w:r>
        <w:r>
          <w:rPr>
            <w:rStyle w:val="C2"/>
            <w:rFonts w:ascii="Arial" w:hAnsi="Arial"/>
            <w:sz w:val="16"/>
          </w:rPr>
          <w:t>/</w:t>
        </w:r>
        <w:r>
          <w:rPr>
            <w:rStyle w:val="C2"/>
            <w:rFonts w:ascii="Arial" w:hAnsi="Arial"/>
            <w:sz w:val="16"/>
          </w:rPr>
          <w:t>Nationaler</w:t>
        </w:r>
        <w:r>
          <w:rPr>
            <w:rStyle w:val="C2"/>
            <w:rFonts w:ascii="Arial" w:hAnsi="Arial"/>
            <w:sz w:val="16"/>
          </w:rPr>
          <w:t>_</w:t>
        </w:r>
        <w:r>
          <w:rPr>
            <w:rStyle w:val="C2"/>
            <w:rFonts w:ascii="Arial" w:hAnsi="Arial"/>
            <w:sz w:val="16"/>
          </w:rPr>
          <w:t>Krebsplan</w:t>
        </w:r>
        <w:r>
          <w:rPr>
            <w:rStyle w:val="C2"/>
            <w:rFonts w:ascii="Arial" w:hAnsi="Arial"/>
            <w:sz w:val="16"/>
          </w:rPr>
          <w:t>/</w:t>
        </w:r>
        <w:r>
          <w:rPr>
            <w:rStyle w:val="C2"/>
            <w:rFonts w:ascii="Arial" w:hAnsi="Arial"/>
            <w:sz w:val="16"/>
          </w:rPr>
          <w:t>Ziel</w:t>
        </w:r>
        <w:r>
          <w:rPr>
            <w:rStyle w:val="C2"/>
            <w:rFonts w:ascii="Arial" w:hAnsi="Arial"/>
            <w:sz w:val="16"/>
          </w:rPr>
          <w:t>_</w:t>
        </w:r>
        <w:r>
          <w:rPr>
            <w:rStyle w:val="C2"/>
            <w:rFonts w:ascii="Arial" w:hAnsi="Arial"/>
            <w:sz w:val="16"/>
          </w:rPr>
          <w:t>5</w:t>
        </w:r>
        <w:r>
          <w:rPr>
            <w:rStyle w:val="C2"/>
            <w:rFonts w:ascii="Arial" w:hAnsi="Arial"/>
            <w:sz w:val="16"/>
          </w:rPr>
          <w:t>-</w:t>
        </w:r>
        <w:r>
          <w:rPr>
            <w:rStyle w:val="C2"/>
            <w:rFonts w:ascii="Arial" w:hAnsi="Arial"/>
            <w:sz w:val="16"/>
          </w:rPr>
          <w:t>Nationaler</w:t>
        </w:r>
        <w:r>
          <w:rPr>
            <w:rStyle w:val="C2"/>
            <w:rFonts w:ascii="Arial" w:hAnsi="Arial"/>
            <w:sz w:val="16"/>
          </w:rPr>
          <w:t>_</w:t>
        </w:r>
        <w:r>
          <w:rPr>
            <w:rStyle w:val="C2"/>
            <w:rFonts w:ascii="Arial" w:hAnsi="Arial"/>
            <w:sz w:val="16"/>
          </w:rPr>
          <w:t>Krebsplan</w:t>
        </w:r>
        <w:r>
          <w:rPr>
            <w:rStyle w:val="C2"/>
            <w:rFonts w:ascii="Arial" w:hAnsi="Arial"/>
            <w:sz w:val="16"/>
          </w:rPr>
          <w:t>.</w:t>
        </w:r>
        <w:r>
          <w:rPr>
            <w:rStyle w:val="C2"/>
            <w:rFonts w:ascii="Arial" w:hAnsi="Arial"/>
            <w:sz w:val="16"/>
          </w:rPr>
          <w:t>pdf</w:t>
        </w:r>
      </w:hyperlink>
      <w:r>
        <w:rPr>
          <w:rFonts w:ascii="Arial" w:hAnsi="Arial"/>
          <w:sz w:val="16"/>
        </w:rPr>
        <w:t xml:space="preserve"> </w:t>
      </w:r>
    </w:p>
    <w:p>
      <w:pPr>
        <w:pStyle w:val="P34"/>
      </w:pP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0" w:type="auto"/>
      <w:tblLook w:val="01E0"/>
    </w:tblPr>
    <w:tblGrid/>
    <w:tr>
      <w:trPr>
        <w:trHeight w:hRule="atLeast" w:val="1218"/>
      </w:trPr>
      <w:tc>
        <w:tcPr>
          <w:tcW w:w="3936" w:type="dxa"/>
        </w:tcPr>
        <w:p>
          <w:pPr>
            <w:pStyle w:val="P10"/>
            <w:rPr>
              <w:rStyle w:val="C3"/>
              <w:rFonts w:ascii="Arial" w:hAnsi="Arial"/>
            </w:rPr>
          </w:pPr>
          <w:r>
            <w:rPr>
              <w:rStyle w:val="C3"/>
              <w:rFonts w:ascii="Arial" w:hAnsi="Arial"/>
              <w:b w:val="1"/>
              <w:sz w:val="22"/>
              <w:szCs w:val="22"/>
            </w:rPr>
            <w:t xml:space="preserve"> </w:t>
          </w:r>
        </w:p>
      </w:tc>
      <w:tc>
        <w:tcPr>
          <w:tcW w:w="5953" w:type="dxa"/>
        </w:tcPr>
        <w:p>
          <w:pPr>
            <w:pStyle w:val="P10"/>
            <w:tabs>
              <w:tab w:val="clear" w:pos="4536" w:leader="none"/>
              <w:tab w:val="center" w:pos="5562" w:leader="none"/>
            </w:tabs>
            <w:ind w:firstLine="1389" w:left="175"/>
            <w:jc w:val="center"/>
            <w:rPr>
              <w:rStyle w:val="C3"/>
              <w:rFonts w:ascii="Arial" w:hAnsi="Arial" w:cs="Arial"/>
              <w:b w:val="1"/>
            </w:rPr>
          </w:pPr>
        </w:p>
      </w:tc>
    </w:tr>
  </w:tbl>
  <w:p>
    <w:pPr>
      <w:pStyle w:val="P10"/>
      <w:rPr>
        <w:rFonts w:ascii="Arial" w:hAnsi="Arial"/>
        <w:b w:val="1"/>
        <w:sz w:val="4"/>
        <w:szCs w:val="4"/>
      </w:rPr>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0"/>
    </w:pPr>
    <w:r>
      <w:rPr>
        <w:noProof w:val="1"/>
        <w:lang w:bidi="ar-SA"/>
      </w:rPr>
      <w:drawing>
        <wp:inline xmlns:wp="http://schemas.openxmlformats.org/drawingml/2006/wordprocessingDrawing" distT="0" distB="0" distL="0" distR="0">
          <wp:extent cx="6443980" cy="890905"/>
          <wp:effectExtent l="0" t="0" r="0" b="0"/>
          <wp:docPr id="1" name="Bild 1" descr="logos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 oz"/>
                  <pic:cNvPicPr>
                    <a:picLocks noChangeAspect="1" noChangeArrowheads="1"/>
                  </pic:cNvPicPr>
                </pic:nvPicPr>
                <pic:blipFill dpi="0">
                  <a:blip xmlns:r="http://schemas.openxmlformats.org/officeDocument/2006/relationships" r:embed="Relimage1"/>
                  <a:srcRect/>
                  <a:stretch>
                    <a:fillRect/>
                  </a:stretch>
                </pic:blipFill>
                <pic:spPr bwMode="auto">
                  <a:xfrm>
                    <a:off x="0" y="0"/>
                    <a:ext cx="6443980" cy="890905"/>
                  </a:xfrm>
                  <a:prstGeom prst="rect"/>
                  <a:noFill/>
                  <a:ln>
                    <a:noFill/>
                  </a:ln>
                </pic:spPr>
              </pic:pic>
            </a:graphicData>
          </a:graphic>
        </wp:inline>
      </w:drawing>
    </w:r>
  </w:p>
</w:hdr>
</file>

<file path=word/numbering.xml><?xml version="1.0" encoding="utf-8"?>
<w:numbering xmlns:w="http://schemas.openxmlformats.org/wordprocessingml/2006/main">
  <w:abstractNum w:abstractNumId="0">
    <w:nsid w:val="FFFFFF7C"/>
    <w:multiLevelType w:val="hybridMultilevel"/>
    <w:lvl w:ilvl="0">
      <w:start w:val="1"/>
      <w:numFmt w:val="decimal"/>
      <w:pStyle w:val="P80"/>
      <w:suff w:val="tab"/>
      <w:lvlText w:val="%1."/>
      <w:lvlJc w:val="left"/>
      <w:pPr>
        <w:ind w:hanging="360" w:left="1492"/>
        <w:tabs>
          <w:tab w:val="num" w:pos="1492" w:leader="none"/>
        </w:tabs>
      </w:pPr>
      <w:rPr/>
    </w:lvl>
    <w:lvl w:ilvl="1" w:tplc="78AE7696">
      <w:start w:val="1"/>
      <w:numFmt w:val="decimal"/>
      <w:suff w:val="tab"/>
      <w:lvlText w:val="%1."/>
      <w:lvlJc w:val="left"/>
      <w:pPr/>
      <w:rPr/>
    </w:lvl>
    <w:lvl w:ilvl="2" w:tplc="32E4AD86">
      <w:start w:val="1"/>
      <w:numFmt w:val="decimal"/>
      <w:suff w:val="tab"/>
      <w:lvlText w:val="%1."/>
      <w:lvlJc w:val="left"/>
      <w:pPr/>
      <w:rPr/>
    </w:lvl>
    <w:lvl w:ilvl="3" w:tplc="491E6316">
      <w:start w:val="1"/>
      <w:numFmt w:val="decimal"/>
      <w:suff w:val="tab"/>
      <w:lvlText w:val="%1."/>
      <w:lvlJc w:val="left"/>
      <w:pPr/>
      <w:rPr/>
    </w:lvl>
    <w:lvl w:ilvl="4" w:tplc="425F8DFC">
      <w:start w:val="1"/>
      <w:numFmt w:val="decimal"/>
      <w:suff w:val="tab"/>
      <w:lvlText w:val="%1."/>
      <w:lvlJc w:val="left"/>
      <w:pPr/>
      <w:rPr/>
    </w:lvl>
    <w:lvl w:ilvl="5" w:tplc="30349C4B">
      <w:start w:val="1"/>
      <w:numFmt w:val="decimal"/>
      <w:suff w:val="tab"/>
      <w:lvlText w:val="%1."/>
      <w:lvlJc w:val="left"/>
      <w:pPr/>
      <w:rPr/>
    </w:lvl>
    <w:lvl w:ilvl="6" w:tplc="2C44B6A3">
      <w:start w:val="1"/>
      <w:numFmt w:val="decimal"/>
      <w:suff w:val="tab"/>
      <w:lvlText w:val="%1."/>
      <w:lvlJc w:val="left"/>
      <w:pPr/>
      <w:rPr/>
    </w:lvl>
    <w:lvl w:ilvl="7" w:tplc="0EBBD6E3">
      <w:start w:val="1"/>
      <w:numFmt w:val="decimal"/>
      <w:suff w:val="tab"/>
      <w:lvlText w:val="%1."/>
      <w:lvlJc w:val="left"/>
      <w:pPr/>
      <w:rPr/>
    </w:lvl>
    <w:lvl w:ilvl="8" w:tplc="3437FE4C">
      <w:start w:val="1"/>
      <w:numFmt w:val="decimal"/>
      <w:suff w:val="tab"/>
      <w:lvlText w:val="%1."/>
      <w:lvlJc w:val="left"/>
      <w:pPr/>
      <w:rPr/>
    </w:lvl>
  </w:abstractNum>
  <w:abstractNum w:abstractNumId="1">
    <w:nsid w:val="FFFFFF7D"/>
    <w:multiLevelType w:val="hybridMultilevel"/>
    <w:lvl w:ilvl="0">
      <w:start w:val="1"/>
      <w:numFmt w:val="decimal"/>
      <w:pStyle w:val="P79"/>
      <w:suff w:val="tab"/>
      <w:lvlText w:val="%1."/>
      <w:lvlJc w:val="left"/>
      <w:pPr>
        <w:ind w:hanging="360" w:left="1209"/>
        <w:tabs>
          <w:tab w:val="num" w:pos="1209" w:leader="none"/>
        </w:tabs>
      </w:pPr>
      <w:rPr/>
    </w:lvl>
    <w:lvl w:ilvl="1" w:tplc="7767AB8D">
      <w:start w:val="1"/>
      <w:numFmt w:val="decimal"/>
      <w:suff w:val="tab"/>
      <w:lvlText w:val="%1."/>
      <w:lvlJc w:val="left"/>
      <w:pPr/>
      <w:rPr/>
    </w:lvl>
    <w:lvl w:ilvl="2" w:tplc="71CB5360">
      <w:start w:val="1"/>
      <w:numFmt w:val="decimal"/>
      <w:suff w:val="tab"/>
      <w:lvlText w:val="%1."/>
      <w:lvlJc w:val="left"/>
      <w:pPr/>
      <w:rPr/>
    </w:lvl>
    <w:lvl w:ilvl="3" w:tplc="5EA0CE18">
      <w:start w:val="1"/>
      <w:numFmt w:val="decimal"/>
      <w:suff w:val="tab"/>
      <w:lvlText w:val="%1."/>
      <w:lvlJc w:val="left"/>
      <w:pPr/>
      <w:rPr/>
    </w:lvl>
    <w:lvl w:ilvl="4" w:tplc="19BEF613">
      <w:start w:val="1"/>
      <w:numFmt w:val="decimal"/>
      <w:suff w:val="tab"/>
      <w:lvlText w:val="%1."/>
      <w:lvlJc w:val="left"/>
      <w:pPr/>
      <w:rPr/>
    </w:lvl>
    <w:lvl w:ilvl="5" w:tplc="3D260E5B">
      <w:start w:val="1"/>
      <w:numFmt w:val="decimal"/>
      <w:suff w:val="tab"/>
      <w:lvlText w:val="%1."/>
      <w:lvlJc w:val="left"/>
      <w:pPr/>
      <w:rPr/>
    </w:lvl>
    <w:lvl w:ilvl="6" w:tplc="44BCE6F5">
      <w:start w:val="1"/>
      <w:numFmt w:val="decimal"/>
      <w:suff w:val="tab"/>
      <w:lvlText w:val="%1."/>
      <w:lvlJc w:val="left"/>
      <w:pPr/>
      <w:rPr/>
    </w:lvl>
    <w:lvl w:ilvl="7" w:tplc="05072D8C">
      <w:start w:val="1"/>
      <w:numFmt w:val="decimal"/>
      <w:suff w:val="tab"/>
      <w:lvlText w:val="%1."/>
      <w:lvlJc w:val="left"/>
      <w:pPr/>
      <w:rPr/>
    </w:lvl>
    <w:lvl w:ilvl="8" w:tplc="54070A22">
      <w:start w:val="1"/>
      <w:numFmt w:val="decimal"/>
      <w:suff w:val="tab"/>
      <w:lvlText w:val="%1."/>
      <w:lvlJc w:val="left"/>
      <w:pPr/>
      <w:rPr/>
    </w:lvl>
  </w:abstractNum>
  <w:abstractNum w:abstractNumId="2">
    <w:nsid w:val="FFFFFF7E"/>
    <w:multiLevelType w:val="hybridMultilevel"/>
    <w:lvl w:ilvl="0">
      <w:start w:val="1"/>
      <w:numFmt w:val="decimal"/>
      <w:pStyle w:val="P78"/>
      <w:suff w:val="tab"/>
      <w:lvlText w:val="%1."/>
      <w:lvlJc w:val="left"/>
      <w:pPr>
        <w:ind w:hanging="360" w:left="926"/>
        <w:tabs>
          <w:tab w:val="num" w:pos="926" w:leader="none"/>
        </w:tabs>
      </w:pPr>
      <w:rPr/>
    </w:lvl>
    <w:lvl w:ilvl="1" w:tplc="39A61D8D">
      <w:start w:val="1"/>
      <w:numFmt w:val="decimal"/>
      <w:suff w:val="tab"/>
      <w:lvlText w:val="%1."/>
      <w:lvlJc w:val="left"/>
      <w:pPr/>
      <w:rPr/>
    </w:lvl>
    <w:lvl w:ilvl="2" w:tplc="32669A90">
      <w:start w:val="1"/>
      <w:numFmt w:val="decimal"/>
      <w:suff w:val="tab"/>
      <w:lvlText w:val="%1."/>
      <w:lvlJc w:val="left"/>
      <w:pPr/>
      <w:rPr/>
    </w:lvl>
    <w:lvl w:ilvl="3" w:tplc="3C199F62">
      <w:start w:val="1"/>
      <w:numFmt w:val="decimal"/>
      <w:suff w:val="tab"/>
      <w:lvlText w:val="%1."/>
      <w:lvlJc w:val="left"/>
      <w:pPr/>
      <w:rPr/>
    </w:lvl>
    <w:lvl w:ilvl="4" w:tplc="283FE03D">
      <w:start w:val="1"/>
      <w:numFmt w:val="decimal"/>
      <w:suff w:val="tab"/>
      <w:lvlText w:val="%1."/>
      <w:lvlJc w:val="left"/>
      <w:pPr/>
      <w:rPr/>
    </w:lvl>
    <w:lvl w:ilvl="5" w:tplc="0376B7A0">
      <w:start w:val="1"/>
      <w:numFmt w:val="decimal"/>
      <w:suff w:val="tab"/>
      <w:lvlText w:val="%1."/>
      <w:lvlJc w:val="left"/>
      <w:pPr/>
      <w:rPr/>
    </w:lvl>
    <w:lvl w:ilvl="6" w:tplc="21C4106E">
      <w:start w:val="1"/>
      <w:numFmt w:val="decimal"/>
      <w:suff w:val="tab"/>
      <w:lvlText w:val="%1."/>
      <w:lvlJc w:val="left"/>
      <w:pPr/>
      <w:rPr/>
    </w:lvl>
    <w:lvl w:ilvl="7" w:tplc="519153A2">
      <w:start w:val="1"/>
      <w:numFmt w:val="decimal"/>
      <w:suff w:val="tab"/>
      <w:lvlText w:val="%1."/>
      <w:lvlJc w:val="left"/>
      <w:pPr/>
      <w:rPr/>
    </w:lvl>
    <w:lvl w:ilvl="8" w:tplc="5B14846A">
      <w:start w:val="1"/>
      <w:numFmt w:val="decimal"/>
      <w:suff w:val="tab"/>
      <w:lvlText w:val="%1."/>
      <w:lvlJc w:val="left"/>
      <w:pPr/>
      <w:rPr/>
    </w:lvl>
  </w:abstractNum>
  <w:abstractNum w:abstractNumId="3">
    <w:nsid w:val="FFFFFF7F"/>
    <w:multiLevelType w:val="hybridMultilevel"/>
    <w:lvl w:ilvl="0">
      <w:start w:val="1"/>
      <w:numFmt w:val="decimal"/>
      <w:pStyle w:val="P77"/>
      <w:suff w:val="tab"/>
      <w:lvlText w:val="%1."/>
      <w:lvlJc w:val="left"/>
      <w:pPr>
        <w:ind w:hanging="360" w:left="643"/>
        <w:tabs>
          <w:tab w:val="num" w:pos="643" w:leader="none"/>
        </w:tabs>
      </w:pPr>
      <w:rPr/>
    </w:lvl>
    <w:lvl w:ilvl="1" w:tplc="6082658E">
      <w:start w:val="1"/>
      <w:numFmt w:val="decimal"/>
      <w:suff w:val="tab"/>
      <w:lvlText w:val="%1."/>
      <w:lvlJc w:val="left"/>
      <w:pPr/>
      <w:rPr/>
    </w:lvl>
    <w:lvl w:ilvl="2" w:tplc="5136E654">
      <w:start w:val="1"/>
      <w:numFmt w:val="decimal"/>
      <w:suff w:val="tab"/>
      <w:lvlText w:val="%1."/>
      <w:lvlJc w:val="left"/>
      <w:pPr/>
      <w:rPr/>
    </w:lvl>
    <w:lvl w:ilvl="3" w:tplc="693A9FAB">
      <w:start w:val="1"/>
      <w:numFmt w:val="decimal"/>
      <w:suff w:val="tab"/>
      <w:lvlText w:val="%1."/>
      <w:lvlJc w:val="left"/>
      <w:pPr/>
      <w:rPr/>
    </w:lvl>
    <w:lvl w:ilvl="4" w:tplc="2B03477E">
      <w:start w:val="1"/>
      <w:numFmt w:val="decimal"/>
      <w:suff w:val="tab"/>
      <w:lvlText w:val="%1."/>
      <w:lvlJc w:val="left"/>
      <w:pPr/>
      <w:rPr/>
    </w:lvl>
    <w:lvl w:ilvl="5" w:tplc="318398EC">
      <w:start w:val="1"/>
      <w:numFmt w:val="decimal"/>
      <w:suff w:val="tab"/>
      <w:lvlText w:val="%1."/>
      <w:lvlJc w:val="left"/>
      <w:pPr/>
      <w:rPr/>
    </w:lvl>
    <w:lvl w:ilvl="6" w:tplc="16FDA69A">
      <w:start w:val="1"/>
      <w:numFmt w:val="decimal"/>
      <w:suff w:val="tab"/>
      <w:lvlText w:val="%1."/>
      <w:lvlJc w:val="left"/>
      <w:pPr/>
      <w:rPr/>
    </w:lvl>
    <w:lvl w:ilvl="7" w:tplc="2623CE02">
      <w:start w:val="1"/>
      <w:numFmt w:val="decimal"/>
      <w:suff w:val="tab"/>
      <w:lvlText w:val="%1."/>
      <w:lvlJc w:val="left"/>
      <w:pPr/>
      <w:rPr/>
    </w:lvl>
    <w:lvl w:ilvl="8" w:tplc="02FAD57A">
      <w:start w:val="1"/>
      <w:numFmt w:val="decimal"/>
      <w:suff w:val="tab"/>
      <w:lvlText w:val="%1."/>
      <w:lvlJc w:val="left"/>
      <w:pPr/>
      <w:rPr/>
    </w:lvl>
  </w:abstractNum>
  <w:abstractNum w:abstractNumId="4">
    <w:nsid w:val="FFFFFF80"/>
    <w:multiLevelType w:val="hybridMultilevel"/>
    <w:lvl w:ilvl="0">
      <w:start w:val="1"/>
      <w:numFmt w:val="bullet"/>
      <w:pStyle w:val="P43"/>
      <w:suff w:val="tab"/>
      <w:lvlText w:val=""/>
      <w:lvlJc w:val="left"/>
      <w:pPr>
        <w:ind w:hanging="360" w:left="1492"/>
        <w:tabs>
          <w:tab w:val="num" w:pos="1492" w:leader="none"/>
        </w:tabs>
      </w:pPr>
      <w:rPr>
        <w:rFonts w:ascii="Symbol" w:hAnsi="Symbol" w:hint="default"/>
      </w:rPr>
    </w:lvl>
    <w:lvl w:ilvl="1" w:tplc="3CEFA1FC">
      <w:start w:val="1"/>
      <w:numFmt w:val="decimal"/>
      <w:suff w:val="tab"/>
      <w:lvlText w:val="%1."/>
      <w:lvlJc w:val="left"/>
      <w:pPr/>
      <w:rPr/>
    </w:lvl>
    <w:lvl w:ilvl="2" w:tplc="3FF68A4D">
      <w:start w:val="1"/>
      <w:numFmt w:val="decimal"/>
      <w:suff w:val="tab"/>
      <w:lvlText w:val="%1."/>
      <w:lvlJc w:val="left"/>
      <w:pPr/>
      <w:rPr/>
    </w:lvl>
    <w:lvl w:ilvl="3" w:tplc="171E6D64">
      <w:start w:val="1"/>
      <w:numFmt w:val="decimal"/>
      <w:suff w:val="tab"/>
      <w:lvlText w:val="%1."/>
      <w:lvlJc w:val="left"/>
      <w:pPr/>
      <w:rPr/>
    </w:lvl>
    <w:lvl w:ilvl="4" w:tplc="3EAE7C28">
      <w:start w:val="1"/>
      <w:numFmt w:val="decimal"/>
      <w:suff w:val="tab"/>
      <w:lvlText w:val="%1."/>
      <w:lvlJc w:val="left"/>
      <w:pPr/>
      <w:rPr/>
    </w:lvl>
    <w:lvl w:ilvl="5" w:tplc="568FD2D5">
      <w:start w:val="1"/>
      <w:numFmt w:val="decimal"/>
      <w:suff w:val="tab"/>
      <w:lvlText w:val="%1."/>
      <w:lvlJc w:val="left"/>
      <w:pPr/>
      <w:rPr/>
    </w:lvl>
    <w:lvl w:ilvl="6" w:tplc="386194DF">
      <w:start w:val="1"/>
      <w:numFmt w:val="decimal"/>
      <w:suff w:val="tab"/>
      <w:lvlText w:val="%1."/>
      <w:lvlJc w:val="left"/>
      <w:pPr/>
      <w:rPr/>
    </w:lvl>
    <w:lvl w:ilvl="7" w:tplc="44661C2F">
      <w:start w:val="1"/>
      <w:numFmt w:val="decimal"/>
      <w:suff w:val="tab"/>
      <w:lvlText w:val="%1."/>
      <w:lvlJc w:val="left"/>
      <w:pPr/>
      <w:rPr/>
    </w:lvl>
    <w:lvl w:ilvl="8" w:tplc="51920E4A">
      <w:start w:val="1"/>
      <w:numFmt w:val="decimal"/>
      <w:suff w:val="tab"/>
      <w:lvlText w:val="%1."/>
      <w:lvlJc w:val="left"/>
      <w:pPr/>
      <w:rPr/>
    </w:lvl>
  </w:abstractNum>
  <w:abstractNum w:abstractNumId="5">
    <w:nsid w:val="FFFFFF81"/>
    <w:multiLevelType w:val="hybridMultilevel"/>
    <w:lvl w:ilvl="0">
      <w:start w:val="1"/>
      <w:numFmt w:val="bullet"/>
      <w:pStyle w:val="P42"/>
      <w:suff w:val="tab"/>
      <w:lvlText w:val=""/>
      <w:lvlJc w:val="left"/>
      <w:pPr>
        <w:ind w:hanging="360" w:left="1209"/>
        <w:tabs>
          <w:tab w:val="num" w:pos="1209" w:leader="none"/>
        </w:tabs>
      </w:pPr>
      <w:rPr>
        <w:rFonts w:ascii="Symbol" w:hAnsi="Symbol" w:hint="default"/>
      </w:rPr>
    </w:lvl>
    <w:lvl w:ilvl="1" w:tplc="77FDCDE9">
      <w:start w:val="1"/>
      <w:numFmt w:val="decimal"/>
      <w:suff w:val="tab"/>
      <w:lvlText w:val="%1."/>
      <w:lvlJc w:val="left"/>
      <w:pPr/>
      <w:rPr/>
    </w:lvl>
    <w:lvl w:ilvl="2" w:tplc="6FF94A9A">
      <w:start w:val="1"/>
      <w:numFmt w:val="decimal"/>
      <w:suff w:val="tab"/>
      <w:lvlText w:val="%1."/>
      <w:lvlJc w:val="left"/>
      <w:pPr/>
      <w:rPr/>
    </w:lvl>
    <w:lvl w:ilvl="3" w:tplc="64E2E713">
      <w:start w:val="1"/>
      <w:numFmt w:val="decimal"/>
      <w:suff w:val="tab"/>
      <w:lvlText w:val="%1."/>
      <w:lvlJc w:val="left"/>
      <w:pPr/>
      <w:rPr/>
    </w:lvl>
    <w:lvl w:ilvl="4" w:tplc="5D659FAC">
      <w:start w:val="1"/>
      <w:numFmt w:val="decimal"/>
      <w:suff w:val="tab"/>
      <w:lvlText w:val="%1."/>
      <w:lvlJc w:val="left"/>
      <w:pPr/>
      <w:rPr/>
    </w:lvl>
    <w:lvl w:ilvl="5" w:tplc="621D3505">
      <w:start w:val="1"/>
      <w:numFmt w:val="decimal"/>
      <w:suff w:val="tab"/>
      <w:lvlText w:val="%1."/>
      <w:lvlJc w:val="left"/>
      <w:pPr/>
      <w:rPr/>
    </w:lvl>
    <w:lvl w:ilvl="6" w:tplc="0ABECE99">
      <w:start w:val="1"/>
      <w:numFmt w:val="decimal"/>
      <w:suff w:val="tab"/>
      <w:lvlText w:val="%1."/>
      <w:lvlJc w:val="left"/>
      <w:pPr/>
      <w:rPr/>
    </w:lvl>
    <w:lvl w:ilvl="7" w:tplc="1A50E834">
      <w:start w:val="1"/>
      <w:numFmt w:val="decimal"/>
      <w:suff w:val="tab"/>
      <w:lvlText w:val="%1."/>
      <w:lvlJc w:val="left"/>
      <w:pPr/>
      <w:rPr/>
    </w:lvl>
    <w:lvl w:ilvl="8" w:tplc="6AAEE2C0">
      <w:start w:val="1"/>
      <w:numFmt w:val="decimal"/>
      <w:suff w:val="tab"/>
      <w:lvlText w:val="%1."/>
      <w:lvlJc w:val="left"/>
      <w:pPr/>
      <w:rPr/>
    </w:lvl>
  </w:abstractNum>
  <w:abstractNum w:abstractNumId="6">
    <w:nsid w:val="FFFFFF82"/>
    <w:multiLevelType w:val="hybridMultilevel"/>
    <w:lvl w:ilvl="0">
      <w:start w:val="1"/>
      <w:numFmt w:val="bullet"/>
      <w:pStyle w:val="P41"/>
      <w:suff w:val="tab"/>
      <w:lvlText w:val=""/>
      <w:lvlJc w:val="left"/>
      <w:pPr>
        <w:ind w:hanging="360" w:left="926"/>
        <w:tabs>
          <w:tab w:val="num" w:pos="926" w:leader="none"/>
        </w:tabs>
      </w:pPr>
      <w:rPr>
        <w:rFonts w:ascii="Symbol" w:hAnsi="Symbol" w:hint="default"/>
      </w:rPr>
    </w:lvl>
    <w:lvl w:ilvl="1" w:tplc="6055FCD2">
      <w:start w:val="1"/>
      <w:numFmt w:val="decimal"/>
      <w:suff w:val="tab"/>
      <w:lvlText w:val="%1."/>
      <w:lvlJc w:val="left"/>
      <w:pPr/>
      <w:rPr/>
    </w:lvl>
    <w:lvl w:ilvl="2" w:tplc="3DFC043F">
      <w:start w:val="1"/>
      <w:numFmt w:val="decimal"/>
      <w:suff w:val="tab"/>
      <w:lvlText w:val="%1."/>
      <w:lvlJc w:val="left"/>
      <w:pPr/>
      <w:rPr/>
    </w:lvl>
    <w:lvl w:ilvl="3" w:tplc="639F6AE5">
      <w:start w:val="1"/>
      <w:numFmt w:val="decimal"/>
      <w:suff w:val="tab"/>
      <w:lvlText w:val="%1."/>
      <w:lvlJc w:val="left"/>
      <w:pPr/>
      <w:rPr/>
    </w:lvl>
    <w:lvl w:ilvl="4" w:tplc="3B3E09B4">
      <w:start w:val="1"/>
      <w:numFmt w:val="decimal"/>
      <w:suff w:val="tab"/>
      <w:lvlText w:val="%1."/>
      <w:lvlJc w:val="left"/>
      <w:pPr/>
      <w:rPr/>
    </w:lvl>
    <w:lvl w:ilvl="5" w:tplc="4C58C605">
      <w:start w:val="1"/>
      <w:numFmt w:val="decimal"/>
      <w:suff w:val="tab"/>
      <w:lvlText w:val="%1."/>
      <w:lvlJc w:val="left"/>
      <w:pPr/>
      <w:rPr/>
    </w:lvl>
    <w:lvl w:ilvl="6" w:tplc="5DD5A763">
      <w:start w:val="1"/>
      <w:numFmt w:val="decimal"/>
      <w:suff w:val="tab"/>
      <w:lvlText w:val="%1."/>
      <w:lvlJc w:val="left"/>
      <w:pPr/>
      <w:rPr/>
    </w:lvl>
    <w:lvl w:ilvl="7" w:tplc="21875013">
      <w:start w:val="1"/>
      <w:numFmt w:val="decimal"/>
      <w:suff w:val="tab"/>
      <w:lvlText w:val="%1."/>
      <w:lvlJc w:val="left"/>
      <w:pPr/>
      <w:rPr/>
    </w:lvl>
    <w:lvl w:ilvl="8" w:tplc="4C428871">
      <w:start w:val="1"/>
      <w:numFmt w:val="decimal"/>
      <w:suff w:val="tab"/>
      <w:lvlText w:val="%1."/>
      <w:lvlJc w:val="left"/>
      <w:pPr/>
      <w:rPr/>
    </w:lvl>
  </w:abstractNum>
  <w:abstractNum w:abstractNumId="7">
    <w:nsid w:val="FFFFFF83"/>
    <w:multiLevelType w:val="hybridMultilevel"/>
    <w:lvl w:ilvl="0">
      <w:start w:val="1"/>
      <w:numFmt w:val="bullet"/>
      <w:pStyle w:val="P40"/>
      <w:suff w:val="tab"/>
      <w:lvlText w:val=""/>
      <w:lvlJc w:val="left"/>
      <w:pPr>
        <w:ind w:hanging="360" w:left="643"/>
        <w:tabs>
          <w:tab w:val="num" w:pos="643" w:leader="none"/>
        </w:tabs>
      </w:pPr>
      <w:rPr>
        <w:rFonts w:ascii="Symbol" w:hAnsi="Symbol" w:hint="default"/>
      </w:rPr>
    </w:lvl>
    <w:lvl w:ilvl="1" w:tplc="4AA32510">
      <w:start w:val="1"/>
      <w:numFmt w:val="decimal"/>
      <w:suff w:val="tab"/>
      <w:lvlText w:val="%1."/>
      <w:lvlJc w:val="left"/>
      <w:pPr/>
      <w:rPr/>
    </w:lvl>
    <w:lvl w:ilvl="2" w:tplc="6CE41A96">
      <w:start w:val="1"/>
      <w:numFmt w:val="decimal"/>
      <w:suff w:val="tab"/>
      <w:lvlText w:val="%1."/>
      <w:lvlJc w:val="left"/>
      <w:pPr/>
      <w:rPr/>
    </w:lvl>
    <w:lvl w:ilvl="3" w:tplc="343A0453">
      <w:start w:val="1"/>
      <w:numFmt w:val="decimal"/>
      <w:suff w:val="tab"/>
      <w:lvlText w:val="%1."/>
      <w:lvlJc w:val="left"/>
      <w:pPr/>
      <w:rPr/>
    </w:lvl>
    <w:lvl w:ilvl="4" w:tplc="0D021C74">
      <w:start w:val="1"/>
      <w:numFmt w:val="decimal"/>
      <w:suff w:val="tab"/>
      <w:lvlText w:val="%1."/>
      <w:lvlJc w:val="left"/>
      <w:pPr/>
      <w:rPr/>
    </w:lvl>
    <w:lvl w:ilvl="5" w:tplc="13960C72">
      <w:start w:val="1"/>
      <w:numFmt w:val="decimal"/>
      <w:suff w:val="tab"/>
      <w:lvlText w:val="%1."/>
      <w:lvlJc w:val="left"/>
      <w:pPr/>
      <w:rPr/>
    </w:lvl>
    <w:lvl w:ilvl="6" w:tplc="74DE348D">
      <w:start w:val="1"/>
      <w:numFmt w:val="decimal"/>
      <w:suff w:val="tab"/>
      <w:lvlText w:val="%1."/>
      <w:lvlJc w:val="left"/>
      <w:pPr/>
      <w:rPr/>
    </w:lvl>
    <w:lvl w:ilvl="7" w:tplc="09B145AD">
      <w:start w:val="1"/>
      <w:numFmt w:val="decimal"/>
      <w:suff w:val="tab"/>
      <w:lvlText w:val="%1."/>
      <w:lvlJc w:val="left"/>
      <w:pPr/>
      <w:rPr/>
    </w:lvl>
    <w:lvl w:ilvl="8" w:tplc="3EBF9FDE">
      <w:start w:val="1"/>
      <w:numFmt w:val="decimal"/>
      <w:suff w:val="tab"/>
      <w:lvlText w:val="%1."/>
      <w:lvlJc w:val="left"/>
      <w:pPr/>
      <w:rPr/>
    </w:lvl>
  </w:abstractNum>
  <w:abstractNum w:abstractNumId="8">
    <w:nsid w:val="FFFFFF88"/>
    <w:multiLevelType w:val="hybridMultilevel"/>
    <w:lvl w:ilvl="0">
      <w:start w:val="1"/>
      <w:numFmt w:val="decimal"/>
      <w:pStyle w:val="P76"/>
      <w:suff w:val="tab"/>
      <w:lvlText w:val="%1."/>
      <w:lvlJc w:val="left"/>
      <w:pPr>
        <w:ind w:hanging="360" w:left="360"/>
        <w:tabs>
          <w:tab w:val="num" w:pos="360" w:leader="none"/>
        </w:tabs>
      </w:pPr>
      <w:rPr/>
    </w:lvl>
    <w:lvl w:ilvl="1" w:tplc="5DE648DA">
      <w:start w:val="1"/>
      <w:numFmt w:val="decimal"/>
      <w:suff w:val="tab"/>
      <w:lvlText w:val="%1."/>
      <w:lvlJc w:val="left"/>
      <w:pPr/>
      <w:rPr/>
    </w:lvl>
    <w:lvl w:ilvl="2" w:tplc="63883FF9">
      <w:start w:val="1"/>
      <w:numFmt w:val="decimal"/>
      <w:suff w:val="tab"/>
      <w:lvlText w:val="%1."/>
      <w:lvlJc w:val="left"/>
      <w:pPr/>
      <w:rPr/>
    </w:lvl>
    <w:lvl w:ilvl="3" w:tplc="613D8FE1">
      <w:start w:val="1"/>
      <w:numFmt w:val="decimal"/>
      <w:suff w:val="tab"/>
      <w:lvlText w:val="%1."/>
      <w:lvlJc w:val="left"/>
      <w:pPr/>
      <w:rPr/>
    </w:lvl>
    <w:lvl w:ilvl="4" w:tplc="3A31D3D0">
      <w:start w:val="1"/>
      <w:numFmt w:val="decimal"/>
      <w:suff w:val="tab"/>
      <w:lvlText w:val="%1."/>
      <w:lvlJc w:val="left"/>
      <w:pPr/>
      <w:rPr/>
    </w:lvl>
    <w:lvl w:ilvl="5" w:tplc="69C39C06">
      <w:start w:val="1"/>
      <w:numFmt w:val="decimal"/>
      <w:suff w:val="tab"/>
      <w:lvlText w:val="%1."/>
      <w:lvlJc w:val="left"/>
      <w:pPr/>
      <w:rPr/>
    </w:lvl>
    <w:lvl w:ilvl="6" w:tplc="7CFA70AE">
      <w:start w:val="1"/>
      <w:numFmt w:val="decimal"/>
      <w:suff w:val="tab"/>
      <w:lvlText w:val="%1."/>
      <w:lvlJc w:val="left"/>
      <w:pPr/>
      <w:rPr/>
    </w:lvl>
    <w:lvl w:ilvl="7" w:tplc="2FBDE8ED">
      <w:start w:val="1"/>
      <w:numFmt w:val="decimal"/>
      <w:suff w:val="tab"/>
      <w:lvlText w:val="%1."/>
      <w:lvlJc w:val="left"/>
      <w:pPr/>
      <w:rPr/>
    </w:lvl>
    <w:lvl w:ilvl="8" w:tplc="3BAC9E04">
      <w:start w:val="1"/>
      <w:numFmt w:val="decimal"/>
      <w:suff w:val="tab"/>
      <w:lvlText w:val="%1."/>
      <w:lvlJc w:val="left"/>
      <w:pPr/>
      <w:rPr/>
    </w:lvl>
  </w:abstractNum>
  <w:abstractNum w:abstractNumId="9">
    <w:nsid w:val="FFFFFF89"/>
    <w:multiLevelType w:val="hybridMultilevel"/>
    <w:lvl w:ilvl="0">
      <w:start w:val="1"/>
      <w:numFmt w:val="bullet"/>
      <w:pStyle w:val="P39"/>
      <w:suff w:val="tab"/>
      <w:lvlText w:val=""/>
      <w:lvlJc w:val="left"/>
      <w:pPr>
        <w:ind w:hanging="360" w:left="360"/>
        <w:tabs>
          <w:tab w:val="num" w:pos="360" w:leader="none"/>
        </w:tabs>
      </w:pPr>
      <w:rPr>
        <w:rFonts w:ascii="Symbol" w:hAnsi="Symbol" w:hint="default"/>
      </w:rPr>
    </w:lvl>
    <w:lvl w:ilvl="1" w:tplc="27CC07BC">
      <w:start w:val="1"/>
      <w:numFmt w:val="decimal"/>
      <w:suff w:val="tab"/>
      <w:lvlText w:val="%1."/>
      <w:lvlJc w:val="left"/>
      <w:pPr/>
      <w:rPr/>
    </w:lvl>
    <w:lvl w:ilvl="2" w:tplc="57FF7C09">
      <w:start w:val="1"/>
      <w:numFmt w:val="decimal"/>
      <w:suff w:val="tab"/>
      <w:lvlText w:val="%1."/>
      <w:lvlJc w:val="left"/>
      <w:pPr/>
      <w:rPr/>
    </w:lvl>
    <w:lvl w:ilvl="3" w:tplc="7A3700CF">
      <w:start w:val="1"/>
      <w:numFmt w:val="decimal"/>
      <w:suff w:val="tab"/>
      <w:lvlText w:val="%1."/>
      <w:lvlJc w:val="left"/>
      <w:pPr/>
      <w:rPr/>
    </w:lvl>
    <w:lvl w:ilvl="4" w:tplc="308DE44C">
      <w:start w:val="1"/>
      <w:numFmt w:val="decimal"/>
      <w:suff w:val="tab"/>
      <w:lvlText w:val="%1."/>
      <w:lvlJc w:val="left"/>
      <w:pPr/>
      <w:rPr/>
    </w:lvl>
    <w:lvl w:ilvl="5" w:tplc="703E8336">
      <w:start w:val="1"/>
      <w:numFmt w:val="decimal"/>
      <w:suff w:val="tab"/>
      <w:lvlText w:val="%1."/>
      <w:lvlJc w:val="left"/>
      <w:pPr/>
      <w:rPr/>
    </w:lvl>
    <w:lvl w:ilvl="6" w:tplc="7862B305">
      <w:start w:val="1"/>
      <w:numFmt w:val="decimal"/>
      <w:suff w:val="tab"/>
      <w:lvlText w:val="%1."/>
      <w:lvlJc w:val="left"/>
      <w:pPr/>
      <w:rPr/>
    </w:lvl>
    <w:lvl w:ilvl="7" w:tplc="111234B1">
      <w:start w:val="1"/>
      <w:numFmt w:val="decimal"/>
      <w:suff w:val="tab"/>
      <w:lvlText w:val="%1."/>
      <w:lvlJc w:val="left"/>
      <w:pPr/>
      <w:rPr/>
    </w:lvl>
    <w:lvl w:ilvl="8" w:tplc="2BF0BB64">
      <w:start w:val="1"/>
      <w:numFmt w:val="decimal"/>
      <w:suff w:val="tab"/>
      <w:lvlText w:val="%1."/>
      <w:lvlJc w:val="left"/>
      <w:pPr/>
      <w:rPr/>
    </w:lvl>
  </w:abstractNum>
  <w:abstractNum w:abstractNumId="10">
    <w:nsid w:val="2EDD009A"/>
    <w:multiLevelType w:val="hybridMultilevel"/>
    <w:lvl w:ilvl="0" w:tplc="04070001">
      <w:start w:val="1"/>
      <w:numFmt w:val="bullet"/>
      <w:suff w:val="tab"/>
      <w:lvlText w:val=""/>
      <w:lvlJc w:val="left"/>
      <w:pPr>
        <w:ind w:hanging="360" w:left="1146"/>
      </w:pPr>
      <w:rPr>
        <w:rFonts w:ascii="Symbol" w:hAnsi="Symbol" w:hint="default"/>
      </w:rPr>
    </w:lvl>
    <w:lvl w:ilvl="1" w:tplc="04070003">
      <w:start w:val="1"/>
      <w:numFmt w:val="bullet"/>
      <w:suff w:val="tab"/>
      <w:lvlText w:val="o"/>
      <w:lvlJc w:val="left"/>
      <w:pPr>
        <w:ind w:hanging="360" w:left="1866"/>
      </w:pPr>
      <w:rPr>
        <w:rFonts w:ascii="Courier New" w:hAnsi="Courier New" w:cs="Courier New" w:hint="default"/>
      </w:rPr>
    </w:lvl>
    <w:lvl w:ilvl="2" w:tplc="04070005">
      <w:start w:val="1"/>
      <w:numFmt w:val="bullet"/>
      <w:suff w:val="tab"/>
      <w:lvlText w:val=""/>
      <w:lvlJc w:val="left"/>
      <w:pPr>
        <w:ind w:hanging="360" w:left="2586"/>
      </w:pPr>
      <w:rPr>
        <w:rFonts w:ascii="Wingdings" w:hAnsi="Wingdings" w:hint="default"/>
      </w:rPr>
    </w:lvl>
    <w:lvl w:ilvl="3" w:tplc="04070001">
      <w:start w:val="1"/>
      <w:numFmt w:val="bullet"/>
      <w:suff w:val="tab"/>
      <w:lvlText w:val=""/>
      <w:lvlJc w:val="left"/>
      <w:pPr>
        <w:ind w:hanging="360" w:left="3306"/>
      </w:pPr>
      <w:rPr>
        <w:rFonts w:ascii="Symbol" w:hAnsi="Symbol" w:hint="default"/>
      </w:rPr>
    </w:lvl>
    <w:lvl w:ilvl="4" w:tplc="04070003">
      <w:start w:val="1"/>
      <w:numFmt w:val="bullet"/>
      <w:suff w:val="tab"/>
      <w:lvlText w:val="o"/>
      <w:lvlJc w:val="left"/>
      <w:pPr>
        <w:ind w:hanging="360" w:left="4026"/>
      </w:pPr>
      <w:rPr>
        <w:rFonts w:ascii="Courier New" w:hAnsi="Courier New" w:cs="Courier New" w:hint="default"/>
      </w:rPr>
    </w:lvl>
    <w:lvl w:ilvl="5" w:tplc="04070005">
      <w:start w:val="1"/>
      <w:numFmt w:val="bullet"/>
      <w:suff w:val="tab"/>
      <w:lvlText w:val=""/>
      <w:lvlJc w:val="left"/>
      <w:pPr>
        <w:ind w:hanging="360" w:left="4746"/>
      </w:pPr>
      <w:rPr>
        <w:rFonts w:ascii="Wingdings" w:hAnsi="Wingdings" w:hint="default"/>
      </w:rPr>
    </w:lvl>
    <w:lvl w:ilvl="6" w:tplc="04070001">
      <w:start w:val="1"/>
      <w:numFmt w:val="bullet"/>
      <w:suff w:val="tab"/>
      <w:lvlText w:val=""/>
      <w:lvlJc w:val="left"/>
      <w:pPr>
        <w:ind w:hanging="360" w:left="5466"/>
      </w:pPr>
      <w:rPr>
        <w:rFonts w:ascii="Symbol" w:hAnsi="Symbol" w:hint="default"/>
      </w:rPr>
    </w:lvl>
    <w:lvl w:ilvl="7" w:tplc="04070003">
      <w:start w:val="1"/>
      <w:numFmt w:val="bullet"/>
      <w:suff w:val="tab"/>
      <w:lvlText w:val="o"/>
      <w:lvlJc w:val="left"/>
      <w:pPr>
        <w:ind w:hanging="360" w:left="6186"/>
      </w:pPr>
      <w:rPr>
        <w:rFonts w:ascii="Courier New" w:hAnsi="Courier New" w:cs="Courier New" w:hint="default"/>
      </w:rPr>
    </w:lvl>
    <w:lvl w:ilvl="8" w:tplc="04070005">
      <w:start w:val="1"/>
      <w:numFmt w:val="bullet"/>
      <w:suff w:val="tab"/>
      <w:lvlText w:val=""/>
      <w:lvlJc w:val="left"/>
      <w:pPr>
        <w:ind w:hanging="360" w:left="6906"/>
      </w:pPr>
      <w:rPr>
        <w:rFonts w:ascii="Wingdings" w:hAnsi="Wingdings" w:hint="default"/>
      </w:rPr>
    </w:lvl>
  </w:abstractNum>
  <w:abstractNum w:abstractNumId="11">
    <w:nsid w:val="41CF7172"/>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2">
    <w:nsid w:val="445C4700"/>
    <w:multiLevelType w:val="multilevel"/>
    <w:lvl w:ilvl="0">
      <w:start w:val="1"/>
      <w:numFmt w:val="decimal"/>
      <w:suff w:val="tab"/>
      <w:lvlText w:val="%1"/>
      <w:lvlJc w:val="left"/>
      <w:pPr>
        <w:ind w:hanging="360" w:left="360"/>
        <w:tabs>
          <w:tab w:val="num" w:pos="360" w:leader="none"/>
        </w:tabs>
      </w:pPr>
      <w:rPr>
        <w:rFonts w:hint="default"/>
      </w:rPr>
    </w:lvl>
    <w:lvl w:ilvl="1">
      <w:start w:val="1"/>
      <w:numFmt w:val="decimal"/>
      <w:suff w:val="tab"/>
      <w:lvlText w:val="%1.%2"/>
      <w:lvlJc w:val="left"/>
      <w:pPr>
        <w:ind w:hanging="360" w:left="1069"/>
        <w:tabs>
          <w:tab w:val="num" w:pos="1069" w:leader="none"/>
        </w:tabs>
      </w:pPr>
      <w:rPr>
        <w:rFonts w:hint="default"/>
      </w:rPr>
    </w:lvl>
    <w:lvl w:ilvl="2">
      <w:start w:val="1"/>
      <w:numFmt w:val="decimal"/>
      <w:suff w:val="tab"/>
      <w:lvlText w:val="%1.%2.%3"/>
      <w:lvlJc w:val="left"/>
      <w:pPr>
        <w:ind w:hanging="720" w:left="2138"/>
        <w:tabs>
          <w:tab w:val="num" w:pos="2138" w:leader="none"/>
        </w:tabs>
      </w:pPr>
      <w:rPr>
        <w:rFonts w:hint="default"/>
      </w:rPr>
    </w:lvl>
    <w:lvl w:ilvl="3">
      <w:start w:val="1"/>
      <w:numFmt w:val="decimal"/>
      <w:suff w:val="tab"/>
      <w:lvlText w:val="%1.%2.%3.%4"/>
      <w:lvlJc w:val="left"/>
      <w:pPr>
        <w:ind w:hanging="720" w:left="2847"/>
        <w:tabs>
          <w:tab w:val="num" w:pos="2847" w:leader="none"/>
        </w:tabs>
      </w:pPr>
      <w:rPr>
        <w:rFonts w:hint="default"/>
      </w:rPr>
    </w:lvl>
    <w:lvl w:ilvl="4">
      <w:start w:val="1"/>
      <w:numFmt w:val="decimal"/>
      <w:suff w:val="tab"/>
      <w:lvlText w:val="%1.%2.%3.%4.%5"/>
      <w:lvlJc w:val="left"/>
      <w:pPr>
        <w:ind w:hanging="1080" w:left="3916"/>
        <w:tabs>
          <w:tab w:val="num" w:pos="3916" w:leader="none"/>
        </w:tabs>
      </w:pPr>
      <w:rPr>
        <w:rFonts w:hint="default"/>
      </w:rPr>
    </w:lvl>
    <w:lvl w:ilvl="5">
      <w:start w:val="1"/>
      <w:numFmt w:val="decimal"/>
      <w:suff w:val="tab"/>
      <w:lvlText w:val="%1.%2.%3.%4.%5.%6"/>
      <w:lvlJc w:val="left"/>
      <w:pPr>
        <w:ind w:hanging="1080" w:left="4625"/>
        <w:tabs>
          <w:tab w:val="num" w:pos="4625" w:leader="none"/>
        </w:tabs>
      </w:pPr>
      <w:rPr>
        <w:rFonts w:hint="default"/>
      </w:rPr>
    </w:lvl>
    <w:lvl w:ilvl="6">
      <w:start w:val="1"/>
      <w:numFmt w:val="decimal"/>
      <w:suff w:val="tab"/>
      <w:lvlText w:val="%1.%2.%3.%4.%5.%6.%7"/>
      <w:lvlJc w:val="left"/>
      <w:pPr>
        <w:ind w:hanging="1440" w:left="5694"/>
        <w:tabs>
          <w:tab w:val="num" w:pos="5694" w:leader="none"/>
        </w:tabs>
      </w:pPr>
      <w:rPr>
        <w:rFonts w:hint="default"/>
      </w:rPr>
    </w:lvl>
    <w:lvl w:ilvl="7">
      <w:start w:val="1"/>
      <w:numFmt w:val="decimal"/>
      <w:suff w:val="tab"/>
      <w:lvlText w:val="%1.%2.%3.%4.%5.%6.%7.%8"/>
      <w:lvlJc w:val="left"/>
      <w:pPr>
        <w:ind w:hanging="1440" w:left="6403"/>
        <w:tabs>
          <w:tab w:val="num" w:pos="6403" w:leader="none"/>
        </w:tabs>
      </w:pPr>
      <w:rPr>
        <w:rFonts w:hint="default"/>
      </w:rPr>
    </w:lvl>
    <w:lvl w:ilvl="8">
      <w:start w:val="1"/>
      <w:numFmt w:val="decimal"/>
      <w:suff w:val="tab"/>
      <w:lvlText w:val="%1.%2.%3.%4.%5.%6.%7.%8.%9"/>
      <w:lvlJc w:val="left"/>
      <w:pPr>
        <w:ind w:hanging="1800" w:left="7472"/>
        <w:tabs>
          <w:tab w:val="num" w:pos="7472" w:leader="none"/>
        </w:tabs>
      </w:pPr>
      <w:rPr>
        <w:rFonts w:hint="default"/>
      </w:rPr>
    </w:lvl>
  </w:abstractNum>
  <w:abstractNum w:abstractNumId="13">
    <w:nsid w:val="4BE72463"/>
    <w:multiLevelType w:val="hybridMultilevel"/>
    <w:lvl w:ilvl="0" w:tplc="50B0E936">
      <w:start w:val="1"/>
      <w:numFmt w:val="decimal"/>
      <w:suff w:val="tab"/>
      <w:lvlText w:val="%1."/>
      <w:lvlJc w:val="left"/>
      <w:pPr>
        <w:ind w:hanging="360" w:left="1494"/>
      </w:pPr>
      <w:rPr>
        <w:rFonts w:ascii="Arial" w:hAnsi="Arial" w:cs="Arial" w:eastAsia="Times New Roman"/>
      </w:rPr>
    </w:lvl>
    <w:lvl w:ilvl="1" w:tplc="04070019">
      <w:start w:val="1"/>
      <w:numFmt w:val="lowerLetter"/>
      <w:suff w:val="tab"/>
      <w:lvlText w:val="%2."/>
      <w:lvlJc w:val="left"/>
      <w:pPr>
        <w:ind w:hanging="360" w:left="2214"/>
      </w:pPr>
      <w:rPr/>
    </w:lvl>
    <w:lvl w:ilvl="2" w:tplc="0407001B">
      <w:start w:val="1"/>
      <w:numFmt w:val="lowerRoman"/>
      <w:suff w:val="tab"/>
      <w:lvlText w:val="%3."/>
      <w:lvlJc w:val="right"/>
      <w:pPr>
        <w:ind w:hanging="180" w:left="2934"/>
      </w:pPr>
      <w:rPr/>
    </w:lvl>
    <w:lvl w:ilvl="3" w:tplc="0407000F">
      <w:start w:val="1"/>
      <w:numFmt w:val="decimal"/>
      <w:suff w:val="tab"/>
      <w:lvlText w:val="%4."/>
      <w:lvlJc w:val="left"/>
      <w:pPr>
        <w:ind w:hanging="360" w:left="3654"/>
      </w:pPr>
      <w:rPr/>
    </w:lvl>
    <w:lvl w:ilvl="4" w:tplc="04070019">
      <w:start w:val="1"/>
      <w:numFmt w:val="lowerLetter"/>
      <w:suff w:val="tab"/>
      <w:lvlText w:val="%5."/>
      <w:lvlJc w:val="left"/>
      <w:pPr>
        <w:ind w:hanging="360" w:left="4374"/>
      </w:pPr>
      <w:rPr/>
    </w:lvl>
    <w:lvl w:ilvl="5" w:tplc="0407001B">
      <w:start w:val="1"/>
      <w:numFmt w:val="lowerRoman"/>
      <w:suff w:val="tab"/>
      <w:lvlText w:val="%6."/>
      <w:lvlJc w:val="right"/>
      <w:pPr>
        <w:ind w:hanging="180" w:left="5094"/>
      </w:pPr>
      <w:rPr/>
    </w:lvl>
    <w:lvl w:ilvl="6" w:tplc="0407000F">
      <w:start w:val="1"/>
      <w:numFmt w:val="decimal"/>
      <w:suff w:val="tab"/>
      <w:lvlText w:val="%7."/>
      <w:lvlJc w:val="left"/>
      <w:pPr>
        <w:ind w:hanging="360" w:left="5814"/>
      </w:pPr>
      <w:rPr/>
    </w:lvl>
    <w:lvl w:ilvl="7" w:tplc="04070019">
      <w:start w:val="1"/>
      <w:numFmt w:val="lowerLetter"/>
      <w:suff w:val="tab"/>
      <w:lvlText w:val="%8."/>
      <w:lvlJc w:val="left"/>
      <w:pPr>
        <w:ind w:hanging="360" w:left="6534"/>
      </w:pPr>
      <w:rPr/>
    </w:lvl>
    <w:lvl w:ilvl="8" w:tplc="0407001B">
      <w:start w:val="1"/>
      <w:numFmt w:val="lowerRoman"/>
      <w:suff w:val="tab"/>
      <w:lvlText w:val="%9."/>
      <w:lvlJc w:val="right"/>
      <w:pPr>
        <w:ind w:hanging="180" w:left="7254"/>
      </w:pPr>
      <w:rPr/>
    </w:lvl>
  </w:abstractNum>
  <w:abstractNum w:abstractNumId="14">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5">
    <w:nsid w:val="7EEDEAF7"/>
    <w:multiLevelType w:val="hybridMultilevel"/>
    <w:lvl w:ilvl="0" w:tplc="07FBF6CA">
      <w:start w:val="1"/>
      <w:numFmt w:val="bullet"/>
      <w:suff w:val="tab"/>
      <w:lvlText w:val="·"/>
      <w:lvlJc w:val="left"/>
      <w:pPr>
        <w:ind w:hanging="360" w:left="720"/>
      </w:pPr>
      <w:rPr>
        <w:rFonts w:ascii="Symbol" w:hAnsi="Symbol" w:cs="Symbol" w:eastAsia="Symbol"/>
      </w:rPr>
    </w:lvl>
    <w:lvl w:ilvl="1" w:tplc="46FBCE72">
      <w:start w:val="1"/>
      <w:numFmt w:val="bullet"/>
      <w:suff w:val="tab"/>
      <w:lvlText w:val="o"/>
      <w:lvlJc w:val="left"/>
      <w:pPr>
        <w:ind w:hanging="360" w:left="1440"/>
      </w:pPr>
      <w:rPr>
        <w:rFonts w:ascii="Symbol" w:hAnsi="Symbol"/>
      </w:rPr>
    </w:lvl>
    <w:lvl w:ilvl="2" w:tplc="71F80309">
      <w:start w:val="1"/>
      <w:numFmt w:val="bullet"/>
      <w:suff w:val="tab"/>
      <w:lvlText w:val="·"/>
      <w:lvlJc w:val="left"/>
      <w:pPr>
        <w:ind w:hanging="360" w:left="2160"/>
      </w:pPr>
      <w:rPr>
        <w:rFonts w:ascii="Symbol" w:hAnsi="Symbol"/>
      </w:rPr>
    </w:lvl>
    <w:lvl w:ilvl="3" w:tplc="1713722B">
      <w:start w:val="1"/>
      <w:numFmt w:val="bullet"/>
      <w:suff w:val="tab"/>
      <w:lvlText w:val="o"/>
      <w:lvlJc w:val="left"/>
      <w:pPr>
        <w:ind w:hanging="360" w:left="2880"/>
      </w:pPr>
      <w:rPr>
        <w:rFonts w:ascii="Symbol" w:hAnsi="Symbol"/>
      </w:rPr>
    </w:lvl>
    <w:lvl w:ilvl="4" w:tplc="53903A4E">
      <w:start w:val="1"/>
      <w:numFmt w:val="bullet"/>
      <w:suff w:val="tab"/>
      <w:lvlText w:val="·"/>
      <w:lvlJc w:val="left"/>
      <w:pPr>
        <w:ind w:hanging="360" w:left="3600"/>
      </w:pPr>
      <w:rPr>
        <w:rFonts w:ascii="Symbol" w:hAnsi="Symbol"/>
      </w:rPr>
    </w:lvl>
    <w:lvl w:ilvl="5" w:tplc="18482BB2">
      <w:start w:val="1"/>
      <w:numFmt w:val="bullet"/>
      <w:suff w:val="tab"/>
      <w:lvlText w:val="o"/>
      <w:lvlJc w:val="left"/>
      <w:pPr>
        <w:ind w:hanging="360" w:left="4320"/>
      </w:pPr>
      <w:rPr>
        <w:rFonts w:ascii="Symbol" w:hAnsi="Symbol"/>
      </w:rPr>
    </w:lvl>
    <w:lvl w:ilvl="6" w:tplc="7F1B1796">
      <w:start w:val="1"/>
      <w:numFmt w:val="bullet"/>
      <w:suff w:val="tab"/>
      <w:lvlText w:val="·"/>
      <w:lvlJc w:val="left"/>
      <w:pPr>
        <w:ind w:hanging="360" w:left="5040"/>
      </w:pPr>
      <w:rPr>
        <w:rFonts w:ascii="Symbol" w:hAnsi="Symbol"/>
      </w:rPr>
    </w:lvl>
    <w:lvl w:ilvl="7" w:tplc="6383EA26">
      <w:start w:val="1"/>
      <w:numFmt w:val="bullet"/>
      <w:suff w:val="tab"/>
      <w:lvlText w:val="o"/>
      <w:lvlJc w:val="left"/>
      <w:pPr>
        <w:ind w:hanging="360" w:left="5760"/>
      </w:pPr>
      <w:rPr>
        <w:rFonts w:ascii="Symbol" w:hAnsi="Symbol"/>
      </w:rPr>
    </w:lvl>
    <w:lvl w:ilvl="8" w:tplc="122672D8">
      <w:start w:val="1"/>
      <w:numFmt w:val="bullet"/>
      <w:suff w:val="tab"/>
      <w:lvlText w:val="·"/>
      <w:lvlJc w:val="left"/>
      <w:pPr>
        <w:ind w:hanging="360" w:left="6480"/>
      </w:pPr>
      <w:rPr>
        <w:rFonts w:ascii="Symbol" w:hAnsi="Symbol"/>
      </w:rPr>
    </w:lvl>
  </w:abstractNum>
  <w:abstractNum w:abstractNumId="16">
    <w:nsid w:val="3A7ACA81"/>
    <w:multiLevelType w:val="hybridMultilevel"/>
    <w:lvl w:ilvl="0" w:tplc="074C3690">
      <w:start w:val="1"/>
      <w:numFmt w:val="bullet"/>
      <w:suff w:val="tab"/>
      <w:lvlText w:val="·"/>
      <w:lvlJc w:val="left"/>
      <w:pPr>
        <w:ind w:hanging="360" w:left="720"/>
      </w:pPr>
      <w:rPr>
        <w:rFonts w:ascii="Symbol" w:hAnsi="Symbol" w:cs="Symbol" w:eastAsia="Symbol"/>
      </w:rPr>
    </w:lvl>
    <w:lvl w:ilvl="1" w:tplc="6C730477">
      <w:start w:val="1"/>
      <w:numFmt w:val="bullet"/>
      <w:suff w:val="tab"/>
      <w:lvlText w:val="o"/>
      <w:lvlJc w:val="left"/>
      <w:pPr>
        <w:ind w:hanging="360" w:left="1440"/>
      </w:pPr>
      <w:rPr>
        <w:rFonts w:ascii="Symbol" w:hAnsi="Symbol"/>
      </w:rPr>
    </w:lvl>
    <w:lvl w:ilvl="2" w:tplc="24A410BB">
      <w:start w:val="1"/>
      <w:numFmt w:val="bullet"/>
      <w:suff w:val="tab"/>
      <w:lvlText w:val="·"/>
      <w:lvlJc w:val="left"/>
      <w:pPr>
        <w:ind w:hanging="360" w:left="2160"/>
      </w:pPr>
      <w:rPr>
        <w:rFonts w:ascii="Symbol" w:hAnsi="Symbol"/>
      </w:rPr>
    </w:lvl>
    <w:lvl w:ilvl="3" w:tplc="43AB56C4">
      <w:start w:val="1"/>
      <w:numFmt w:val="bullet"/>
      <w:suff w:val="tab"/>
      <w:lvlText w:val="o"/>
      <w:lvlJc w:val="left"/>
      <w:pPr>
        <w:ind w:hanging="360" w:left="2880"/>
      </w:pPr>
      <w:rPr>
        <w:rFonts w:ascii="Symbol" w:hAnsi="Symbol"/>
      </w:rPr>
    </w:lvl>
    <w:lvl w:ilvl="4" w:tplc="34064713">
      <w:start w:val="1"/>
      <w:numFmt w:val="bullet"/>
      <w:suff w:val="tab"/>
      <w:lvlText w:val="·"/>
      <w:lvlJc w:val="left"/>
      <w:pPr>
        <w:ind w:hanging="360" w:left="3600"/>
      </w:pPr>
      <w:rPr>
        <w:rFonts w:ascii="Symbol" w:hAnsi="Symbol"/>
      </w:rPr>
    </w:lvl>
    <w:lvl w:ilvl="5" w:tplc="7946375F">
      <w:start w:val="1"/>
      <w:numFmt w:val="bullet"/>
      <w:suff w:val="tab"/>
      <w:lvlText w:val="o"/>
      <w:lvlJc w:val="left"/>
      <w:pPr>
        <w:ind w:hanging="360" w:left="4320"/>
      </w:pPr>
      <w:rPr>
        <w:rFonts w:ascii="Symbol" w:hAnsi="Symbol"/>
      </w:rPr>
    </w:lvl>
    <w:lvl w:ilvl="6" w:tplc="3ADEBFFB">
      <w:start w:val="1"/>
      <w:numFmt w:val="bullet"/>
      <w:suff w:val="tab"/>
      <w:lvlText w:val="·"/>
      <w:lvlJc w:val="left"/>
      <w:pPr>
        <w:ind w:hanging="360" w:left="5040"/>
      </w:pPr>
      <w:rPr>
        <w:rFonts w:ascii="Symbol" w:hAnsi="Symbol"/>
      </w:rPr>
    </w:lvl>
    <w:lvl w:ilvl="7" w:tplc="5780A247">
      <w:start w:val="1"/>
      <w:numFmt w:val="bullet"/>
      <w:suff w:val="tab"/>
      <w:lvlText w:val="o"/>
      <w:lvlJc w:val="left"/>
      <w:pPr>
        <w:ind w:hanging="360" w:left="5760"/>
      </w:pPr>
      <w:rPr>
        <w:rFonts w:ascii="Symbol" w:hAnsi="Symbol"/>
      </w:rPr>
    </w:lvl>
    <w:lvl w:ilvl="8" w:tplc="073DA80A">
      <w:start w:val="1"/>
      <w:numFmt w:val="bullet"/>
      <w:suff w:val="tab"/>
      <w:lvlText w:val="·"/>
      <w:lvlJc w:val="left"/>
      <w:pPr>
        <w:ind w:hanging="360" w:left="6480"/>
      </w:pPr>
      <w:rPr>
        <w:rFonts w:ascii="Symbol" w:hAnsi="Symbol"/>
      </w:rPr>
    </w:lvl>
  </w:abstractNum>
  <w:abstractNum w:abstractNumId="17">
    <w:nsid w:val="4C4394CE"/>
    <w:multiLevelType w:val="hybridMultilevel"/>
    <w:lvl w:ilvl="0" w:tplc="688A7CD4">
      <w:start w:val="1"/>
      <w:numFmt w:val="bullet"/>
      <w:suff w:val="tab"/>
      <w:lvlText w:val="·"/>
      <w:lvlJc w:val="left"/>
      <w:pPr>
        <w:ind w:hanging="360" w:left="720"/>
      </w:pPr>
      <w:rPr>
        <w:rFonts w:ascii="Symbol" w:hAnsi="Symbol" w:cs="Symbol" w:eastAsia="Symbol"/>
      </w:rPr>
    </w:lvl>
    <w:lvl w:ilvl="1" w:tplc="7875BD50">
      <w:start w:val="1"/>
      <w:numFmt w:val="bullet"/>
      <w:suff w:val="tab"/>
      <w:lvlText w:val="o"/>
      <w:lvlJc w:val="left"/>
      <w:pPr>
        <w:ind w:hanging="360" w:left="1440"/>
      </w:pPr>
      <w:rPr>
        <w:rFonts w:ascii="Symbol" w:hAnsi="Symbol"/>
      </w:rPr>
    </w:lvl>
    <w:lvl w:ilvl="2" w:tplc="1FAA586C">
      <w:start w:val="1"/>
      <w:numFmt w:val="bullet"/>
      <w:suff w:val="tab"/>
      <w:lvlText w:val="·"/>
      <w:lvlJc w:val="left"/>
      <w:pPr>
        <w:ind w:hanging="360" w:left="2160"/>
      </w:pPr>
      <w:rPr>
        <w:rFonts w:ascii="Symbol" w:hAnsi="Symbol"/>
      </w:rPr>
    </w:lvl>
    <w:lvl w:ilvl="3" w:tplc="562A66A5">
      <w:start w:val="1"/>
      <w:numFmt w:val="bullet"/>
      <w:suff w:val="tab"/>
      <w:lvlText w:val="o"/>
      <w:lvlJc w:val="left"/>
      <w:pPr>
        <w:ind w:hanging="360" w:left="2880"/>
      </w:pPr>
      <w:rPr>
        <w:rFonts w:ascii="Symbol" w:hAnsi="Symbol"/>
      </w:rPr>
    </w:lvl>
    <w:lvl w:ilvl="4" w:tplc="060F9BB1">
      <w:start w:val="1"/>
      <w:numFmt w:val="bullet"/>
      <w:suff w:val="tab"/>
      <w:lvlText w:val="·"/>
      <w:lvlJc w:val="left"/>
      <w:pPr>
        <w:ind w:hanging="360" w:left="3600"/>
      </w:pPr>
      <w:rPr>
        <w:rFonts w:ascii="Symbol" w:hAnsi="Symbol"/>
      </w:rPr>
    </w:lvl>
    <w:lvl w:ilvl="5" w:tplc="5FC5B533">
      <w:start w:val="1"/>
      <w:numFmt w:val="bullet"/>
      <w:suff w:val="tab"/>
      <w:lvlText w:val="o"/>
      <w:lvlJc w:val="left"/>
      <w:pPr>
        <w:ind w:hanging="360" w:left="4320"/>
      </w:pPr>
      <w:rPr>
        <w:rFonts w:ascii="Symbol" w:hAnsi="Symbol"/>
      </w:rPr>
    </w:lvl>
    <w:lvl w:ilvl="6" w:tplc="0C635ED5">
      <w:start w:val="1"/>
      <w:numFmt w:val="bullet"/>
      <w:suff w:val="tab"/>
      <w:lvlText w:val="·"/>
      <w:lvlJc w:val="left"/>
      <w:pPr>
        <w:ind w:hanging="360" w:left="5040"/>
      </w:pPr>
      <w:rPr>
        <w:rFonts w:ascii="Symbol" w:hAnsi="Symbol"/>
      </w:rPr>
    </w:lvl>
    <w:lvl w:ilvl="7" w:tplc="4C320F07">
      <w:start w:val="1"/>
      <w:numFmt w:val="bullet"/>
      <w:suff w:val="tab"/>
      <w:lvlText w:val="o"/>
      <w:lvlJc w:val="left"/>
      <w:pPr>
        <w:ind w:hanging="360" w:left="5760"/>
      </w:pPr>
      <w:rPr>
        <w:rFonts w:ascii="Symbol" w:hAnsi="Symbol"/>
      </w:rPr>
    </w:lvl>
    <w:lvl w:ilvl="8" w:tplc="412BFB00">
      <w:start w:val="1"/>
      <w:numFmt w:val="bullet"/>
      <w:suff w:val="tab"/>
      <w:lvlText w:val="·"/>
      <w:lvlJc w:val="left"/>
      <w:pPr>
        <w:ind w:hanging="360" w:left="6480"/>
      </w:pPr>
      <w:rPr>
        <w:rFonts w:ascii="Symbol" w:hAnsi="Symbol"/>
      </w:rPr>
    </w:lvl>
  </w:abstractNum>
  <w:abstractNum w:abstractNumId="18">
    <w:nsid w:val="22F00787"/>
    <w:multiLevelType w:val="hybridMultilevel"/>
    <w:lvl w:ilvl="0" w:tplc="32F9CCB0">
      <w:start w:val="1"/>
      <w:numFmt w:val="bullet"/>
      <w:suff w:val="tab"/>
      <w:lvlText w:val="·"/>
      <w:lvlJc w:val="left"/>
      <w:pPr>
        <w:ind w:hanging="360" w:left="720"/>
      </w:pPr>
      <w:rPr>
        <w:rFonts w:ascii="Symbol" w:hAnsi="Symbol" w:cs="Symbol" w:eastAsia="Symbol"/>
      </w:rPr>
    </w:lvl>
    <w:lvl w:ilvl="1" w:tplc="48969C2D">
      <w:start w:val="1"/>
      <w:numFmt w:val="bullet"/>
      <w:suff w:val="tab"/>
      <w:lvlText w:val="o"/>
      <w:lvlJc w:val="left"/>
      <w:pPr>
        <w:ind w:hanging="360" w:left="1440"/>
      </w:pPr>
      <w:rPr>
        <w:rFonts w:ascii="Symbol" w:hAnsi="Symbol"/>
      </w:rPr>
    </w:lvl>
    <w:lvl w:ilvl="2" w:tplc="47C2987F">
      <w:start w:val="1"/>
      <w:numFmt w:val="bullet"/>
      <w:suff w:val="tab"/>
      <w:lvlText w:val="·"/>
      <w:lvlJc w:val="left"/>
      <w:pPr>
        <w:ind w:hanging="360" w:left="2160"/>
      </w:pPr>
      <w:rPr>
        <w:rFonts w:ascii="Symbol" w:hAnsi="Symbol"/>
      </w:rPr>
    </w:lvl>
    <w:lvl w:ilvl="3" w:tplc="07F37FF8">
      <w:start w:val="1"/>
      <w:numFmt w:val="bullet"/>
      <w:suff w:val="tab"/>
      <w:lvlText w:val="o"/>
      <w:lvlJc w:val="left"/>
      <w:pPr>
        <w:ind w:hanging="360" w:left="2880"/>
      </w:pPr>
      <w:rPr>
        <w:rFonts w:ascii="Symbol" w:hAnsi="Symbol"/>
      </w:rPr>
    </w:lvl>
    <w:lvl w:ilvl="4" w:tplc="4BF13185">
      <w:start w:val="1"/>
      <w:numFmt w:val="bullet"/>
      <w:suff w:val="tab"/>
      <w:lvlText w:val="·"/>
      <w:lvlJc w:val="left"/>
      <w:pPr>
        <w:ind w:hanging="360" w:left="3600"/>
      </w:pPr>
      <w:rPr>
        <w:rFonts w:ascii="Symbol" w:hAnsi="Symbol"/>
      </w:rPr>
    </w:lvl>
    <w:lvl w:ilvl="5" w:tplc="672ACB72">
      <w:start w:val="1"/>
      <w:numFmt w:val="bullet"/>
      <w:suff w:val="tab"/>
      <w:lvlText w:val="o"/>
      <w:lvlJc w:val="left"/>
      <w:pPr>
        <w:ind w:hanging="360" w:left="4320"/>
      </w:pPr>
      <w:rPr>
        <w:rFonts w:ascii="Symbol" w:hAnsi="Symbol"/>
      </w:rPr>
    </w:lvl>
    <w:lvl w:ilvl="6" w:tplc="62E13965">
      <w:start w:val="1"/>
      <w:numFmt w:val="bullet"/>
      <w:suff w:val="tab"/>
      <w:lvlText w:val="·"/>
      <w:lvlJc w:val="left"/>
      <w:pPr>
        <w:ind w:hanging="360" w:left="5040"/>
      </w:pPr>
      <w:rPr>
        <w:rFonts w:ascii="Symbol" w:hAnsi="Symbol"/>
      </w:rPr>
    </w:lvl>
    <w:lvl w:ilvl="7" w:tplc="0B361257">
      <w:start w:val="1"/>
      <w:numFmt w:val="bullet"/>
      <w:suff w:val="tab"/>
      <w:lvlText w:val="o"/>
      <w:lvlJc w:val="left"/>
      <w:pPr>
        <w:ind w:hanging="360" w:left="5760"/>
      </w:pPr>
      <w:rPr>
        <w:rFonts w:ascii="Symbol" w:hAnsi="Symbol"/>
      </w:rPr>
    </w:lvl>
    <w:lvl w:ilvl="8" w:tplc="5B58BCE4">
      <w:start w:val="1"/>
      <w:numFmt w:val="bullet"/>
      <w:suff w:val="tab"/>
      <w:lvlText w:val="·"/>
      <w:lvlJc w:val="left"/>
      <w:pPr>
        <w:ind w:hanging="360" w:left="6480"/>
      </w:pPr>
      <w:rPr>
        <w:rFonts w:ascii="Symbol" w:hAnsi="Symbol"/>
      </w:rPr>
    </w:lvl>
  </w:abstractNum>
  <w:abstractNum w:abstractNumId="19">
    <w:nsid w:val="230980A8"/>
    <w:multiLevelType w:val="hybridMultilevel"/>
    <w:lvl w:ilvl="0" w:tplc="676F8BE8">
      <w:start w:val="1"/>
      <w:numFmt w:val="bullet"/>
      <w:suff w:val="tab"/>
      <w:lvlText w:val="·"/>
      <w:lvlJc w:val="left"/>
      <w:pPr>
        <w:ind w:hanging="360" w:left="720"/>
      </w:pPr>
      <w:rPr>
        <w:rFonts w:ascii="Symbol" w:hAnsi="Symbol" w:cs="Symbol" w:eastAsia="Symbol"/>
      </w:rPr>
    </w:lvl>
    <w:lvl w:ilvl="1" w:tplc="265631DA">
      <w:start w:val="1"/>
      <w:numFmt w:val="bullet"/>
      <w:suff w:val="tab"/>
      <w:lvlText w:val="o"/>
      <w:lvlJc w:val="left"/>
      <w:pPr>
        <w:ind w:hanging="360" w:left="1440"/>
      </w:pPr>
      <w:rPr>
        <w:rFonts w:ascii="Symbol" w:hAnsi="Symbol"/>
      </w:rPr>
    </w:lvl>
    <w:lvl w:ilvl="2" w:tplc="4765FF82">
      <w:start w:val="1"/>
      <w:numFmt w:val="bullet"/>
      <w:suff w:val="tab"/>
      <w:lvlText w:val="·"/>
      <w:lvlJc w:val="left"/>
      <w:pPr>
        <w:ind w:hanging="360" w:left="2160"/>
      </w:pPr>
      <w:rPr>
        <w:rFonts w:ascii="Symbol" w:hAnsi="Symbol"/>
      </w:rPr>
    </w:lvl>
    <w:lvl w:ilvl="3" w:tplc="4AEA5350">
      <w:start w:val="1"/>
      <w:numFmt w:val="bullet"/>
      <w:suff w:val="tab"/>
      <w:lvlText w:val="o"/>
      <w:lvlJc w:val="left"/>
      <w:pPr>
        <w:ind w:hanging="360" w:left="2880"/>
      </w:pPr>
      <w:rPr>
        <w:rFonts w:ascii="Symbol" w:hAnsi="Symbol"/>
      </w:rPr>
    </w:lvl>
    <w:lvl w:ilvl="4" w:tplc="5FEC5084">
      <w:start w:val="1"/>
      <w:numFmt w:val="bullet"/>
      <w:suff w:val="tab"/>
      <w:lvlText w:val="·"/>
      <w:lvlJc w:val="left"/>
      <w:pPr>
        <w:ind w:hanging="360" w:left="3600"/>
      </w:pPr>
      <w:rPr>
        <w:rFonts w:ascii="Symbol" w:hAnsi="Symbol"/>
      </w:rPr>
    </w:lvl>
    <w:lvl w:ilvl="5" w:tplc="022543A9">
      <w:start w:val="1"/>
      <w:numFmt w:val="bullet"/>
      <w:suff w:val="tab"/>
      <w:lvlText w:val="o"/>
      <w:lvlJc w:val="left"/>
      <w:pPr>
        <w:ind w:hanging="360" w:left="4320"/>
      </w:pPr>
      <w:rPr>
        <w:rFonts w:ascii="Symbol" w:hAnsi="Symbol"/>
      </w:rPr>
    </w:lvl>
    <w:lvl w:ilvl="6" w:tplc="2469DC14">
      <w:start w:val="1"/>
      <w:numFmt w:val="bullet"/>
      <w:suff w:val="tab"/>
      <w:lvlText w:val="·"/>
      <w:lvlJc w:val="left"/>
      <w:pPr>
        <w:ind w:hanging="360" w:left="5040"/>
      </w:pPr>
      <w:rPr>
        <w:rFonts w:ascii="Symbol" w:hAnsi="Symbol"/>
      </w:rPr>
    </w:lvl>
    <w:lvl w:ilvl="7" w:tplc="16284894">
      <w:start w:val="1"/>
      <w:numFmt w:val="bullet"/>
      <w:suff w:val="tab"/>
      <w:lvlText w:val="o"/>
      <w:lvlJc w:val="left"/>
      <w:pPr>
        <w:ind w:hanging="360" w:left="5760"/>
      </w:pPr>
      <w:rPr>
        <w:rFonts w:ascii="Symbol" w:hAnsi="Symbol"/>
      </w:rPr>
    </w:lvl>
    <w:lvl w:ilvl="8" w:tplc="6EBE2FE4">
      <w:start w:val="1"/>
      <w:numFmt w:val="bullet"/>
      <w:suff w:val="tab"/>
      <w:lvlText w:val="·"/>
      <w:lvlJc w:val="left"/>
      <w:pPr>
        <w:ind w:hanging="360" w:left="6480"/>
      </w:pPr>
      <w:rPr>
        <w:rFonts w:ascii="Symbol" w:hAnsi="Symbol"/>
      </w:rPr>
    </w:lvl>
  </w:abstractNum>
  <w:abstractNum w:abstractNumId="20">
    <w:nsid w:val="65F9CF65"/>
    <w:multiLevelType w:val="hybridMultilevel"/>
    <w:lvl w:ilvl="0" w:tplc="16C76279">
      <w:start w:val="1"/>
      <w:numFmt w:val="bullet"/>
      <w:suff w:val="tab"/>
      <w:lvlText w:val="·"/>
      <w:lvlJc w:val="left"/>
      <w:pPr>
        <w:ind w:hanging="360" w:left="720"/>
      </w:pPr>
      <w:rPr>
        <w:rFonts w:ascii="Symbol" w:hAnsi="Symbol" w:cs="Symbol" w:eastAsia="Symbol"/>
      </w:rPr>
    </w:lvl>
    <w:lvl w:ilvl="1" w:tplc="14F8B5D8">
      <w:start w:val="1"/>
      <w:numFmt w:val="bullet"/>
      <w:suff w:val="tab"/>
      <w:lvlText w:val="o"/>
      <w:lvlJc w:val="left"/>
      <w:pPr>
        <w:ind w:hanging="360" w:left="1440"/>
      </w:pPr>
      <w:rPr>
        <w:rFonts w:ascii="Symbol" w:hAnsi="Symbol"/>
      </w:rPr>
    </w:lvl>
    <w:lvl w:ilvl="2" w:tplc="3104A95E">
      <w:start w:val="1"/>
      <w:numFmt w:val="bullet"/>
      <w:suff w:val="tab"/>
      <w:lvlText w:val="·"/>
      <w:lvlJc w:val="left"/>
      <w:pPr>
        <w:ind w:hanging="360" w:left="2160"/>
      </w:pPr>
      <w:rPr>
        <w:rFonts w:ascii="Symbol" w:hAnsi="Symbol"/>
      </w:rPr>
    </w:lvl>
    <w:lvl w:ilvl="3" w:tplc="3BFE7B41">
      <w:start w:val="1"/>
      <w:numFmt w:val="bullet"/>
      <w:suff w:val="tab"/>
      <w:lvlText w:val="o"/>
      <w:lvlJc w:val="left"/>
      <w:pPr>
        <w:ind w:hanging="360" w:left="2880"/>
      </w:pPr>
      <w:rPr>
        <w:rFonts w:ascii="Symbol" w:hAnsi="Symbol"/>
      </w:rPr>
    </w:lvl>
    <w:lvl w:ilvl="4" w:tplc="56985FDB">
      <w:start w:val="1"/>
      <w:numFmt w:val="bullet"/>
      <w:suff w:val="tab"/>
      <w:lvlText w:val="·"/>
      <w:lvlJc w:val="left"/>
      <w:pPr>
        <w:ind w:hanging="360" w:left="3600"/>
      </w:pPr>
      <w:rPr>
        <w:rFonts w:ascii="Symbol" w:hAnsi="Symbol"/>
      </w:rPr>
    </w:lvl>
    <w:lvl w:ilvl="5" w:tplc="71D3D586">
      <w:start w:val="1"/>
      <w:numFmt w:val="bullet"/>
      <w:suff w:val="tab"/>
      <w:lvlText w:val="o"/>
      <w:lvlJc w:val="left"/>
      <w:pPr>
        <w:ind w:hanging="360" w:left="4320"/>
      </w:pPr>
      <w:rPr>
        <w:rFonts w:ascii="Symbol" w:hAnsi="Symbol"/>
      </w:rPr>
    </w:lvl>
    <w:lvl w:ilvl="6" w:tplc="0165D08A">
      <w:start w:val="1"/>
      <w:numFmt w:val="bullet"/>
      <w:suff w:val="tab"/>
      <w:lvlText w:val="·"/>
      <w:lvlJc w:val="left"/>
      <w:pPr>
        <w:ind w:hanging="360" w:left="5040"/>
      </w:pPr>
      <w:rPr>
        <w:rFonts w:ascii="Symbol" w:hAnsi="Symbol"/>
      </w:rPr>
    </w:lvl>
    <w:lvl w:ilvl="7" w:tplc="1549CA12">
      <w:start w:val="1"/>
      <w:numFmt w:val="bullet"/>
      <w:suff w:val="tab"/>
      <w:lvlText w:val="o"/>
      <w:lvlJc w:val="left"/>
      <w:pPr>
        <w:ind w:hanging="360" w:left="5760"/>
      </w:pPr>
      <w:rPr>
        <w:rFonts w:ascii="Symbol" w:hAnsi="Symbol"/>
      </w:rPr>
    </w:lvl>
    <w:lvl w:ilvl="8" w:tplc="1998E9DD">
      <w:start w:val="1"/>
      <w:numFmt w:val="bullet"/>
      <w:suff w:val="tab"/>
      <w:lvlText w:val="·"/>
      <w:lvlJc w:val="left"/>
      <w:pPr>
        <w:ind w:hanging="360" w:left="6480"/>
      </w:pPr>
      <w:rPr>
        <w:rFonts w:ascii="Symbol" w:hAnsi="Symbol"/>
      </w:rPr>
    </w:lvl>
  </w:abstractNum>
  <w:abstractNum w:abstractNumId="21">
    <w:nsid w:val="62C995F1"/>
    <w:multiLevelType w:val="hybridMultilevel"/>
    <w:lvl w:ilvl="0" w:tplc="00242189">
      <w:start w:val="1"/>
      <w:numFmt w:val="bullet"/>
      <w:suff w:val="tab"/>
      <w:lvlText w:val="·"/>
      <w:lvlJc w:val="left"/>
      <w:pPr>
        <w:ind w:hanging="360" w:left="720"/>
      </w:pPr>
      <w:rPr>
        <w:rFonts w:ascii="Symbol" w:hAnsi="Symbol" w:cs="Symbol" w:eastAsia="Symbol"/>
      </w:rPr>
    </w:lvl>
    <w:lvl w:ilvl="1" w:tplc="2ACAA16A">
      <w:start w:val="1"/>
      <w:numFmt w:val="bullet"/>
      <w:suff w:val="tab"/>
      <w:lvlText w:val="o"/>
      <w:lvlJc w:val="left"/>
      <w:pPr>
        <w:ind w:hanging="360" w:left="1440"/>
      </w:pPr>
      <w:rPr>
        <w:rFonts w:ascii="Symbol" w:hAnsi="Symbol"/>
      </w:rPr>
    </w:lvl>
    <w:lvl w:ilvl="2" w:tplc="5DE3C59F">
      <w:start w:val="1"/>
      <w:numFmt w:val="bullet"/>
      <w:suff w:val="tab"/>
      <w:lvlText w:val="·"/>
      <w:lvlJc w:val="left"/>
      <w:pPr>
        <w:ind w:hanging="360" w:left="2160"/>
      </w:pPr>
      <w:rPr>
        <w:rFonts w:ascii="Symbol" w:hAnsi="Symbol"/>
      </w:rPr>
    </w:lvl>
    <w:lvl w:ilvl="3" w:tplc="19A6C668">
      <w:start w:val="1"/>
      <w:numFmt w:val="bullet"/>
      <w:suff w:val="tab"/>
      <w:lvlText w:val="o"/>
      <w:lvlJc w:val="left"/>
      <w:pPr>
        <w:ind w:hanging="360" w:left="2880"/>
      </w:pPr>
      <w:rPr>
        <w:rFonts w:ascii="Symbol" w:hAnsi="Symbol"/>
      </w:rPr>
    </w:lvl>
    <w:lvl w:ilvl="4" w:tplc="5C22EDE2">
      <w:start w:val="1"/>
      <w:numFmt w:val="bullet"/>
      <w:suff w:val="tab"/>
      <w:lvlText w:val="·"/>
      <w:lvlJc w:val="left"/>
      <w:pPr>
        <w:ind w:hanging="360" w:left="3600"/>
      </w:pPr>
      <w:rPr>
        <w:rFonts w:ascii="Symbol" w:hAnsi="Symbol"/>
      </w:rPr>
    </w:lvl>
    <w:lvl w:ilvl="5" w:tplc="5D663626">
      <w:start w:val="1"/>
      <w:numFmt w:val="bullet"/>
      <w:suff w:val="tab"/>
      <w:lvlText w:val="o"/>
      <w:lvlJc w:val="left"/>
      <w:pPr>
        <w:ind w:hanging="360" w:left="4320"/>
      </w:pPr>
      <w:rPr>
        <w:rFonts w:ascii="Symbol" w:hAnsi="Symbol"/>
      </w:rPr>
    </w:lvl>
    <w:lvl w:ilvl="6" w:tplc="01D89ECB">
      <w:start w:val="1"/>
      <w:numFmt w:val="bullet"/>
      <w:suff w:val="tab"/>
      <w:lvlText w:val="·"/>
      <w:lvlJc w:val="left"/>
      <w:pPr>
        <w:ind w:hanging="360" w:left="5040"/>
      </w:pPr>
      <w:rPr>
        <w:rFonts w:ascii="Symbol" w:hAnsi="Symbol"/>
      </w:rPr>
    </w:lvl>
    <w:lvl w:ilvl="7" w:tplc="6A46D9A5">
      <w:start w:val="1"/>
      <w:numFmt w:val="bullet"/>
      <w:suff w:val="tab"/>
      <w:lvlText w:val="o"/>
      <w:lvlJc w:val="left"/>
      <w:pPr>
        <w:ind w:hanging="360" w:left="5760"/>
      </w:pPr>
      <w:rPr>
        <w:rFonts w:ascii="Symbol" w:hAnsi="Symbol"/>
      </w:rPr>
    </w:lvl>
    <w:lvl w:ilvl="8" w:tplc="6ED9D35B">
      <w:start w:val="1"/>
      <w:numFmt w:val="bullet"/>
      <w:suff w:val="tab"/>
      <w:lvlText w:val="·"/>
      <w:lvlJc w:val="left"/>
      <w:pPr>
        <w:ind w:hanging="360" w:left="6480"/>
      </w:pPr>
      <w:rPr>
        <w:rFonts w:ascii="Symbol" w:hAnsi="Symbol"/>
      </w:rPr>
    </w:lvl>
  </w:abstractNum>
  <w:abstractNum w:abstractNumId="22">
    <w:nsid w:val="6C7A8066"/>
    <w:multiLevelType w:val="hybridMultilevel"/>
    <w:lvl w:ilvl="0" w:tplc="14AE8A55">
      <w:start w:val="1"/>
      <w:numFmt w:val="bullet"/>
      <w:suff w:val="tab"/>
      <w:lvlText w:val="·"/>
      <w:lvlJc w:val="left"/>
      <w:pPr>
        <w:ind w:hanging="360" w:left="720"/>
      </w:pPr>
      <w:rPr>
        <w:rFonts w:ascii="Symbol" w:hAnsi="Symbol" w:cs="Symbol" w:eastAsia="Symbol"/>
      </w:rPr>
    </w:lvl>
    <w:lvl w:ilvl="1" w:tplc="0659088D">
      <w:start w:val="1"/>
      <w:numFmt w:val="bullet"/>
      <w:suff w:val="tab"/>
      <w:lvlText w:val="o"/>
      <w:lvlJc w:val="left"/>
      <w:pPr>
        <w:ind w:hanging="360" w:left="1440"/>
      </w:pPr>
      <w:rPr>
        <w:rFonts w:ascii="Symbol" w:hAnsi="Symbol"/>
      </w:rPr>
    </w:lvl>
    <w:lvl w:ilvl="2" w:tplc="5914014F">
      <w:start w:val="1"/>
      <w:numFmt w:val="bullet"/>
      <w:suff w:val="tab"/>
      <w:lvlText w:val="·"/>
      <w:lvlJc w:val="left"/>
      <w:pPr>
        <w:ind w:hanging="360" w:left="2160"/>
      </w:pPr>
      <w:rPr>
        <w:rFonts w:ascii="Symbol" w:hAnsi="Symbol"/>
      </w:rPr>
    </w:lvl>
    <w:lvl w:ilvl="3" w:tplc="6B85F532">
      <w:start w:val="1"/>
      <w:numFmt w:val="bullet"/>
      <w:suff w:val="tab"/>
      <w:lvlText w:val="o"/>
      <w:lvlJc w:val="left"/>
      <w:pPr>
        <w:ind w:hanging="360" w:left="2880"/>
      </w:pPr>
      <w:rPr>
        <w:rFonts w:ascii="Symbol" w:hAnsi="Symbol"/>
      </w:rPr>
    </w:lvl>
    <w:lvl w:ilvl="4" w:tplc="3EDAD1F4">
      <w:start w:val="1"/>
      <w:numFmt w:val="bullet"/>
      <w:suff w:val="tab"/>
      <w:lvlText w:val="·"/>
      <w:lvlJc w:val="left"/>
      <w:pPr>
        <w:ind w:hanging="360" w:left="3600"/>
      </w:pPr>
      <w:rPr>
        <w:rFonts w:ascii="Symbol" w:hAnsi="Symbol"/>
      </w:rPr>
    </w:lvl>
    <w:lvl w:ilvl="5" w:tplc="690D41D4">
      <w:start w:val="1"/>
      <w:numFmt w:val="bullet"/>
      <w:suff w:val="tab"/>
      <w:lvlText w:val="o"/>
      <w:lvlJc w:val="left"/>
      <w:pPr>
        <w:ind w:hanging="360" w:left="4320"/>
      </w:pPr>
      <w:rPr>
        <w:rFonts w:ascii="Symbol" w:hAnsi="Symbol"/>
      </w:rPr>
    </w:lvl>
    <w:lvl w:ilvl="6" w:tplc="58371CC1">
      <w:start w:val="1"/>
      <w:numFmt w:val="bullet"/>
      <w:suff w:val="tab"/>
      <w:lvlText w:val="·"/>
      <w:lvlJc w:val="left"/>
      <w:pPr>
        <w:ind w:hanging="360" w:left="5040"/>
      </w:pPr>
      <w:rPr>
        <w:rFonts w:ascii="Symbol" w:hAnsi="Symbol"/>
      </w:rPr>
    </w:lvl>
    <w:lvl w:ilvl="7" w:tplc="49526919">
      <w:start w:val="1"/>
      <w:numFmt w:val="bullet"/>
      <w:suff w:val="tab"/>
      <w:lvlText w:val="o"/>
      <w:lvlJc w:val="left"/>
      <w:pPr>
        <w:ind w:hanging="360" w:left="5760"/>
      </w:pPr>
      <w:rPr>
        <w:rFonts w:ascii="Symbol" w:hAnsi="Symbol"/>
      </w:rPr>
    </w:lvl>
    <w:lvl w:ilvl="8" w:tplc="7CB1B3AF">
      <w:start w:val="1"/>
      <w:numFmt w:val="bullet"/>
      <w:suff w:val="tab"/>
      <w:lvlText w:val="·"/>
      <w:lvlJc w:val="left"/>
      <w:pPr>
        <w:ind w:hanging="360" w:left="6480"/>
      </w:pPr>
      <w:rPr>
        <w:rFonts w:ascii="Symbol" w:hAnsi="Symbol"/>
      </w:rPr>
    </w:lvl>
  </w:abstractNum>
  <w:abstractNum w:abstractNumId="23">
    <w:nsid w:val="5E741FA5"/>
    <w:multiLevelType w:val="hybridMultilevel"/>
    <w:lvl w:ilvl="0" w:tplc="569796AE">
      <w:start w:val="1"/>
      <w:numFmt w:val="bullet"/>
      <w:suff w:val="tab"/>
      <w:lvlText w:val="·"/>
      <w:lvlJc w:val="left"/>
      <w:pPr>
        <w:ind w:hanging="360" w:left="720"/>
      </w:pPr>
      <w:rPr>
        <w:rFonts w:ascii="Symbol" w:hAnsi="Symbol" w:cs="Symbol" w:eastAsia="Symbol"/>
      </w:rPr>
    </w:lvl>
    <w:lvl w:ilvl="1" w:tplc="24B45EFC">
      <w:start w:val="1"/>
      <w:numFmt w:val="bullet"/>
      <w:suff w:val="tab"/>
      <w:lvlText w:val="o"/>
      <w:lvlJc w:val="left"/>
      <w:pPr>
        <w:ind w:hanging="360" w:left="1440"/>
      </w:pPr>
      <w:rPr>
        <w:rFonts w:ascii="Symbol" w:hAnsi="Symbol"/>
      </w:rPr>
    </w:lvl>
    <w:lvl w:ilvl="2" w:tplc="5156FAF6">
      <w:start w:val="1"/>
      <w:numFmt w:val="bullet"/>
      <w:suff w:val="tab"/>
      <w:lvlText w:val="·"/>
      <w:lvlJc w:val="left"/>
      <w:pPr>
        <w:ind w:hanging="360" w:left="2160"/>
      </w:pPr>
      <w:rPr>
        <w:rFonts w:ascii="Symbol" w:hAnsi="Symbol"/>
      </w:rPr>
    </w:lvl>
    <w:lvl w:ilvl="3" w:tplc="63D58A74">
      <w:start w:val="1"/>
      <w:numFmt w:val="bullet"/>
      <w:suff w:val="tab"/>
      <w:lvlText w:val="o"/>
      <w:lvlJc w:val="left"/>
      <w:pPr>
        <w:ind w:hanging="360" w:left="2880"/>
      </w:pPr>
      <w:rPr>
        <w:rFonts w:ascii="Symbol" w:hAnsi="Symbol"/>
      </w:rPr>
    </w:lvl>
    <w:lvl w:ilvl="4" w:tplc="4B84202A">
      <w:start w:val="1"/>
      <w:numFmt w:val="bullet"/>
      <w:suff w:val="tab"/>
      <w:lvlText w:val="·"/>
      <w:lvlJc w:val="left"/>
      <w:pPr>
        <w:ind w:hanging="360" w:left="3600"/>
      </w:pPr>
      <w:rPr>
        <w:rFonts w:ascii="Symbol" w:hAnsi="Symbol"/>
      </w:rPr>
    </w:lvl>
    <w:lvl w:ilvl="5" w:tplc="4E890DC1">
      <w:start w:val="1"/>
      <w:numFmt w:val="bullet"/>
      <w:suff w:val="tab"/>
      <w:lvlText w:val="o"/>
      <w:lvlJc w:val="left"/>
      <w:pPr>
        <w:ind w:hanging="360" w:left="4320"/>
      </w:pPr>
      <w:rPr>
        <w:rFonts w:ascii="Symbol" w:hAnsi="Symbol"/>
      </w:rPr>
    </w:lvl>
    <w:lvl w:ilvl="6" w:tplc="0861FA2D">
      <w:start w:val="1"/>
      <w:numFmt w:val="bullet"/>
      <w:suff w:val="tab"/>
      <w:lvlText w:val="·"/>
      <w:lvlJc w:val="left"/>
      <w:pPr>
        <w:ind w:hanging="360" w:left="5040"/>
      </w:pPr>
      <w:rPr>
        <w:rFonts w:ascii="Symbol" w:hAnsi="Symbol"/>
      </w:rPr>
    </w:lvl>
    <w:lvl w:ilvl="7" w:tplc="6747A303">
      <w:start w:val="1"/>
      <w:numFmt w:val="bullet"/>
      <w:suff w:val="tab"/>
      <w:lvlText w:val="o"/>
      <w:lvlJc w:val="left"/>
      <w:pPr>
        <w:ind w:hanging="360" w:left="5760"/>
      </w:pPr>
      <w:rPr>
        <w:rFonts w:ascii="Symbol" w:hAnsi="Symbol"/>
      </w:rPr>
    </w:lvl>
    <w:lvl w:ilvl="8" w:tplc="161E10D8">
      <w:start w:val="1"/>
      <w:numFmt w:val="bullet"/>
      <w:suff w:val="tab"/>
      <w:lvlText w:val="·"/>
      <w:lvlJc w:val="left"/>
      <w:pPr>
        <w:ind w:hanging="360" w:left="6480"/>
      </w:pPr>
      <w:rPr>
        <w:rFonts w:ascii="Symbol" w:hAnsi="Symbol"/>
      </w:rPr>
    </w:lvl>
  </w:abstractNum>
  <w:abstractNum w:abstractNumId="24">
    <w:nsid w:val="4866DD03"/>
    <w:multiLevelType w:val="hybridMultilevel"/>
    <w:lvl w:ilvl="0" w:tplc="0957D9AF">
      <w:start w:val="1"/>
      <w:numFmt w:val="bullet"/>
      <w:suff w:val="tab"/>
      <w:lvlText w:val="·"/>
      <w:lvlJc w:val="left"/>
      <w:pPr>
        <w:ind w:hanging="360" w:left="720"/>
      </w:pPr>
      <w:rPr>
        <w:rFonts w:ascii="Symbol" w:hAnsi="Symbol" w:cs="Symbol" w:eastAsia="Symbol"/>
      </w:rPr>
    </w:lvl>
    <w:lvl w:ilvl="1" w:tplc="712538FE">
      <w:start w:val="1"/>
      <w:numFmt w:val="bullet"/>
      <w:suff w:val="tab"/>
      <w:lvlText w:val="o"/>
      <w:lvlJc w:val="left"/>
      <w:pPr>
        <w:ind w:hanging="360" w:left="1440"/>
      </w:pPr>
      <w:rPr>
        <w:rFonts w:ascii="Symbol" w:hAnsi="Symbol"/>
      </w:rPr>
    </w:lvl>
    <w:lvl w:ilvl="2" w:tplc="2228C822">
      <w:start w:val="1"/>
      <w:numFmt w:val="bullet"/>
      <w:suff w:val="tab"/>
      <w:lvlText w:val="·"/>
      <w:lvlJc w:val="left"/>
      <w:pPr>
        <w:ind w:hanging="360" w:left="2160"/>
      </w:pPr>
      <w:rPr>
        <w:rFonts w:ascii="Symbol" w:hAnsi="Symbol"/>
      </w:rPr>
    </w:lvl>
    <w:lvl w:ilvl="3" w:tplc="66B5F0A5">
      <w:start w:val="1"/>
      <w:numFmt w:val="bullet"/>
      <w:suff w:val="tab"/>
      <w:lvlText w:val="o"/>
      <w:lvlJc w:val="left"/>
      <w:pPr>
        <w:ind w:hanging="360" w:left="2880"/>
      </w:pPr>
      <w:rPr>
        <w:rFonts w:ascii="Symbol" w:hAnsi="Symbol"/>
      </w:rPr>
    </w:lvl>
    <w:lvl w:ilvl="4" w:tplc="7A2BFE96">
      <w:start w:val="1"/>
      <w:numFmt w:val="bullet"/>
      <w:suff w:val="tab"/>
      <w:lvlText w:val="·"/>
      <w:lvlJc w:val="left"/>
      <w:pPr>
        <w:ind w:hanging="360" w:left="3600"/>
      </w:pPr>
      <w:rPr>
        <w:rFonts w:ascii="Symbol" w:hAnsi="Symbol"/>
      </w:rPr>
    </w:lvl>
    <w:lvl w:ilvl="5" w:tplc="728E97DD">
      <w:start w:val="1"/>
      <w:numFmt w:val="bullet"/>
      <w:suff w:val="tab"/>
      <w:lvlText w:val="o"/>
      <w:lvlJc w:val="left"/>
      <w:pPr>
        <w:ind w:hanging="360" w:left="4320"/>
      </w:pPr>
      <w:rPr>
        <w:rFonts w:ascii="Symbol" w:hAnsi="Symbol"/>
      </w:rPr>
    </w:lvl>
    <w:lvl w:ilvl="6" w:tplc="227F2879">
      <w:start w:val="1"/>
      <w:numFmt w:val="bullet"/>
      <w:suff w:val="tab"/>
      <w:lvlText w:val="·"/>
      <w:lvlJc w:val="left"/>
      <w:pPr>
        <w:ind w:hanging="360" w:left="5040"/>
      </w:pPr>
      <w:rPr>
        <w:rFonts w:ascii="Symbol" w:hAnsi="Symbol"/>
      </w:rPr>
    </w:lvl>
    <w:lvl w:ilvl="7" w:tplc="3BF94997">
      <w:start w:val="1"/>
      <w:numFmt w:val="bullet"/>
      <w:suff w:val="tab"/>
      <w:lvlText w:val="o"/>
      <w:lvlJc w:val="left"/>
      <w:pPr>
        <w:ind w:hanging="360" w:left="5760"/>
      </w:pPr>
      <w:rPr>
        <w:rFonts w:ascii="Symbol" w:hAnsi="Symbol"/>
      </w:rPr>
    </w:lvl>
    <w:lvl w:ilvl="8" w:tplc="47C60F1D">
      <w:start w:val="1"/>
      <w:numFmt w:val="bullet"/>
      <w:suff w:val="tab"/>
      <w:lvlText w:val="·"/>
      <w:lvlJc w:val="left"/>
      <w:pPr>
        <w:ind w:hanging="360" w:left="6480"/>
      </w:pPr>
      <w:rPr>
        <w:rFonts w:ascii="Symbol" w:hAnsi="Symbol"/>
      </w:rPr>
    </w:lvl>
  </w:abstractNum>
  <w:abstractNum w:abstractNumId="25">
    <w:nsid w:val="5E7513C5"/>
    <w:multiLevelType w:val="hybridMultilevel"/>
    <w:lvl w:ilvl="0" w:tplc="2FFB7AD2">
      <w:start w:val="1"/>
      <w:numFmt w:val="bullet"/>
      <w:suff w:val="tab"/>
      <w:lvlText w:val="·"/>
      <w:lvlJc w:val="left"/>
      <w:pPr>
        <w:ind w:hanging="360" w:left="720"/>
      </w:pPr>
      <w:rPr>
        <w:rFonts w:ascii="Symbol" w:hAnsi="Symbol" w:cs="Symbol" w:eastAsia="Symbol"/>
      </w:rPr>
    </w:lvl>
    <w:lvl w:ilvl="1" w:tplc="20B6C7B3">
      <w:start w:val="1"/>
      <w:numFmt w:val="bullet"/>
      <w:suff w:val="tab"/>
      <w:lvlText w:val="o"/>
      <w:lvlJc w:val="left"/>
      <w:pPr>
        <w:ind w:hanging="360" w:left="1440"/>
      </w:pPr>
      <w:rPr>
        <w:rFonts w:ascii="Symbol" w:hAnsi="Symbol"/>
      </w:rPr>
    </w:lvl>
    <w:lvl w:ilvl="2" w:tplc="207E44A9">
      <w:start w:val="1"/>
      <w:numFmt w:val="bullet"/>
      <w:suff w:val="tab"/>
      <w:lvlText w:val="·"/>
      <w:lvlJc w:val="left"/>
      <w:pPr>
        <w:ind w:hanging="360" w:left="2160"/>
      </w:pPr>
      <w:rPr>
        <w:rFonts w:ascii="Symbol" w:hAnsi="Symbol"/>
      </w:rPr>
    </w:lvl>
    <w:lvl w:ilvl="3" w:tplc="6114808F">
      <w:start w:val="1"/>
      <w:numFmt w:val="bullet"/>
      <w:suff w:val="tab"/>
      <w:lvlText w:val="o"/>
      <w:lvlJc w:val="left"/>
      <w:pPr>
        <w:ind w:hanging="360" w:left="2880"/>
      </w:pPr>
      <w:rPr>
        <w:rFonts w:ascii="Symbol" w:hAnsi="Symbol"/>
      </w:rPr>
    </w:lvl>
    <w:lvl w:ilvl="4" w:tplc="17E51C0D">
      <w:start w:val="1"/>
      <w:numFmt w:val="bullet"/>
      <w:suff w:val="tab"/>
      <w:lvlText w:val="·"/>
      <w:lvlJc w:val="left"/>
      <w:pPr>
        <w:ind w:hanging="360" w:left="3600"/>
      </w:pPr>
      <w:rPr>
        <w:rFonts w:ascii="Symbol" w:hAnsi="Symbol"/>
      </w:rPr>
    </w:lvl>
    <w:lvl w:ilvl="5" w:tplc="14AE0A79">
      <w:start w:val="1"/>
      <w:numFmt w:val="bullet"/>
      <w:suff w:val="tab"/>
      <w:lvlText w:val="o"/>
      <w:lvlJc w:val="left"/>
      <w:pPr>
        <w:ind w:hanging="360" w:left="4320"/>
      </w:pPr>
      <w:rPr>
        <w:rFonts w:ascii="Symbol" w:hAnsi="Symbol"/>
      </w:rPr>
    </w:lvl>
    <w:lvl w:ilvl="6" w:tplc="7F289454">
      <w:start w:val="1"/>
      <w:numFmt w:val="bullet"/>
      <w:suff w:val="tab"/>
      <w:lvlText w:val="·"/>
      <w:lvlJc w:val="left"/>
      <w:pPr>
        <w:ind w:hanging="360" w:left="5040"/>
      </w:pPr>
      <w:rPr>
        <w:rFonts w:ascii="Symbol" w:hAnsi="Symbol"/>
      </w:rPr>
    </w:lvl>
    <w:lvl w:ilvl="7" w:tplc="290A1B6E">
      <w:start w:val="1"/>
      <w:numFmt w:val="bullet"/>
      <w:suff w:val="tab"/>
      <w:lvlText w:val="o"/>
      <w:lvlJc w:val="left"/>
      <w:pPr>
        <w:ind w:hanging="360" w:left="5760"/>
      </w:pPr>
      <w:rPr>
        <w:rFonts w:ascii="Symbol" w:hAnsi="Symbol"/>
      </w:rPr>
    </w:lvl>
    <w:lvl w:ilvl="8" w:tplc="3A03ED38">
      <w:start w:val="1"/>
      <w:numFmt w:val="bullet"/>
      <w:suff w:val="tab"/>
      <w:lvlText w:val="·"/>
      <w:lvlJc w:val="left"/>
      <w:pPr>
        <w:ind w:hanging="360" w:left="6480"/>
      </w:pPr>
      <w:rPr>
        <w:rFonts w:ascii="Symbol" w:hAnsi="Symbol"/>
      </w:rPr>
    </w:lvl>
  </w:abstractNum>
  <w:abstractNum w:abstractNumId="26">
    <w:nsid w:val="01FE97D7"/>
    <w:multiLevelType w:val="hybridMultilevel"/>
    <w:lvl w:ilvl="0" w:tplc="146CCAF9">
      <w:start w:val="1"/>
      <w:numFmt w:val="bullet"/>
      <w:suff w:val="tab"/>
      <w:lvlText w:val="·"/>
      <w:lvlJc w:val="left"/>
      <w:pPr>
        <w:ind w:hanging="360" w:left="720"/>
      </w:pPr>
      <w:rPr>
        <w:rFonts w:ascii="Symbol" w:hAnsi="Symbol" w:cs="Symbol" w:eastAsia="Symbol"/>
      </w:rPr>
    </w:lvl>
    <w:lvl w:ilvl="1" w:tplc="3C088975">
      <w:start w:val="1"/>
      <w:numFmt w:val="bullet"/>
      <w:suff w:val="tab"/>
      <w:lvlText w:val="o"/>
      <w:lvlJc w:val="left"/>
      <w:pPr>
        <w:ind w:hanging="360" w:left="1440"/>
      </w:pPr>
      <w:rPr>
        <w:rFonts w:ascii="Symbol" w:hAnsi="Symbol"/>
      </w:rPr>
    </w:lvl>
    <w:lvl w:ilvl="2" w:tplc="20337D1E">
      <w:start w:val="1"/>
      <w:numFmt w:val="bullet"/>
      <w:suff w:val="tab"/>
      <w:lvlText w:val="·"/>
      <w:lvlJc w:val="left"/>
      <w:pPr>
        <w:ind w:hanging="360" w:left="2160"/>
      </w:pPr>
      <w:rPr>
        <w:rFonts w:ascii="Symbol" w:hAnsi="Symbol"/>
      </w:rPr>
    </w:lvl>
    <w:lvl w:ilvl="3" w:tplc="75607890">
      <w:start w:val="1"/>
      <w:numFmt w:val="bullet"/>
      <w:suff w:val="tab"/>
      <w:lvlText w:val="o"/>
      <w:lvlJc w:val="left"/>
      <w:pPr>
        <w:ind w:hanging="360" w:left="2880"/>
      </w:pPr>
      <w:rPr>
        <w:rFonts w:ascii="Symbol" w:hAnsi="Symbol"/>
      </w:rPr>
    </w:lvl>
    <w:lvl w:ilvl="4" w:tplc="5C6D1F6B">
      <w:start w:val="1"/>
      <w:numFmt w:val="bullet"/>
      <w:suff w:val="tab"/>
      <w:lvlText w:val="·"/>
      <w:lvlJc w:val="left"/>
      <w:pPr>
        <w:ind w:hanging="360" w:left="3600"/>
      </w:pPr>
      <w:rPr>
        <w:rFonts w:ascii="Symbol" w:hAnsi="Symbol"/>
      </w:rPr>
    </w:lvl>
    <w:lvl w:ilvl="5" w:tplc="3024B6B5">
      <w:start w:val="1"/>
      <w:numFmt w:val="bullet"/>
      <w:suff w:val="tab"/>
      <w:lvlText w:val="o"/>
      <w:lvlJc w:val="left"/>
      <w:pPr>
        <w:ind w:hanging="360" w:left="4320"/>
      </w:pPr>
      <w:rPr>
        <w:rFonts w:ascii="Symbol" w:hAnsi="Symbol"/>
      </w:rPr>
    </w:lvl>
    <w:lvl w:ilvl="6" w:tplc="6A81884F">
      <w:start w:val="1"/>
      <w:numFmt w:val="bullet"/>
      <w:suff w:val="tab"/>
      <w:lvlText w:val="·"/>
      <w:lvlJc w:val="left"/>
      <w:pPr>
        <w:ind w:hanging="360" w:left="5040"/>
      </w:pPr>
      <w:rPr>
        <w:rFonts w:ascii="Symbol" w:hAnsi="Symbol"/>
      </w:rPr>
    </w:lvl>
    <w:lvl w:ilvl="7" w:tplc="0A354D62">
      <w:start w:val="1"/>
      <w:numFmt w:val="bullet"/>
      <w:suff w:val="tab"/>
      <w:lvlText w:val="o"/>
      <w:lvlJc w:val="left"/>
      <w:pPr>
        <w:ind w:hanging="360" w:left="5760"/>
      </w:pPr>
      <w:rPr>
        <w:rFonts w:ascii="Symbol" w:hAnsi="Symbol"/>
      </w:rPr>
    </w:lvl>
    <w:lvl w:ilvl="8" w:tplc="38C6212F">
      <w:start w:val="1"/>
      <w:numFmt w:val="bullet"/>
      <w:suff w:val="tab"/>
      <w:lvlText w:val="·"/>
      <w:lvlJc w:val="left"/>
      <w:pPr>
        <w:ind w:hanging="360" w:left="6480"/>
      </w:pPr>
      <w:rPr>
        <w:rFonts w:ascii="Symbol" w:hAnsi="Symbol"/>
      </w:rPr>
    </w:lvl>
  </w:abstractNum>
  <w:abstractNum w:abstractNumId="27">
    <w:nsid w:val="73538B8F"/>
    <w:multiLevelType w:val="hybridMultilevel"/>
    <w:lvl w:ilvl="0" w:tplc="713109BA">
      <w:start w:val="1"/>
      <w:numFmt w:val="bullet"/>
      <w:suff w:val="tab"/>
      <w:lvlText w:val="·"/>
      <w:lvlJc w:val="left"/>
      <w:pPr>
        <w:ind w:hanging="360" w:left="720"/>
      </w:pPr>
      <w:rPr>
        <w:rFonts w:ascii="Symbol" w:hAnsi="Symbol" w:cs="Symbol" w:eastAsia="Symbol"/>
      </w:rPr>
    </w:lvl>
    <w:lvl w:ilvl="1" w:tplc="3B874F43">
      <w:start w:val="1"/>
      <w:numFmt w:val="bullet"/>
      <w:suff w:val="tab"/>
      <w:lvlText w:val="o"/>
      <w:lvlJc w:val="left"/>
      <w:pPr>
        <w:ind w:hanging="360" w:left="1440"/>
      </w:pPr>
      <w:rPr>
        <w:rFonts w:ascii="Symbol" w:hAnsi="Symbol"/>
      </w:rPr>
    </w:lvl>
    <w:lvl w:ilvl="2" w:tplc="5DCF8635">
      <w:start w:val="1"/>
      <w:numFmt w:val="bullet"/>
      <w:suff w:val="tab"/>
      <w:lvlText w:val="·"/>
      <w:lvlJc w:val="left"/>
      <w:pPr>
        <w:ind w:hanging="360" w:left="2160"/>
      </w:pPr>
      <w:rPr>
        <w:rFonts w:ascii="Symbol" w:hAnsi="Symbol"/>
      </w:rPr>
    </w:lvl>
    <w:lvl w:ilvl="3" w:tplc="255E5231">
      <w:start w:val="1"/>
      <w:numFmt w:val="bullet"/>
      <w:suff w:val="tab"/>
      <w:lvlText w:val="o"/>
      <w:lvlJc w:val="left"/>
      <w:pPr>
        <w:ind w:hanging="360" w:left="2880"/>
      </w:pPr>
      <w:rPr>
        <w:rFonts w:ascii="Symbol" w:hAnsi="Symbol"/>
      </w:rPr>
    </w:lvl>
    <w:lvl w:ilvl="4" w:tplc="62531CE0">
      <w:start w:val="1"/>
      <w:numFmt w:val="bullet"/>
      <w:suff w:val="tab"/>
      <w:lvlText w:val="·"/>
      <w:lvlJc w:val="left"/>
      <w:pPr>
        <w:ind w:hanging="360" w:left="3600"/>
      </w:pPr>
      <w:rPr>
        <w:rFonts w:ascii="Symbol" w:hAnsi="Symbol"/>
      </w:rPr>
    </w:lvl>
    <w:lvl w:ilvl="5" w:tplc="0AC6115B">
      <w:start w:val="1"/>
      <w:numFmt w:val="bullet"/>
      <w:suff w:val="tab"/>
      <w:lvlText w:val="o"/>
      <w:lvlJc w:val="left"/>
      <w:pPr>
        <w:ind w:hanging="360" w:left="4320"/>
      </w:pPr>
      <w:rPr>
        <w:rFonts w:ascii="Symbol" w:hAnsi="Symbol"/>
      </w:rPr>
    </w:lvl>
    <w:lvl w:ilvl="6" w:tplc="6B14E609">
      <w:start w:val="1"/>
      <w:numFmt w:val="bullet"/>
      <w:suff w:val="tab"/>
      <w:lvlText w:val="·"/>
      <w:lvlJc w:val="left"/>
      <w:pPr>
        <w:ind w:hanging="360" w:left="5040"/>
      </w:pPr>
      <w:rPr>
        <w:rFonts w:ascii="Symbol" w:hAnsi="Symbol"/>
      </w:rPr>
    </w:lvl>
    <w:lvl w:ilvl="7" w:tplc="640694FA">
      <w:start w:val="1"/>
      <w:numFmt w:val="bullet"/>
      <w:suff w:val="tab"/>
      <w:lvlText w:val="o"/>
      <w:lvlJc w:val="left"/>
      <w:pPr>
        <w:ind w:hanging="360" w:left="5760"/>
      </w:pPr>
      <w:rPr>
        <w:rFonts w:ascii="Symbol" w:hAnsi="Symbol"/>
      </w:rPr>
    </w:lvl>
    <w:lvl w:ilvl="8" w:tplc="20C2D085">
      <w:start w:val="1"/>
      <w:numFmt w:val="bullet"/>
      <w:suff w:val="tab"/>
      <w:lvlText w:val="·"/>
      <w:lvlJc w:val="left"/>
      <w:pPr>
        <w:ind w:hanging="360" w:left="6480"/>
      </w:pPr>
      <w:rPr>
        <w:rFonts w:ascii="Symbol" w:hAnsi="Symbol"/>
      </w:rPr>
    </w:lvl>
  </w:abstractNum>
  <w:abstractNum w:abstractNumId="28">
    <w:nsid w:val="57DB2609"/>
    <w:multiLevelType w:val="hybridMultilevel"/>
    <w:lvl w:ilvl="0" w:tplc="47DBEE01">
      <w:start w:val="1"/>
      <w:numFmt w:val="bullet"/>
      <w:suff w:val="tab"/>
      <w:lvlText w:val="·"/>
      <w:lvlJc w:val="left"/>
      <w:pPr>
        <w:ind w:hanging="360" w:left="720"/>
      </w:pPr>
      <w:rPr>
        <w:rFonts w:ascii="Symbol" w:hAnsi="Symbol" w:cs="Symbol" w:eastAsia="Symbol"/>
      </w:rPr>
    </w:lvl>
    <w:lvl w:ilvl="1" w:tplc="2CE9402C">
      <w:start w:val="1"/>
      <w:numFmt w:val="bullet"/>
      <w:suff w:val="tab"/>
      <w:lvlText w:val="o"/>
      <w:lvlJc w:val="left"/>
      <w:pPr>
        <w:ind w:hanging="360" w:left="1440"/>
      </w:pPr>
      <w:rPr>
        <w:rFonts w:ascii="Symbol" w:hAnsi="Symbol"/>
      </w:rPr>
    </w:lvl>
    <w:lvl w:ilvl="2" w:tplc="4AAF3E82">
      <w:start w:val="1"/>
      <w:numFmt w:val="bullet"/>
      <w:suff w:val="tab"/>
      <w:lvlText w:val="·"/>
      <w:lvlJc w:val="left"/>
      <w:pPr>
        <w:ind w:hanging="360" w:left="2160"/>
      </w:pPr>
      <w:rPr>
        <w:rFonts w:ascii="Symbol" w:hAnsi="Symbol"/>
      </w:rPr>
    </w:lvl>
    <w:lvl w:ilvl="3" w:tplc="69D4E199">
      <w:start w:val="1"/>
      <w:numFmt w:val="bullet"/>
      <w:suff w:val="tab"/>
      <w:lvlText w:val="o"/>
      <w:lvlJc w:val="left"/>
      <w:pPr>
        <w:ind w:hanging="360" w:left="2880"/>
      </w:pPr>
      <w:rPr>
        <w:rFonts w:ascii="Symbol" w:hAnsi="Symbol"/>
      </w:rPr>
    </w:lvl>
    <w:lvl w:ilvl="4" w:tplc="025160FF">
      <w:start w:val="1"/>
      <w:numFmt w:val="bullet"/>
      <w:suff w:val="tab"/>
      <w:lvlText w:val="·"/>
      <w:lvlJc w:val="left"/>
      <w:pPr>
        <w:ind w:hanging="360" w:left="3600"/>
      </w:pPr>
      <w:rPr>
        <w:rFonts w:ascii="Symbol" w:hAnsi="Symbol"/>
      </w:rPr>
    </w:lvl>
    <w:lvl w:ilvl="5" w:tplc="57F86B87">
      <w:start w:val="1"/>
      <w:numFmt w:val="bullet"/>
      <w:suff w:val="tab"/>
      <w:lvlText w:val="o"/>
      <w:lvlJc w:val="left"/>
      <w:pPr>
        <w:ind w:hanging="360" w:left="4320"/>
      </w:pPr>
      <w:rPr>
        <w:rFonts w:ascii="Symbol" w:hAnsi="Symbol"/>
      </w:rPr>
    </w:lvl>
    <w:lvl w:ilvl="6" w:tplc="4643583B">
      <w:start w:val="1"/>
      <w:numFmt w:val="bullet"/>
      <w:suff w:val="tab"/>
      <w:lvlText w:val="·"/>
      <w:lvlJc w:val="left"/>
      <w:pPr>
        <w:ind w:hanging="360" w:left="5040"/>
      </w:pPr>
      <w:rPr>
        <w:rFonts w:ascii="Symbol" w:hAnsi="Symbol"/>
      </w:rPr>
    </w:lvl>
    <w:lvl w:ilvl="7" w:tplc="523AB1FB">
      <w:start w:val="1"/>
      <w:numFmt w:val="bullet"/>
      <w:suff w:val="tab"/>
      <w:lvlText w:val="o"/>
      <w:lvlJc w:val="left"/>
      <w:pPr>
        <w:ind w:hanging="360" w:left="5760"/>
      </w:pPr>
      <w:rPr>
        <w:rFonts w:ascii="Symbol" w:hAnsi="Symbol"/>
      </w:rPr>
    </w:lvl>
    <w:lvl w:ilvl="8" w:tplc="7025CB7D">
      <w:start w:val="1"/>
      <w:numFmt w:val="bullet"/>
      <w:suff w:val="tab"/>
      <w:lvlText w:val="·"/>
      <w:lvlJc w:val="left"/>
      <w:pPr>
        <w:ind w:hanging="360" w:left="6480"/>
      </w:pPr>
      <w:rPr>
        <w:rFonts w:ascii="Symbol" w:hAnsi="Symbol"/>
      </w:rPr>
    </w:lvl>
  </w:abstractNum>
  <w:abstractNum w:abstractNumId="29">
    <w:nsid w:val="7CD12BCA"/>
    <w:multiLevelType w:val="hybridMultilevel"/>
    <w:lvl w:ilvl="0" w:tplc="2848D78A">
      <w:start w:val="1"/>
      <w:numFmt w:val="bullet"/>
      <w:suff w:val="tab"/>
      <w:lvlText w:val="·"/>
      <w:lvlJc w:val="left"/>
      <w:pPr>
        <w:ind w:hanging="360" w:left="720"/>
      </w:pPr>
      <w:rPr>
        <w:rFonts w:ascii="Symbol" w:hAnsi="Symbol" w:cs="Symbol" w:eastAsia="Symbol"/>
      </w:rPr>
    </w:lvl>
    <w:lvl w:ilvl="1" w:tplc="2BDEA7F2">
      <w:start w:val="1"/>
      <w:numFmt w:val="bullet"/>
      <w:suff w:val="tab"/>
      <w:lvlText w:val="o"/>
      <w:lvlJc w:val="left"/>
      <w:pPr>
        <w:ind w:hanging="360" w:left="1440"/>
      </w:pPr>
      <w:rPr>
        <w:rFonts w:ascii="Symbol" w:hAnsi="Symbol"/>
      </w:rPr>
    </w:lvl>
    <w:lvl w:ilvl="2" w:tplc="41826DF0">
      <w:start w:val="1"/>
      <w:numFmt w:val="bullet"/>
      <w:suff w:val="tab"/>
      <w:lvlText w:val="·"/>
      <w:lvlJc w:val="left"/>
      <w:pPr>
        <w:ind w:hanging="360" w:left="2160"/>
      </w:pPr>
      <w:rPr>
        <w:rFonts w:ascii="Symbol" w:hAnsi="Symbol"/>
      </w:rPr>
    </w:lvl>
    <w:lvl w:ilvl="3" w:tplc="646ED38F">
      <w:start w:val="1"/>
      <w:numFmt w:val="bullet"/>
      <w:suff w:val="tab"/>
      <w:lvlText w:val="o"/>
      <w:lvlJc w:val="left"/>
      <w:pPr>
        <w:ind w:hanging="360" w:left="2880"/>
      </w:pPr>
      <w:rPr>
        <w:rFonts w:ascii="Symbol" w:hAnsi="Symbol"/>
      </w:rPr>
    </w:lvl>
    <w:lvl w:ilvl="4" w:tplc="62585B74">
      <w:start w:val="1"/>
      <w:numFmt w:val="bullet"/>
      <w:suff w:val="tab"/>
      <w:lvlText w:val="·"/>
      <w:lvlJc w:val="left"/>
      <w:pPr>
        <w:ind w:hanging="360" w:left="3600"/>
      </w:pPr>
      <w:rPr>
        <w:rFonts w:ascii="Symbol" w:hAnsi="Symbol"/>
      </w:rPr>
    </w:lvl>
    <w:lvl w:ilvl="5" w:tplc="21715E36">
      <w:start w:val="1"/>
      <w:numFmt w:val="bullet"/>
      <w:suff w:val="tab"/>
      <w:lvlText w:val="o"/>
      <w:lvlJc w:val="left"/>
      <w:pPr>
        <w:ind w:hanging="360" w:left="4320"/>
      </w:pPr>
      <w:rPr>
        <w:rFonts w:ascii="Symbol" w:hAnsi="Symbol"/>
      </w:rPr>
    </w:lvl>
    <w:lvl w:ilvl="6" w:tplc="6832D530">
      <w:start w:val="1"/>
      <w:numFmt w:val="bullet"/>
      <w:suff w:val="tab"/>
      <w:lvlText w:val="·"/>
      <w:lvlJc w:val="left"/>
      <w:pPr>
        <w:ind w:hanging="360" w:left="5040"/>
      </w:pPr>
      <w:rPr>
        <w:rFonts w:ascii="Symbol" w:hAnsi="Symbol"/>
      </w:rPr>
    </w:lvl>
    <w:lvl w:ilvl="7" w:tplc="30DB5813">
      <w:start w:val="1"/>
      <w:numFmt w:val="bullet"/>
      <w:suff w:val="tab"/>
      <w:lvlText w:val="o"/>
      <w:lvlJc w:val="left"/>
      <w:pPr>
        <w:ind w:hanging="360" w:left="5760"/>
      </w:pPr>
      <w:rPr>
        <w:rFonts w:ascii="Symbol" w:hAnsi="Symbol"/>
      </w:rPr>
    </w:lvl>
    <w:lvl w:ilvl="8" w:tplc="66C06DCB">
      <w:start w:val="1"/>
      <w:numFmt w:val="bullet"/>
      <w:suff w:val="tab"/>
      <w:lvlText w:val="·"/>
      <w:lvlJc w:val="left"/>
      <w:pPr>
        <w:ind w:hanging="360" w:left="6480"/>
      </w:pPr>
      <w:rPr>
        <w:rFonts w:ascii="Symbol" w:hAnsi="Symbol"/>
      </w:rPr>
    </w:lvl>
  </w:abstractNum>
  <w:abstractNum w:abstractNumId="30">
    <w:nsid w:val="716C9ED7"/>
    <w:multiLevelType w:val="hybridMultilevel"/>
    <w:lvl w:ilvl="0" w:tplc="50214C7F">
      <w:start w:val="1"/>
      <w:numFmt w:val="bullet"/>
      <w:suff w:val="tab"/>
      <w:lvlText w:val="·"/>
      <w:lvlJc w:val="left"/>
      <w:pPr>
        <w:ind w:hanging="360" w:left="720"/>
      </w:pPr>
      <w:rPr>
        <w:rFonts w:ascii="Symbol" w:hAnsi="Symbol" w:cs="Symbol" w:eastAsia="Symbol"/>
      </w:rPr>
    </w:lvl>
    <w:lvl w:ilvl="1" w:tplc="34C2199A">
      <w:start w:val="1"/>
      <w:numFmt w:val="bullet"/>
      <w:suff w:val="tab"/>
      <w:lvlText w:val="o"/>
      <w:lvlJc w:val="left"/>
      <w:pPr>
        <w:ind w:hanging="360" w:left="1440"/>
      </w:pPr>
      <w:rPr>
        <w:rFonts w:ascii="Symbol" w:hAnsi="Symbol"/>
      </w:rPr>
    </w:lvl>
    <w:lvl w:ilvl="2" w:tplc="411621F0">
      <w:start w:val="1"/>
      <w:numFmt w:val="bullet"/>
      <w:suff w:val="tab"/>
      <w:lvlText w:val="·"/>
      <w:lvlJc w:val="left"/>
      <w:pPr>
        <w:ind w:hanging="360" w:left="2160"/>
      </w:pPr>
      <w:rPr>
        <w:rFonts w:ascii="Symbol" w:hAnsi="Symbol"/>
      </w:rPr>
    </w:lvl>
    <w:lvl w:ilvl="3" w:tplc="4C3DAF49">
      <w:start w:val="1"/>
      <w:numFmt w:val="bullet"/>
      <w:suff w:val="tab"/>
      <w:lvlText w:val="o"/>
      <w:lvlJc w:val="left"/>
      <w:pPr>
        <w:ind w:hanging="360" w:left="2880"/>
      </w:pPr>
      <w:rPr>
        <w:rFonts w:ascii="Symbol" w:hAnsi="Symbol"/>
      </w:rPr>
    </w:lvl>
    <w:lvl w:ilvl="4" w:tplc="07CFCDE6">
      <w:start w:val="1"/>
      <w:numFmt w:val="bullet"/>
      <w:suff w:val="tab"/>
      <w:lvlText w:val="·"/>
      <w:lvlJc w:val="left"/>
      <w:pPr>
        <w:ind w:hanging="360" w:left="3600"/>
      </w:pPr>
      <w:rPr>
        <w:rFonts w:ascii="Symbol" w:hAnsi="Symbol"/>
      </w:rPr>
    </w:lvl>
    <w:lvl w:ilvl="5" w:tplc="2C71CCE5">
      <w:start w:val="1"/>
      <w:numFmt w:val="bullet"/>
      <w:suff w:val="tab"/>
      <w:lvlText w:val="o"/>
      <w:lvlJc w:val="left"/>
      <w:pPr>
        <w:ind w:hanging="360" w:left="4320"/>
      </w:pPr>
      <w:rPr>
        <w:rFonts w:ascii="Symbol" w:hAnsi="Symbol"/>
      </w:rPr>
    </w:lvl>
    <w:lvl w:ilvl="6" w:tplc="108A7685">
      <w:start w:val="1"/>
      <w:numFmt w:val="bullet"/>
      <w:suff w:val="tab"/>
      <w:lvlText w:val="·"/>
      <w:lvlJc w:val="left"/>
      <w:pPr>
        <w:ind w:hanging="360" w:left="5040"/>
      </w:pPr>
      <w:rPr>
        <w:rFonts w:ascii="Symbol" w:hAnsi="Symbol"/>
      </w:rPr>
    </w:lvl>
    <w:lvl w:ilvl="7" w:tplc="786A99EE">
      <w:start w:val="1"/>
      <w:numFmt w:val="bullet"/>
      <w:suff w:val="tab"/>
      <w:lvlText w:val="o"/>
      <w:lvlJc w:val="left"/>
      <w:pPr>
        <w:ind w:hanging="360" w:left="5760"/>
      </w:pPr>
      <w:rPr>
        <w:rFonts w:ascii="Symbol" w:hAnsi="Symbol"/>
      </w:rPr>
    </w:lvl>
    <w:lvl w:ilvl="8" w:tplc="1868FAB3">
      <w:start w:val="1"/>
      <w:numFmt w:val="bullet"/>
      <w:suff w:val="tab"/>
      <w:lvlText w:val="·"/>
      <w:lvlJc w:val="left"/>
      <w:pPr>
        <w:ind w:hanging="360" w:left="6480"/>
      </w:pPr>
      <w:rPr>
        <w:rFonts w:ascii="Symbol" w:hAnsi="Symbol"/>
      </w:rPr>
    </w:lvl>
  </w:abstractNum>
  <w:abstractNum w:abstractNumId="31">
    <w:nsid w:val="38BDAE61"/>
    <w:multiLevelType w:val="hybridMultilevel"/>
    <w:lvl w:ilvl="0" w:tplc="35706369">
      <w:start w:val="1"/>
      <w:numFmt w:val="bullet"/>
      <w:suff w:val="tab"/>
      <w:lvlText w:val="·"/>
      <w:lvlJc w:val="left"/>
      <w:pPr>
        <w:ind w:hanging="360" w:left="720"/>
      </w:pPr>
      <w:rPr>
        <w:rFonts w:ascii="Symbol" w:hAnsi="Symbol" w:cs="Symbol" w:eastAsia="Symbol"/>
      </w:rPr>
    </w:lvl>
    <w:lvl w:ilvl="1" w:tplc="0394AFFB">
      <w:start w:val="1"/>
      <w:numFmt w:val="bullet"/>
      <w:suff w:val="tab"/>
      <w:lvlText w:val="o"/>
      <w:lvlJc w:val="left"/>
      <w:pPr>
        <w:ind w:hanging="360" w:left="1440"/>
      </w:pPr>
      <w:rPr>
        <w:rFonts w:ascii="Symbol" w:hAnsi="Symbol"/>
      </w:rPr>
    </w:lvl>
    <w:lvl w:ilvl="2" w:tplc="160AFACE">
      <w:start w:val="1"/>
      <w:numFmt w:val="bullet"/>
      <w:suff w:val="tab"/>
      <w:lvlText w:val="·"/>
      <w:lvlJc w:val="left"/>
      <w:pPr>
        <w:ind w:hanging="360" w:left="2160"/>
      </w:pPr>
      <w:rPr>
        <w:rFonts w:ascii="Symbol" w:hAnsi="Symbol"/>
      </w:rPr>
    </w:lvl>
    <w:lvl w:ilvl="3" w:tplc="53EA8E60">
      <w:start w:val="1"/>
      <w:numFmt w:val="bullet"/>
      <w:suff w:val="tab"/>
      <w:lvlText w:val="o"/>
      <w:lvlJc w:val="left"/>
      <w:pPr>
        <w:ind w:hanging="360" w:left="2880"/>
      </w:pPr>
      <w:rPr>
        <w:rFonts w:ascii="Symbol" w:hAnsi="Symbol"/>
      </w:rPr>
    </w:lvl>
    <w:lvl w:ilvl="4" w:tplc="64DB409B">
      <w:start w:val="1"/>
      <w:numFmt w:val="bullet"/>
      <w:suff w:val="tab"/>
      <w:lvlText w:val="·"/>
      <w:lvlJc w:val="left"/>
      <w:pPr>
        <w:ind w:hanging="360" w:left="3600"/>
      </w:pPr>
      <w:rPr>
        <w:rFonts w:ascii="Symbol" w:hAnsi="Symbol"/>
      </w:rPr>
    </w:lvl>
    <w:lvl w:ilvl="5" w:tplc="04E59F5A">
      <w:start w:val="1"/>
      <w:numFmt w:val="bullet"/>
      <w:suff w:val="tab"/>
      <w:lvlText w:val="o"/>
      <w:lvlJc w:val="left"/>
      <w:pPr>
        <w:ind w:hanging="360" w:left="4320"/>
      </w:pPr>
      <w:rPr>
        <w:rFonts w:ascii="Symbol" w:hAnsi="Symbol"/>
      </w:rPr>
    </w:lvl>
    <w:lvl w:ilvl="6" w:tplc="7A8A79C0">
      <w:start w:val="1"/>
      <w:numFmt w:val="bullet"/>
      <w:suff w:val="tab"/>
      <w:lvlText w:val="·"/>
      <w:lvlJc w:val="left"/>
      <w:pPr>
        <w:ind w:hanging="360" w:left="5040"/>
      </w:pPr>
      <w:rPr>
        <w:rFonts w:ascii="Symbol" w:hAnsi="Symbol"/>
      </w:rPr>
    </w:lvl>
    <w:lvl w:ilvl="7" w:tplc="6568C4D8">
      <w:start w:val="1"/>
      <w:numFmt w:val="bullet"/>
      <w:suff w:val="tab"/>
      <w:lvlText w:val="o"/>
      <w:lvlJc w:val="left"/>
      <w:pPr>
        <w:ind w:hanging="360" w:left="5760"/>
      </w:pPr>
      <w:rPr>
        <w:rFonts w:ascii="Symbol" w:hAnsi="Symbol"/>
      </w:rPr>
    </w:lvl>
    <w:lvl w:ilvl="8" w:tplc="3616E345">
      <w:start w:val="1"/>
      <w:numFmt w:val="bullet"/>
      <w:suff w:val="tab"/>
      <w:lvlText w:val="·"/>
      <w:lvlJc w:val="left"/>
      <w:pPr>
        <w:ind w:hanging="360" w:left="6480"/>
      </w:pPr>
      <w:rPr>
        <w:rFonts w:ascii="Symbol" w:hAnsi="Symbol"/>
      </w:rPr>
    </w:lvl>
  </w:abstractNum>
  <w:abstractNum w:abstractNumId="32">
    <w:nsid w:val="3C063E72"/>
    <w:multiLevelType w:val="hybridMultilevel"/>
    <w:lvl w:ilvl="0" w:tplc="0F27F495">
      <w:start w:val="1"/>
      <w:numFmt w:val="bullet"/>
      <w:suff w:val="tab"/>
      <w:lvlText w:val="·"/>
      <w:lvlJc w:val="left"/>
      <w:pPr>
        <w:ind w:hanging="360" w:left="720"/>
      </w:pPr>
      <w:rPr>
        <w:rFonts w:ascii="Symbol" w:hAnsi="Symbol" w:cs="Symbol" w:eastAsia="Symbol"/>
      </w:rPr>
    </w:lvl>
    <w:lvl w:ilvl="1" w:tplc="2597F198">
      <w:start w:val="1"/>
      <w:numFmt w:val="bullet"/>
      <w:suff w:val="tab"/>
      <w:lvlText w:val="o"/>
      <w:lvlJc w:val="left"/>
      <w:pPr>
        <w:ind w:hanging="360" w:left="1440"/>
      </w:pPr>
      <w:rPr>
        <w:rFonts w:ascii="Symbol" w:hAnsi="Symbol"/>
      </w:rPr>
    </w:lvl>
    <w:lvl w:ilvl="2" w:tplc="0EC055B4">
      <w:start w:val="1"/>
      <w:numFmt w:val="bullet"/>
      <w:suff w:val="tab"/>
      <w:lvlText w:val="·"/>
      <w:lvlJc w:val="left"/>
      <w:pPr>
        <w:ind w:hanging="360" w:left="2160"/>
      </w:pPr>
      <w:rPr>
        <w:rFonts w:ascii="Symbol" w:hAnsi="Symbol"/>
      </w:rPr>
    </w:lvl>
    <w:lvl w:ilvl="3" w:tplc="0215906C">
      <w:start w:val="1"/>
      <w:numFmt w:val="bullet"/>
      <w:suff w:val="tab"/>
      <w:lvlText w:val="o"/>
      <w:lvlJc w:val="left"/>
      <w:pPr>
        <w:ind w:hanging="360" w:left="2880"/>
      </w:pPr>
      <w:rPr>
        <w:rFonts w:ascii="Symbol" w:hAnsi="Symbol"/>
      </w:rPr>
    </w:lvl>
    <w:lvl w:ilvl="4" w:tplc="09E7AFAD">
      <w:start w:val="1"/>
      <w:numFmt w:val="bullet"/>
      <w:suff w:val="tab"/>
      <w:lvlText w:val="·"/>
      <w:lvlJc w:val="left"/>
      <w:pPr>
        <w:ind w:hanging="360" w:left="3600"/>
      </w:pPr>
      <w:rPr>
        <w:rFonts w:ascii="Symbol" w:hAnsi="Symbol"/>
      </w:rPr>
    </w:lvl>
    <w:lvl w:ilvl="5" w:tplc="1E9183F1">
      <w:start w:val="1"/>
      <w:numFmt w:val="bullet"/>
      <w:suff w:val="tab"/>
      <w:lvlText w:val="o"/>
      <w:lvlJc w:val="left"/>
      <w:pPr>
        <w:ind w:hanging="360" w:left="4320"/>
      </w:pPr>
      <w:rPr>
        <w:rFonts w:ascii="Symbol" w:hAnsi="Symbol"/>
      </w:rPr>
    </w:lvl>
    <w:lvl w:ilvl="6" w:tplc="1939DC8A">
      <w:start w:val="1"/>
      <w:numFmt w:val="bullet"/>
      <w:suff w:val="tab"/>
      <w:lvlText w:val="·"/>
      <w:lvlJc w:val="left"/>
      <w:pPr>
        <w:ind w:hanging="360" w:left="5040"/>
      </w:pPr>
      <w:rPr>
        <w:rFonts w:ascii="Symbol" w:hAnsi="Symbol"/>
      </w:rPr>
    </w:lvl>
    <w:lvl w:ilvl="7" w:tplc="7C387AE1">
      <w:start w:val="1"/>
      <w:numFmt w:val="bullet"/>
      <w:suff w:val="tab"/>
      <w:lvlText w:val="o"/>
      <w:lvlJc w:val="left"/>
      <w:pPr>
        <w:ind w:hanging="360" w:left="5760"/>
      </w:pPr>
      <w:rPr>
        <w:rFonts w:ascii="Symbol" w:hAnsi="Symbol"/>
      </w:rPr>
    </w:lvl>
    <w:lvl w:ilvl="8" w:tplc="23E733C1">
      <w:start w:val="1"/>
      <w:numFmt w:val="bullet"/>
      <w:suff w:val="tab"/>
      <w:lvlText w:val="·"/>
      <w:lvlJc w:val="left"/>
      <w:pPr>
        <w:ind w:hanging="360" w:left="6480"/>
      </w:pPr>
      <w:rPr>
        <w:rFonts w:ascii="Symbol" w:hAnsi="Symbol"/>
      </w:rPr>
    </w:lvl>
  </w:abstractNum>
  <w:abstractNum w:abstractNumId="33">
    <w:nsid w:val="3708067D"/>
    <w:multiLevelType w:val="hybridMultilevel"/>
    <w:lvl w:ilvl="0" w:tplc="5E4ECF46">
      <w:start w:val="1"/>
      <w:numFmt w:val="bullet"/>
      <w:suff w:val="tab"/>
      <w:lvlText w:val="·"/>
      <w:lvlJc w:val="left"/>
      <w:pPr>
        <w:ind w:hanging="360" w:left="720"/>
      </w:pPr>
      <w:rPr>
        <w:rFonts w:ascii="Symbol" w:hAnsi="Symbol" w:cs="Symbol" w:eastAsia="Symbol"/>
      </w:rPr>
    </w:lvl>
    <w:lvl w:ilvl="1" w:tplc="0A5067C8">
      <w:start w:val="1"/>
      <w:numFmt w:val="bullet"/>
      <w:suff w:val="tab"/>
      <w:lvlText w:val="o"/>
      <w:lvlJc w:val="left"/>
      <w:pPr>
        <w:ind w:hanging="360" w:left="1440"/>
      </w:pPr>
      <w:rPr>
        <w:rFonts w:ascii="Symbol" w:hAnsi="Symbol"/>
      </w:rPr>
    </w:lvl>
    <w:lvl w:ilvl="2" w:tplc="3FFC2E88">
      <w:start w:val="1"/>
      <w:numFmt w:val="bullet"/>
      <w:suff w:val="tab"/>
      <w:lvlText w:val="·"/>
      <w:lvlJc w:val="left"/>
      <w:pPr>
        <w:ind w:hanging="360" w:left="2160"/>
      </w:pPr>
      <w:rPr>
        <w:rFonts w:ascii="Symbol" w:hAnsi="Symbol"/>
      </w:rPr>
    </w:lvl>
    <w:lvl w:ilvl="3" w:tplc="2B7503AB">
      <w:start w:val="1"/>
      <w:numFmt w:val="bullet"/>
      <w:suff w:val="tab"/>
      <w:lvlText w:val="o"/>
      <w:lvlJc w:val="left"/>
      <w:pPr>
        <w:ind w:hanging="360" w:left="2880"/>
      </w:pPr>
      <w:rPr>
        <w:rFonts w:ascii="Symbol" w:hAnsi="Symbol"/>
      </w:rPr>
    </w:lvl>
    <w:lvl w:ilvl="4" w:tplc="2FFC93F2">
      <w:start w:val="1"/>
      <w:numFmt w:val="bullet"/>
      <w:suff w:val="tab"/>
      <w:lvlText w:val="·"/>
      <w:lvlJc w:val="left"/>
      <w:pPr>
        <w:ind w:hanging="360" w:left="3600"/>
      </w:pPr>
      <w:rPr>
        <w:rFonts w:ascii="Symbol" w:hAnsi="Symbol"/>
      </w:rPr>
    </w:lvl>
    <w:lvl w:ilvl="5" w:tplc="2C5BD0D4">
      <w:start w:val="1"/>
      <w:numFmt w:val="bullet"/>
      <w:suff w:val="tab"/>
      <w:lvlText w:val="o"/>
      <w:lvlJc w:val="left"/>
      <w:pPr>
        <w:ind w:hanging="360" w:left="4320"/>
      </w:pPr>
      <w:rPr>
        <w:rFonts w:ascii="Symbol" w:hAnsi="Symbol"/>
      </w:rPr>
    </w:lvl>
    <w:lvl w:ilvl="6" w:tplc="15325F9D">
      <w:start w:val="1"/>
      <w:numFmt w:val="bullet"/>
      <w:suff w:val="tab"/>
      <w:lvlText w:val="·"/>
      <w:lvlJc w:val="left"/>
      <w:pPr>
        <w:ind w:hanging="360" w:left="5040"/>
      </w:pPr>
      <w:rPr>
        <w:rFonts w:ascii="Symbol" w:hAnsi="Symbol"/>
      </w:rPr>
    </w:lvl>
    <w:lvl w:ilvl="7" w:tplc="2AD5698A">
      <w:start w:val="1"/>
      <w:numFmt w:val="bullet"/>
      <w:suff w:val="tab"/>
      <w:lvlText w:val="o"/>
      <w:lvlJc w:val="left"/>
      <w:pPr>
        <w:ind w:hanging="360" w:left="5760"/>
      </w:pPr>
      <w:rPr>
        <w:rFonts w:ascii="Symbol" w:hAnsi="Symbol"/>
      </w:rPr>
    </w:lvl>
    <w:lvl w:ilvl="8" w:tplc="2EED7374">
      <w:start w:val="1"/>
      <w:numFmt w:val="bullet"/>
      <w:suff w:val="tab"/>
      <w:lvlText w:val="·"/>
      <w:lvlJc w:val="left"/>
      <w:pPr>
        <w:ind w:hanging="360" w:left="6480"/>
      </w:pPr>
      <w:rPr>
        <w:rFonts w:ascii="Symbol" w:hAnsi="Symbol"/>
      </w:rPr>
    </w:lvl>
  </w:abstractNum>
  <w:abstractNum w:abstractNumId="34">
    <w:nsid w:val="4589810F"/>
    <w:multiLevelType w:val="hybridMultilevel"/>
    <w:lvl w:ilvl="0" w:tplc="1FD760BE">
      <w:start w:val="1"/>
      <w:numFmt w:val="bullet"/>
      <w:suff w:val="tab"/>
      <w:lvlText w:val="·"/>
      <w:lvlJc w:val="left"/>
      <w:pPr>
        <w:ind w:hanging="360" w:left="720"/>
      </w:pPr>
      <w:rPr>
        <w:rFonts w:ascii="Symbol" w:hAnsi="Symbol" w:cs="Symbol" w:eastAsia="Symbol"/>
      </w:rPr>
    </w:lvl>
    <w:lvl w:ilvl="1" w:tplc="4D121E6B">
      <w:start w:val="1"/>
      <w:numFmt w:val="bullet"/>
      <w:suff w:val="tab"/>
      <w:lvlText w:val="o"/>
      <w:lvlJc w:val="left"/>
      <w:pPr>
        <w:ind w:hanging="360" w:left="1440"/>
      </w:pPr>
      <w:rPr>
        <w:rFonts w:ascii="Symbol" w:hAnsi="Symbol"/>
      </w:rPr>
    </w:lvl>
    <w:lvl w:ilvl="2" w:tplc="38439B3B">
      <w:start w:val="1"/>
      <w:numFmt w:val="bullet"/>
      <w:suff w:val="tab"/>
      <w:lvlText w:val="·"/>
      <w:lvlJc w:val="left"/>
      <w:pPr>
        <w:ind w:hanging="360" w:left="2160"/>
      </w:pPr>
      <w:rPr>
        <w:rFonts w:ascii="Symbol" w:hAnsi="Symbol"/>
      </w:rPr>
    </w:lvl>
    <w:lvl w:ilvl="3" w:tplc="47112CF9">
      <w:start w:val="1"/>
      <w:numFmt w:val="bullet"/>
      <w:suff w:val="tab"/>
      <w:lvlText w:val="o"/>
      <w:lvlJc w:val="left"/>
      <w:pPr>
        <w:ind w:hanging="360" w:left="2880"/>
      </w:pPr>
      <w:rPr>
        <w:rFonts w:ascii="Symbol" w:hAnsi="Symbol"/>
      </w:rPr>
    </w:lvl>
    <w:lvl w:ilvl="4" w:tplc="3396CD1D">
      <w:start w:val="1"/>
      <w:numFmt w:val="bullet"/>
      <w:suff w:val="tab"/>
      <w:lvlText w:val="·"/>
      <w:lvlJc w:val="left"/>
      <w:pPr>
        <w:ind w:hanging="360" w:left="3600"/>
      </w:pPr>
      <w:rPr>
        <w:rFonts w:ascii="Symbol" w:hAnsi="Symbol"/>
      </w:rPr>
    </w:lvl>
    <w:lvl w:ilvl="5" w:tplc="2AFC6F3A">
      <w:start w:val="1"/>
      <w:numFmt w:val="bullet"/>
      <w:suff w:val="tab"/>
      <w:lvlText w:val="o"/>
      <w:lvlJc w:val="left"/>
      <w:pPr>
        <w:ind w:hanging="360" w:left="4320"/>
      </w:pPr>
      <w:rPr>
        <w:rFonts w:ascii="Symbol" w:hAnsi="Symbol"/>
      </w:rPr>
    </w:lvl>
    <w:lvl w:ilvl="6" w:tplc="418AEF4F">
      <w:start w:val="1"/>
      <w:numFmt w:val="bullet"/>
      <w:suff w:val="tab"/>
      <w:lvlText w:val="·"/>
      <w:lvlJc w:val="left"/>
      <w:pPr>
        <w:ind w:hanging="360" w:left="5040"/>
      </w:pPr>
      <w:rPr>
        <w:rFonts w:ascii="Symbol" w:hAnsi="Symbol"/>
      </w:rPr>
    </w:lvl>
    <w:lvl w:ilvl="7" w:tplc="1F0328F0">
      <w:start w:val="1"/>
      <w:numFmt w:val="bullet"/>
      <w:suff w:val="tab"/>
      <w:lvlText w:val="o"/>
      <w:lvlJc w:val="left"/>
      <w:pPr>
        <w:ind w:hanging="360" w:left="5760"/>
      </w:pPr>
      <w:rPr>
        <w:rFonts w:ascii="Symbol" w:hAnsi="Symbol"/>
      </w:rPr>
    </w:lvl>
    <w:lvl w:ilvl="8" w:tplc="73FD9CED">
      <w:start w:val="1"/>
      <w:numFmt w:val="bullet"/>
      <w:suff w:val="tab"/>
      <w:lvlText w:val="·"/>
      <w:lvlJc w:val="left"/>
      <w:pPr>
        <w:ind w:hanging="360" w:left="6480"/>
      </w:pPr>
      <w:rPr>
        <w:rFonts w:ascii="Symbol" w:hAnsi="Symbol"/>
      </w:rPr>
    </w:lvl>
  </w:abstractNum>
  <w:abstractNum w:abstractNumId="35">
    <w:nsid w:val="67E3531F"/>
    <w:multiLevelType w:val="hybridMultilevel"/>
    <w:lvl w:ilvl="0" w:tplc="163EFDD7">
      <w:start w:val="1"/>
      <w:numFmt w:val="bullet"/>
      <w:suff w:val="tab"/>
      <w:lvlText w:val="·"/>
      <w:lvlJc w:val="left"/>
      <w:pPr>
        <w:ind w:hanging="360" w:left="720"/>
      </w:pPr>
      <w:rPr>
        <w:rFonts w:ascii="Symbol" w:hAnsi="Symbol" w:cs="Symbol" w:eastAsia="Symbol"/>
      </w:rPr>
    </w:lvl>
    <w:lvl w:ilvl="1" w:tplc="07D903FE">
      <w:start w:val="1"/>
      <w:numFmt w:val="bullet"/>
      <w:suff w:val="tab"/>
      <w:lvlText w:val="o"/>
      <w:lvlJc w:val="left"/>
      <w:pPr>
        <w:ind w:hanging="360" w:left="1440"/>
      </w:pPr>
      <w:rPr>
        <w:rFonts w:ascii="Symbol" w:hAnsi="Symbol"/>
      </w:rPr>
    </w:lvl>
    <w:lvl w:ilvl="2" w:tplc="35C8B6CB">
      <w:start w:val="1"/>
      <w:numFmt w:val="bullet"/>
      <w:suff w:val="tab"/>
      <w:lvlText w:val="·"/>
      <w:lvlJc w:val="left"/>
      <w:pPr>
        <w:ind w:hanging="360" w:left="2160"/>
      </w:pPr>
      <w:rPr>
        <w:rFonts w:ascii="Symbol" w:hAnsi="Symbol"/>
      </w:rPr>
    </w:lvl>
    <w:lvl w:ilvl="3" w:tplc="1DFFC8A3">
      <w:start w:val="1"/>
      <w:numFmt w:val="bullet"/>
      <w:suff w:val="tab"/>
      <w:lvlText w:val="o"/>
      <w:lvlJc w:val="left"/>
      <w:pPr>
        <w:ind w:hanging="360" w:left="2880"/>
      </w:pPr>
      <w:rPr>
        <w:rFonts w:ascii="Symbol" w:hAnsi="Symbol"/>
      </w:rPr>
    </w:lvl>
    <w:lvl w:ilvl="4" w:tplc="04DEB66F">
      <w:start w:val="1"/>
      <w:numFmt w:val="bullet"/>
      <w:suff w:val="tab"/>
      <w:lvlText w:val="·"/>
      <w:lvlJc w:val="left"/>
      <w:pPr>
        <w:ind w:hanging="360" w:left="3600"/>
      </w:pPr>
      <w:rPr>
        <w:rFonts w:ascii="Symbol" w:hAnsi="Symbol"/>
      </w:rPr>
    </w:lvl>
    <w:lvl w:ilvl="5" w:tplc="62ECC0D1">
      <w:start w:val="1"/>
      <w:numFmt w:val="bullet"/>
      <w:suff w:val="tab"/>
      <w:lvlText w:val="o"/>
      <w:lvlJc w:val="left"/>
      <w:pPr>
        <w:ind w:hanging="360" w:left="4320"/>
      </w:pPr>
      <w:rPr>
        <w:rFonts w:ascii="Symbol" w:hAnsi="Symbol"/>
      </w:rPr>
    </w:lvl>
    <w:lvl w:ilvl="6" w:tplc="5E81D5B6">
      <w:start w:val="1"/>
      <w:numFmt w:val="bullet"/>
      <w:suff w:val="tab"/>
      <w:lvlText w:val="·"/>
      <w:lvlJc w:val="left"/>
      <w:pPr>
        <w:ind w:hanging="360" w:left="5040"/>
      </w:pPr>
      <w:rPr>
        <w:rFonts w:ascii="Symbol" w:hAnsi="Symbol"/>
      </w:rPr>
    </w:lvl>
    <w:lvl w:ilvl="7" w:tplc="3C22422A">
      <w:start w:val="1"/>
      <w:numFmt w:val="bullet"/>
      <w:suff w:val="tab"/>
      <w:lvlText w:val="o"/>
      <w:lvlJc w:val="left"/>
      <w:pPr>
        <w:ind w:hanging="360" w:left="5760"/>
      </w:pPr>
      <w:rPr>
        <w:rFonts w:ascii="Symbol" w:hAnsi="Symbol"/>
      </w:rPr>
    </w:lvl>
    <w:lvl w:ilvl="8" w:tplc="62BDC350">
      <w:start w:val="1"/>
      <w:numFmt w:val="bullet"/>
      <w:suff w:val="tab"/>
      <w:lvlText w:val="·"/>
      <w:lvlJc w:val="left"/>
      <w:pPr>
        <w:ind w:hanging="360" w:left="6480"/>
      </w:pPr>
      <w:rPr>
        <w:rFonts w:ascii="Symbol" w:hAnsi="Symbol"/>
      </w:rPr>
    </w:lvl>
  </w:abstractNum>
  <w:abstractNum w:abstractNumId="36">
    <w:nsid w:val="44C620B7"/>
    <w:multiLevelType w:val="hybridMultilevel"/>
    <w:lvl w:ilvl="0" w:tplc="068FD60F">
      <w:start w:val="1"/>
      <w:numFmt w:val="bullet"/>
      <w:suff w:val="tab"/>
      <w:lvlText w:val="·"/>
      <w:lvlJc w:val="left"/>
      <w:pPr>
        <w:ind w:hanging="360" w:left="720"/>
      </w:pPr>
      <w:rPr>
        <w:rFonts w:ascii="Symbol" w:hAnsi="Symbol" w:cs="Symbol" w:eastAsia="Symbol"/>
      </w:rPr>
    </w:lvl>
    <w:lvl w:ilvl="1" w:tplc="0A4641C1">
      <w:start w:val="1"/>
      <w:numFmt w:val="bullet"/>
      <w:suff w:val="tab"/>
      <w:lvlText w:val="o"/>
      <w:lvlJc w:val="left"/>
      <w:pPr>
        <w:ind w:hanging="360" w:left="1440"/>
      </w:pPr>
      <w:rPr>
        <w:rFonts w:ascii="Symbol" w:hAnsi="Symbol"/>
      </w:rPr>
    </w:lvl>
    <w:lvl w:ilvl="2" w:tplc="50C47E02">
      <w:start w:val="1"/>
      <w:numFmt w:val="bullet"/>
      <w:suff w:val="tab"/>
      <w:lvlText w:val="·"/>
      <w:lvlJc w:val="left"/>
      <w:pPr>
        <w:ind w:hanging="360" w:left="2160"/>
      </w:pPr>
      <w:rPr>
        <w:rFonts w:ascii="Symbol" w:hAnsi="Symbol"/>
      </w:rPr>
    </w:lvl>
    <w:lvl w:ilvl="3" w:tplc="36F73BD2">
      <w:start w:val="1"/>
      <w:numFmt w:val="bullet"/>
      <w:suff w:val="tab"/>
      <w:lvlText w:val="o"/>
      <w:lvlJc w:val="left"/>
      <w:pPr>
        <w:ind w:hanging="360" w:left="2880"/>
      </w:pPr>
      <w:rPr>
        <w:rFonts w:ascii="Symbol" w:hAnsi="Symbol"/>
      </w:rPr>
    </w:lvl>
    <w:lvl w:ilvl="4" w:tplc="14936CF5">
      <w:start w:val="1"/>
      <w:numFmt w:val="bullet"/>
      <w:suff w:val="tab"/>
      <w:lvlText w:val="·"/>
      <w:lvlJc w:val="left"/>
      <w:pPr>
        <w:ind w:hanging="360" w:left="3600"/>
      </w:pPr>
      <w:rPr>
        <w:rFonts w:ascii="Symbol" w:hAnsi="Symbol"/>
      </w:rPr>
    </w:lvl>
    <w:lvl w:ilvl="5" w:tplc="1CFC547E">
      <w:start w:val="1"/>
      <w:numFmt w:val="bullet"/>
      <w:suff w:val="tab"/>
      <w:lvlText w:val="o"/>
      <w:lvlJc w:val="left"/>
      <w:pPr>
        <w:ind w:hanging="360" w:left="4320"/>
      </w:pPr>
      <w:rPr>
        <w:rFonts w:ascii="Symbol" w:hAnsi="Symbol"/>
      </w:rPr>
    </w:lvl>
    <w:lvl w:ilvl="6" w:tplc="40F502FC">
      <w:start w:val="1"/>
      <w:numFmt w:val="bullet"/>
      <w:suff w:val="tab"/>
      <w:lvlText w:val="·"/>
      <w:lvlJc w:val="left"/>
      <w:pPr>
        <w:ind w:hanging="360" w:left="5040"/>
      </w:pPr>
      <w:rPr>
        <w:rFonts w:ascii="Symbol" w:hAnsi="Symbol"/>
      </w:rPr>
    </w:lvl>
    <w:lvl w:ilvl="7" w:tplc="208E10EC">
      <w:start w:val="1"/>
      <w:numFmt w:val="bullet"/>
      <w:suff w:val="tab"/>
      <w:lvlText w:val="o"/>
      <w:lvlJc w:val="left"/>
      <w:pPr>
        <w:ind w:hanging="360" w:left="5760"/>
      </w:pPr>
      <w:rPr>
        <w:rFonts w:ascii="Symbol" w:hAnsi="Symbol"/>
      </w:rPr>
    </w:lvl>
    <w:lvl w:ilvl="8" w:tplc="04F99FB2">
      <w:start w:val="1"/>
      <w:numFmt w:val="bullet"/>
      <w:suff w:val="tab"/>
      <w:lvlText w:val="·"/>
      <w:lvlJc w:val="left"/>
      <w:pPr>
        <w:ind w:hanging="360" w:left="6480"/>
      </w:pPr>
      <w:rPr>
        <w:rFonts w:ascii="Symbol" w:hAnsi="Symbol"/>
      </w:rPr>
    </w:lvl>
  </w:abstractNum>
  <w:abstractNum w:abstractNumId="37">
    <w:nsid w:val="61703B41"/>
    <w:multiLevelType w:val="hybridMultilevel"/>
    <w:lvl w:ilvl="0" w:tplc="3E88C6DD">
      <w:start w:val="1"/>
      <w:numFmt w:val="bullet"/>
      <w:suff w:val="tab"/>
      <w:lvlText w:val="·"/>
      <w:lvlJc w:val="left"/>
      <w:pPr>
        <w:ind w:hanging="360" w:left="720"/>
      </w:pPr>
      <w:rPr>
        <w:rFonts w:ascii="Symbol" w:hAnsi="Symbol" w:cs="Symbol" w:eastAsia="Symbol"/>
      </w:rPr>
    </w:lvl>
    <w:lvl w:ilvl="1" w:tplc="6FF4A1EA">
      <w:start w:val="1"/>
      <w:numFmt w:val="bullet"/>
      <w:suff w:val="tab"/>
      <w:lvlText w:val="o"/>
      <w:lvlJc w:val="left"/>
      <w:pPr>
        <w:ind w:hanging="360" w:left="1440"/>
      </w:pPr>
      <w:rPr>
        <w:rFonts w:ascii="Symbol" w:hAnsi="Symbol"/>
      </w:rPr>
    </w:lvl>
    <w:lvl w:ilvl="2" w:tplc="69FB2442">
      <w:start w:val="1"/>
      <w:numFmt w:val="bullet"/>
      <w:suff w:val="tab"/>
      <w:lvlText w:val="·"/>
      <w:lvlJc w:val="left"/>
      <w:pPr>
        <w:ind w:hanging="360" w:left="2160"/>
      </w:pPr>
      <w:rPr>
        <w:rFonts w:ascii="Symbol" w:hAnsi="Symbol"/>
      </w:rPr>
    </w:lvl>
    <w:lvl w:ilvl="3" w:tplc="72033D3C">
      <w:start w:val="1"/>
      <w:numFmt w:val="bullet"/>
      <w:suff w:val="tab"/>
      <w:lvlText w:val="o"/>
      <w:lvlJc w:val="left"/>
      <w:pPr>
        <w:ind w:hanging="360" w:left="2880"/>
      </w:pPr>
      <w:rPr>
        <w:rFonts w:ascii="Symbol" w:hAnsi="Symbol"/>
      </w:rPr>
    </w:lvl>
    <w:lvl w:ilvl="4" w:tplc="6F068DD4">
      <w:start w:val="1"/>
      <w:numFmt w:val="bullet"/>
      <w:suff w:val="tab"/>
      <w:lvlText w:val="·"/>
      <w:lvlJc w:val="left"/>
      <w:pPr>
        <w:ind w:hanging="360" w:left="3600"/>
      </w:pPr>
      <w:rPr>
        <w:rFonts w:ascii="Symbol" w:hAnsi="Symbol"/>
      </w:rPr>
    </w:lvl>
    <w:lvl w:ilvl="5" w:tplc="07D404FB">
      <w:start w:val="1"/>
      <w:numFmt w:val="bullet"/>
      <w:suff w:val="tab"/>
      <w:lvlText w:val="o"/>
      <w:lvlJc w:val="left"/>
      <w:pPr>
        <w:ind w:hanging="360" w:left="4320"/>
      </w:pPr>
      <w:rPr>
        <w:rFonts w:ascii="Symbol" w:hAnsi="Symbol"/>
      </w:rPr>
    </w:lvl>
    <w:lvl w:ilvl="6" w:tplc="4CBCC408">
      <w:start w:val="1"/>
      <w:numFmt w:val="bullet"/>
      <w:suff w:val="tab"/>
      <w:lvlText w:val="·"/>
      <w:lvlJc w:val="left"/>
      <w:pPr>
        <w:ind w:hanging="360" w:left="5040"/>
      </w:pPr>
      <w:rPr>
        <w:rFonts w:ascii="Symbol" w:hAnsi="Symbol"/>
      </w:rPr>
    </w:lvl>
    <w:lvl w:ilvl="7" w:tplc="34F91A44">
      <w:start w:val="1"/>
      <w:numFmt w:val="bullet"/>
      <w:suff w:val="tab"/>
      <w:lvlText w:val="o"/>
      <w:lvlJc w:val="left"/>
      <w:pPr>
        <w:ind w:hanging="360" w:left="5760"/>
      </w:pPr>
      <w:rPr>
        <w:rFonts w:ascii="Symbol" w:hAnsi="Symbol"/>
      </w:rPr>
    </w:lvl>
    <w:lvl w:ilvl="8" w:tplc="05F266B8">
      <w:start w:val="1"/>
      <w:numFmt w:val="bullet"/>
      <w:suff w:val="tab"/>
      <w:lvlText w:val="·"/>
      <w:lvlJc w:val="left"/>
      <w:pPr>
        <w:ind w:hanging="360" w:left="6480"/>
      </w:pPr>
      <w:rPr>
        <w:rFonts w:ascii="Symbol" w:hAnsi="Symbol"/>
      </w:rPr>
    </w:lvl>
  </w:abstractNum>
  <w:abstractNum w:abstractNumId="38">
    <w:nsid w:val="3E35C0F6"/>
    <w:multiLevelType w:val="hybridMultilevel"/>
    <w:lvl w:ilvl="0" w:tplc="78F0489D">
      <w:start w:val="1"/>
      <w:numFmt w:val="bullet"/>
      <w:suff w:val="tab"/>
      <w:lvlText w:val="·"/>
      <w:lvlJc w:val="left"/>
      <w:pPr>
        <w:ind w:hanging="360" w:left="720"/>
      </w:pPr>
      <w:rPr>
        <w:rFonts w:ascii="Symbol" w:hAnsi="Symbol" w:cs="Symbol" w:eastAsia="Symbol"/>
      </w:rPr>
    </w:lvl>
    <w:lvl w:ilvl="1" w:tplc="4006E2D1">
      <w:start w:val="1"/>
      <w:numFmt w:val="bullet"/>
      <w:suff w:val="tab"/>
      <w:lvlText w:val="o"/>
      <w:lvlJc w:val="left"/>
      <w:pPr>
        <w:ind w:hanging="360" w:left="1440"/>
      </w:pPr>
      <w:rPr>
        <w:rFonts w:ascii="Symbol" w:hAnsi="Symbol"/>
      </w:rPr>
    </w:lvl>
    <w:lvl w:ilvl="2" w:tplc="7DC4A648">
      <w:start w:val="1"/>
      <w:numFmt w:val="bullet"/>
      <w:suff w:val="tab"/>
      <w:lvlText w:val="·"/>
      <w:lvlJc w:val="left"/>
      <w:pPr>
        <w:ind w:hanging="360" w:left="2160"/>
      </w:pPr>
      <w:rPr>
        <w:rFonts w:ascii="Symbol" w:hAnsi="Symbol"/>
      </w:rPr>
    </w:lvl>
    <w:lvl w:ilvl="3" w:tplc="1C6E90FF">
      <w:start w:val="1"/>
      <w:numFmt w:val="bullet"/>
      <w:suff w:val="tab"/>
      <w:lvlText w:val="o"/>
      <w:lvlJc w:val="left"/>
      <w:pPr>
        <w:ind w:hanging="360" w:left="2880"/>
      </w:pPr>
      <w:rPr>
        <w:rFonts w:ascii="Symbol" w:hAnsi="Symbol"/>
      </w:rPr>
    </w:lvl>
    <w:lvl w:ilvl="4" w:tplc="06FC06E1">
      <w:start w:val="1"/>
      <w:numFmt w:val="bullet"/>
      <w:suff w:val="tab"/>
      <w:lvlText w:val="·"/>
      <w:lvlJc w:val="left"/>
      <w:pPr>
        <w:ind w:hanging="360" w:left="3600"/>
      </w:pPr>
      <w:rPr>
        <w:rFonts w:ascii="Symbol" w:hAnsi="Symbol"/>
      </w:rPr>
    </w:lvl>
    <w:lvl w:ilvl="5" w:tplc="4C002FA5">
      <w:start w:val="1"/>
      <w:numFmt w:val="bullet"/>
      <w:suff w:val="tab"/>
      <w:lvlText w:val="o"/>
      <w:lvlJc w:val="left"/>
      <w:pPr>
        <w:ind w:hanging="360" w:left="4320"/>
      </w:pPr>
      <w:rPr>
        <w:rFonts w:ascii="Symbol" w:hAnsi="Symbol"/>
      </w:rPr>
    </w:lvl>
    <w:lvl w:ilvl="6" w:tplc="5E858B6E">
      <w:start w:val="1"/>
      <w:numFmt w:val="bullet"/>
      <w:suff w:val="tab"/>
      <w:lvlText w:val="·"/>
      <w:lvlJc w:val="left"/>
      <w:pPr>
        <w:ind w:hanging="360" w:left="5040"/>
      </w:pPr>
      <w:rPr>
        <w:rFonts w:ascii="Symbol" w:hAnsi="Symbol"/>
      </w:rPr>
    </w:lvl>
    <w:lvl w:ilvl="7" w:tplc="1EC41FEA">
      <w:start w:val="1"/>
      <w:numFmt w:val="bullet"/>
      <w:suff w:val="tab"/>
      <w:lvlText w:val="o"/>
      <w:lvlJc w:val="left"/>
      <w:pPr>
        <w:ind w:hanging="360" w:left="5760"/>
      </w:pPr>
      <w:rPr>
        <w:rFonts w:ascii="Symbol" w:hAnsi="Symbol"/>
      </w:rPr>
    </w:lvl>
    <w:lvl w:ilvl="8" w:tplc="6D6854CD">
      <w:start w:val="1"/>
      <w:numFmt w:val="bullet"/>
      <w:suff w:val="tab"/>
      <w:lvlText w:val="·"/>
      <w:lvlJc w:val="left"/>
      <w:pPr>
        <w:ind w:hanging="360" w:left="6480"/>
      </w:pPr>
      <w:rPr>
        <w:rFonts w:ascii="Symbol" w:hAnsi="Symbol"/>
      </w:rPr>
    </w:lvl>
  </w:abstractNum>
  <w:abstractNum w:abstractNumId="39">
    <w:nsid w:val="30A83406"/>
    <w:multiLevelType w:val="hybridMultilevel"/>
    <w:lvl w:ilvl="0" w:tplc="30486DC2">
      <w:start w:val="1"/>
      <w:numFmt w:val="bullet"/>
      <w:suff w:val="tab"/>
      <w:lvlText w:val="·"/>
      <w:lvlJc w:val="left"/>
      <w:pPr>
        <w:ind w:hanging="360" w:left="720"/>
      </w:pPr>
      <w:rPr>
        <w:rFonts w:ascii="Symbol" w:hAnsi="Symbol" w:cs="Symbol" w:eastAsia="Symbol"/>
      </w:rPr>
    </w:lvl>
    <w:lvl w:ilvl="1" w:tplc="5BBF7141">
      <w:start w:val="1"/>
      <w:numFmt w:val="bullet"/>
      <w:suff w:val="tab"/>
      <w:lvlText w:val="o"/>
      <w:lvlJc w:val="left"/>
      <w:pPr>
        <w:ind w:hanging="360" w:left="1440"/>
      </w:pPr>
      <w:rPr>
        <w:rFonts w:ascii="Symbol" w:hAnsi="Symbol"/>
      </w:rPr>
    </w:lvl>
    <w:lvl w:ilvl="2" w:tplc="3513BC95">
      <w:start w:val="1"/>
      <w:numFmt w:val="bullet"/>
      <w:suff w:val="tab"/>
      <w:lvlText w:val="·"/>
      <w:lvlJc w:val="left"/>
      <w:pPr>
        <w:ind w:hanging="360" w:left="2160"/>
      </w:pPr>
      <w:rPr>
        <w:rFonts w:ascii="Symbol" w:hAnsi="Symbol"/>
      </w:rPr>
    </w:lvl>
    <w:lvl w:ilvl="3" w:tplc="7ED687E4">
      <w:start w:val="1"/>
      <w:numFmt w:val="bullet"/>
      <w:suff w:val="tab"/>
      <w:lvlText w:val="o"/>
      <w:lvlJc w:val="left"/>
      <w:pPr>
        <w:ind w:hanging="360" w:left="2880"/>
      </w:pPr>
      <w:rPr>
        <w:rFonts w:ascii="Symbol" w:hAnsi="Symbol"/>
      </w:rPr>
    </w:lvl>
    <w:lvl w:ilvl="4" w:tplc="257D4CB3">
      <w:start w:val="1"/>
      <w:numFmt w:val="bullet"/>
      <w:suff w:val="tab"/>
      <w:lvlText w:val="·"/>
      <w:lvlJc w:val="left"/>
      <w:pPr>
        <w:ind w:hanging="360" w:left="3600"/>
      </w:pPr>
      <w:rPr>
        <w:rFonts w:ascii="Symbol" w:hAnsi="Symbol"/>
      </w:rPr>
    </w:lvl>
    <w:lvl w:ilvl="5" w:tplc="23B18895">
      <w:start w:val="1"/>
      <w:numFmt w:val="bullet"/>
      <w:suff w:val="tab"/>
      <w:lvlText w:val="o"/>
      <w:lvlJc w:val="left"/>
      <w:pPr>
        <w:ind w:hanging="360" w:left="4320"/>
      </w:pPr>
      <w:rPr>
        <w:rFonts w:ascii="Symbol" w:hAnsi="Symbol"/>
      </w:rPr>
    </w:lvl>
    <w:lvl w:ilvl="6" w:tplc="6B096C32">
      <w:start w:val="1"/>
      <w:numFmt w:val="bullet"/>
      <w:suff w:val="tab"/>
      <w:lvlText w:val="·"/>
      <w:lvlJc w:val="left"/>
      <w:pPr>
        <w:ind w:hanging="360" w:left="5040"/>
      </w:pPr>
      <w:rPr>
        <w:rFonts w:ascii="Symbol" w:hAnsi="Symbol"/>
      </w:rPr>
    </w:lvl>
    <w:lvl w:ilvl="7" w:tplc="208E886F">
      <w:start w:val="1"/>
      <w:numFmt w:val="bullet"/>
      <w:suff w:val="tab"/>
      <w:lvlText w:val="o"/>
      <w:lvlJc w:val="left"/>
      <w:pPr>
        <w:ind w:hanging="360" w:left="5760"/>
      </w:pPr>
      <w:rPr>
        <w:rFonts w:ascii="Symbol" w:hAnsi="Symbol"/>
      </w:rPr>
    </w:lvl>
    <w:lvl w:ilvl="8" w:tplc="726D90BE">
      <w:start w:val="1"/>
      <w:numFmt w:val="bullet"/>
      <w:suff w:val="tab"/>
      <w:lvlText w:val="·"/>
      <w:lvlJc w:val="left"/>
      <w:pPr>
        <w:ind w:hanging="360" w:left="6480"/>
      </w:pPr>
      <w:rPr>
        <w:rFonts w:ascii="Symbol" w:hAnsi="Symbol"/>
      </w:rPr>
    </w:lvl>
  </w:abstractNum>
  <w:abstractNum w:abstractNumId="40">
    <w:nsid w:val="4B22C557"/>
    <w:multiLevelType w:val="hybridMultilevel"/>
    <w:lvl w:ilvl="0" w:tplc="5EABA76B">
      <w:start w:val="1"/>
      <w:numFmt w:val="bullet"/>
      <w:suff w:val="tab"/>
      <w:lvlText w:val="·"/>
      <w:lvlJc w:val="left"/>
      <w:pPr>
        <w:ind w:hanging="360" w:left="720"/>
      </w:pPr>
      <w:rPr>
        <w:rFonts w:ascii="Symbol" w:hAnsi="Symbol" w:cs="Symbol" w:eastAsia="Symbol"/>
      </w:rPr>
    </w:lvl>
    <w:lvl w:ilvl="1" w:tplc="776018C9">
      <w:start w:val="1"/>
      <w:numFmt w:val="bullet"/>
      <w:suff w:val="tab"/>
      <w:lvlText w:val="o"/>
      <w:lvlJc w:val="left"/>
      <w:pPr>
        <w:ind w:hanging="360" w:left="1440"/>
      </w:pPr>
      <w:rPr>
        <w:rFonts w:ascii="Symbol" w:hAnsi="Symbol"/>
      </w:rPr>
    </w:lvl>
    <w:lvl w:ilvl="2" w:tplc="00F69F98">
      <w:start w:val="1"/>
      <w:numFmt w:val="bullet"/>
      <w:suff w:val="tab"/>
      <w:lvlText w:val="·"/>
      <w:lvlJc w:val="left"/>
      <w:pPr>
        <w:ind w:hanging="360" w:left="2160"/>
      </w:pPr>
      <w:rPr>
        <w:rFonts w:ascii="Symbol" w:hAnsi="Symbol"/>
      </w:rPr>
    </w:lvl>
    <w:lvl w:ilvl="3" w:tplc="51F276ED">
      <w:start w:val="1"/>
      <w:numFmt w:val="bullet"/>
      <w:suff w:val="tab"/>
      <w:lvlText w:val="o"/>
      <w:lvlJc w:val="left"/>
      <w:pPr>
        <w:ind w:hanging="360" w:left="2880"/>
      </w:pPr>
      <w:rPr>
        <w:rFonts w:ascii="Symbol" w:hAnsi="Symbol"/>
      </w:rPr>
    </w:lvl>
    <w:lvl w:ilvl="4" w:tplc="76597DB7">
      <w:start w:val="1"/>
      <w:numFmt w:val="bullet"/>
      <w:suff w:val="tab"/>
      <w:lvlText w:val="·"/>
      <w:lvlJc w:val="left"/>
      <w:pPr>
        <w:ind w:hanging="360" w:left="3600"/>
      </w:pPr>
      <w:rPr>
        <w:rFonts w:ascii="Symbol" w:hAnsi="Symbol"/>
      </w:rPr>
    </w:lvl>
    <w:lvl w:ilvl="5" w:tplc="1275DFE2">
      <w:start w:val="1"/>
      <w:numFmt w:val="bullet"/>
      <w:suff w:val="tab"/>
      <w:lvlText w:val="o"/>
      <w:lvlJc w:val="left"/>
      <w:pPr>
        <w:ind w:hanging="360" w:left="4320"/>
      </w:pPr>
      <w:rPr>
        <w:rFonts w:ascii="Symbol" w:hAnsi="Symbol"/>
      </w:rPr>
    </w:lvl>
    <w:lvl w:ilvl="6" w:tplc="5DA7A573">
      <w:start w:val="1"/>
      <w:numFmt w:val="bullet"/>
      <w:suff w:val="tab"/>
      <w:lvlText w:val="·"/>
      <w:lvlJc w:val="left"/>
      <w:pPr>
        <w:ind w:hanging="360" w:left="5040"/>
      </w:pPr>
      <w:rPr>
        <w:rFonts w:ascii="Symbol" w:hAnsi="Symbol"/>
      </w:rPr>
    </w:lvl>
    <w:lvl w:ilvl="7" w:tplc="734B0FFA">
      <w:start w:val="1"/>
      <w:numFmt w:val="bullet"/>
      <w:suff w:val="tab"/>
      <w:lvlText w:val="o"/>
      <w:lvlJc w:val="left"/>
      <w:pPr>
        <w:ind w:hanging="360" w:left="5760"/>
      </w:pPr>
      <w:rPr>
        <w:rFonts w:ascii="Symbol" w:hAnsi="Symbol"/>
      </w:rPr>
    </w:lvl>
    <w:lvl w:ilvl="8" w:tplc="0DB130E7">
      <w:start w:val="1"/>
      <w:numFmt w:val="bullet"/>
      <w:suff w:val="tab"/>
      <w:lvlText w:val="·"/>
      <w:lvlJc w:val="left"/>
      <w:pPr>
        <w:ind w:hanging="360" w:left="6480"/>
      </w:pPr>
      <w:rPr>
        <w:rFonts w:ascii="Symbol" w:hAnsi="Symbol"/>
      </w:rPr>
    </w:lvl>
  </w:abstractNum>
  <w:abstractNum w:abstractNumId="41">
    <w:nsid w:val="6FFE50ED"/>
    <w:multiLevelType w:val="hybridMultilevel"/>
    <w:lvl w:ilvl="0" w:tplc="16719642">
      <w:start w:val="1"/>
      <w:numFmt w:val="bullet"/>
      <w:suff w:val="tab"/>
      <w:lvlText w:val="·"/>
      <w:lvlJc w:val="left"/>
      <w:pPr>
        <w:ind w:hanging="360" w:left="720"/>
      </w:pPr>
      <w:rPr>
        <w:rFonts w:ascii="Symbol" w:hAnsi="Symbol" w:cs="Symbol" w:eastAsia="Symbol"/>
      </w:rPr>
    </w:lvl>
    <w:lvl w:ilvl="1" w:tplc="6F9F1B44">
      <w:start w:val="1"/>
      <w:numFmt w:val="bullet"/>
      <w:suff w:val="tab"/>
      <w:lvlText w:val="o"/>
      <w:lvlJc w:val="left"/>
      <w:pPr>
        <w:ind w:hanging="360" w:left="1440"/>
      </w:pPr>
      <w:rPr>
        <w:rFonts w:ascii="Symbol" w:hAnsi="Symbol"/>
      </w:rPr>
    </w:lvl>
    <w:lvl w:ilvl="2" w:tplc="71AF06BC">
      <w:start w:val="1"/>
      <w:numFmt w:val="bullet"/>
      <w:suff w:val="tab"/>
      <w:lvlText w:val="·"/>
      <w:lvlJc w:val="left"/>
      <w:pPr>
        <w:ind w:hanging="360" w:left="2160"/>
      </w:pPr>
      <w:rPr>
        <w:rFonts w:ascii="Symbol" w:hAnsi="Symbol"/>
      </w:rPr>
    </w:lvl>
    <w:lvl w:ilvl="3" w:tplc="53A469F2">
      <w:start w:val="1"/>
      <w:numFmt w:val="bullet"/>
      <w:suff w:val="tab"/>
      <w:lvlText w:val="o"/>
      <w:lvlJc w:val="left"/>
      <w:pPr>
        <w:ind w:hanging="360" w:left="2880"/>
      </w:pPr>
      <w:rPr>
        <w:rFonts w:ascii="Symbol" w:hAnsi="Symbol"/>
      </w:rPr>
    </w:lvl>
    <w:lvl w:ilvl="4" w:tplc="6630E6C5">
      <w:start w:val="1"/>
      <w:numFmt w:val="bullet"/>
      <w:suff w:val="tab"/>
      <w:lvlText w:val="·"/>
      <w:lvlJc w:val="left"/>
      <w:pPr>
        <w:ind w:hanging="360" w:left="3600"/>
      </w:pPr>
      <w:rPr>
        <w:rFonts w:ascii="Symbol" w:hAnsi="Symbol"/>
      </w:rPr>
    </w:lvl>
    <w:lvl w:ilvl="5" w:tplc="6880B511">
      <w:start w:val="1"/>
      <w:numFmt w:val="bullet"/>
      <w:suff w:val="tab"/>
      <w:lvlText w:val="o"/>
      <w:lvlJc w:val="left"/>
      <w:pPr>
        <w:ind w:hanging="360" w:left="4320"/>
      </w:pPr>
      <w:rPr>
        <w:rFonts w:ascii="Symbol" w:hAnsi="Symbol"/>
      </w:rPr>
    </w:lvl>
    <w:lvl w:ilvl="6" w:tplc="03213C9C">
      <w:start w:val="1"/>
      <w:numFmt w:val="bullet"/>
      <w:suff w:val="tab"/>
      <w:lvlText w:val="·"/>
      <w:lvlJc w:val="left"/>
      <w:pPr>
        <w:ind w:hanging="360" w:left="5040"/>
      </w:pPr>
      <w:rPr>
        <w:rFonts w:ascii="Symbol" w:hAnsi="Symbol"/>
      </w:rPr>
    </w:lvl>
    <w:lvl w:ilvl="7" w:tplc="27F47B71">
      <w:start w:val="1"/>
      <w:numFmt w:val="bullet"/>
      <w:suff w:val="tab"/>
      <w:lvlText w:val="o"/>
      <w:lvlJc w:val="left"/>
      <w:pPr>
        <w:ind w:hanging="360" w:left="5760"/>
      </w:pPr>
      <w:rPr>
        <w:rFonts w:ascii="Symbol" w:hAnsi="Symbol"/>
      </w:rPr>
    </w:lvl>
    <w:lvl w:ilvl="8" w:tplc="0C344C1C">
      <w:start w:val="1"/>
      <w:numFmt w:val="bullet"/>
      <w:suff w:val="tab"/>
      <w:lvlText w:val="·"/>
      <w:lvlJc w:val="left"/>
      <w:pPr>
        <w:ind w:hanging="360" w:left="6480"/>
      </w:pPr>
      <w:rPr>
        <w:rFonts w:ascii="Symbol" w:hAnsi="Symbol"/>
      </w:rPr>
    </w:lvl>
  </w:abstractNum>
  <w:abstractNum w:abstractNumId="42">
    <w:nsid w:val="03A37BAA"/>
    <w:multiLevelType w:val="hybridMultilevel"/>
    <w:lvl w:ilvl="0" w:tplc="6A0CE81F">
      <w:start w:val="1"/>
      <w:numFmt w:val="bullet"/>
      <w:suff w:val="tab"/>
      <w:lvlText w:val="·"/>
      <w:lvlJc w:val="left"/>
      <w:pPr>
        <w:ind w:hanging="360" w:left="720"/>
      </w:pPr>
      <w:rPr>
        <w:rFonts w:ascii="Symbol" w:hAnsi="Symbol" w:cs="Symbol" w:eastAsia="Symbol"/>
      </w:rPr>
    </w:lvl>
    <w:lvl w:ilvl="1" w:tplc="45D87D89">
      <w:start w:val="1"/>
      <w:numFmt w:val="bullet"/>
      <w:suff w:val="tab"/>
      <w:lvlText w:val="o"/>
      <w:lvlJc w:val="left"/>
      <w:pPr>
        <w:ind w:hanging="360" w:left="1440"/>
      </w:pPr>
      <w:rPr>
        <w:rFonts w:ascii="Symbol" w:hAnsi="Symbol"/>
      </w:rPr>
    </w:lvl>
    <w:lvl w:ilvl="2" w:tplc="63A01573">
      <w:start w:val="1"/>
      <w:numFmt w:val="bullet"/>
      <w:suff w:val="tab"/>
      <w:lvlText w:val="·"/>
      <w:lvlJc w:val="left"/>
      <w:pPr>
        <w:ind w:hanging="360" w:left="2160"/>
      </w:pPr>
      <w:rPr>
        <w:rFonts w:ascii="Symbol" w:hAnsi="Symbol"/>
      </w:rPr>
    </w:lvl>
    <w:lvl w:ilvl="3" w:tplc="747F987E">
      <w:start w:val="1"/>
      <w:numFmt w:val="bullet"/>
      <w:suff w:val="tab"/>
      <w:lvlText w:val="o"/>
      <w:lvlJc w:val="left"/>
      <w:pPr>
        <w:ind w:hanging="360" w:left="2880"/>
      </w:pPr>
      <w:rPr>
        <w:rFonts w:ascii="Symbol" w:hAnsi="Symbol"/>
      </w:rPr>
    </w:lvl>
    <w:lvl w:ilvl="4" w:tplc="41B07FED">
      <w:start w:val="1"/>
      <w:numFmt w:val="bullet"/>
      <w:suff w:val="tab"/>
      <w:lvlText w:val="·"/>
      <w:lvlJc w:val="left"/>
      <w:pPr>
        <w:ind w:hanging="360" w:left="3600"/>
      </w:pPr>
      <w:rPr>
        <w:rFonts w:ascii="Symbol" w:hAnsi="Symbol"/>
      </w:rPr>
    </w:lvl>
    <w:lvl w:ilvl="5" w:tplc="561183A0">
      <w:start w:val="1"/>
      <w:numFmt w:val="bullet"/>
      <w:suff w:val="tab"/>
      <w:lvlText w:val="o"/>
      <w:lvlJc w:val="left"/>
      <w:pPr>
        <w:ind w:hanging="360" w:left="4320"/>
      </w:pPr>
      <w:rPr>
        <w:rFonts w:ascii="Symbol" w:hAnsi="Symbol"/>
      </w:rPr>
    </w:lvl>
    <w:lvl w:ilvl="6" w:tplc="3AC27944">
      <w:start w:val="1"/>
      <w:numFmt w:val="bullet"/>
      <w:suff w:val="tab"/>
      <w:lvlText w:val="·"/>
      <w:lvlJc w:val="left"/>
      <w:pPr>
        <w:ind w:hanging="360" w:left="5040"/>
      </w:pPr>
      <w:rPr>
        <w:rFonts w:ascii="Symbol" w:hAnsi="Symbol"/>
      </w:rPr>
    </w:lvl>
    <w:lvl w:ilvl="7" w:tplc="5C406A21">
      <w:start w:val="1"/>
      <w:numFmt w:val="bullet"/>
      <w:suff w:val="tab"/>
      <w:lvlText w:val="o"/>
      <w:lvlJc w:val="left"/>
      <w:pPr>
        <w:ind w:hanging="360" w:left="5760"/>
      </w:pPr>
      <w:rPr>
        <w:rFonts w:ascii="Symbol" w:hAnsi="Symbol"/>
      </w:rPr>
    </w:lvl>
    <w:lvl w:ilvl="8" w:tplc="33A0078E">
      <w:start w:val="1"/>
      <w:numFmt w:val="bullet"/>
      <w:suff w:val="tab"/>
      <w:lvlText w:val="·"/>
      <w:lvlJc w:val="left"/>
      <w:pPr>
        <w:ind w:hanging="360" w:left="6480"/>
      </w:pPr>
      <w:rPr>
        <w:rFonts w:ascii="Symbol" w:hAnsi="Symbol"/>
      </w:rPr>
    </w:lvl>
  </w:abstractNum>
  <w:abstractNum w:abstractNumId="43">
    <w:nsid w:val="22F53230"/>
    <w:multiLevelType w:val="hybridMultilevel"/>
    <w:lvl w:ilvl="0" w:tplc="404F0171">
      <w:start w:val="1"/>
      <w:numFmt w:val="bullet"/>
      <w:suff w:val="tab"/>
      <w:lvlText w:val="·"/>
      <w:lvlJc w:val="left"/>
      <w:pPr>
        <w:ind w:hanging="360" w:left="720"/>
      </w:pPr>
      <w:rPr>
        <w:rFonts w:ascii="Symbol" w:hAnsi="Symbol" w:cs="Symbol" w:eastAsia="Symbol"/>
      </w:rPr>
    </w:lvl>
    <w:lvl w:ilvl="1" w:tplc="022C3B60">
      <w:start w:val="1"/>
      <w:numFmt w:val="bullet"/>
      <w:suff w:val="tab"/>
      <w:lvlText w:val="o"/>
      <w:lvlJc w:val="left"/>
      <w:pPr>
        <w:ind w:hanging="360" w:left="1440"/>
      </w:pPr>
      <w:rPr>
        <w:rFonts w:ascii="Symbol" w:hAnsi="Symbol"/>
      </w:rPr>
    </w:lvl>
    <w:lvl w:ilvl="2" w:tplc="27B08AD6">
      <w:start w:val="1"/>
      <w:numFmt w:val="bullet"/>
      <w:suff w:val="tab"/>
      <w:lvlText w:val="·"/>
      <w:lvlJc w:val="left"/>
      <w:pPr>
        <w:ind w:hanging="360" w:left="2160"/>
      </w:pPr>
      <w:rPr>
        <w:rFonts w:ascii="Symbol" w:hAnsi="Symbol"/>
      </w:rPr>
    </w:lvl>
    <w:lvl w:ilvl="3" w:tplc="6C5A0B86">
      <w:start w:val="1"/>
      <w:numFmt w:val="bullet"/>
      <w:suff w:val="tab"/>
      <w:lvlText w:val="o"/>
      <w:lvlJc w:val="left"/>
      <w:pPr>
        <w:ind w:hanging="360" w:left="2880"/>
      </w:pPr>
      <w:rPr>
        <w:rFonts w:ascii="Symbol" w:hAnsi="Symbol"/>
      </w:rPr>
    </w:lvl>
    <w:lvl w:ilvl="4" w:tplc="18CBEAE4">
      <w:start w:val="1"/>
      <w:numFmt w:val="bullet"/>
      <w:suff w:val="tab"/>
      <w:lvlText w:val="·"/>
      <w:lvlJc w:val="left"/>
      <w:pPr>
        <w:ind w:hanging="360" w:left="3600"/>
      </w:pPr>
      <w:rPr>
        <w:rFonts w:ascii="Symbol" w:hAnsi="Symbol"/>
      </w:rPr>
    </w:lvl>
    <w:lvl w:ilvl="5" w:tplc="4E7013E0">
      <w:start w:val="1"/>
      <w:numFmt w:val="bullet"/>
      <w:suff w:val="tab"/>
      <w:lvlText w:val="o"/>
      <w:lvlJc w:val="left"/>
      <w:pPr>
        <w:ind w:hanging="360" w:left="4320"/>
      </w:pPr>
      <w:rPr>
        <w:rFonts w:ascii="Symbol" w:hAnsi="Symbol"/>
      </w:rPr>
    </w:lvl>
    <w:lvl w:ilvl="6" w:tplc="0293DAAD">
      <w:start w:val="1"/>
      <w:numFmt w:val="bullet"/>
      <w:suff w:val="tab"/>
      <w:lvlText w:val="·"/>
      <w:lvlJc w:val="left"/>
      <w:pPr>
        <w:ind w:hanging="360" w:left="5040"/>
      </w:pPr>
      <w:rPr>
        <w:rFonts w:ascii="Symbol" w:hAnsi="Symbol"/>
      </w:rPr>
    </w:lvl>
    <w:lvl w:ilvl="7" w:tplc="2B4BD5EB">
      <w:start w:val="1"/>
      <w:numFmt w:val="bullet"/>
      <w:suff w:val="tab"/>
      <w:lvlText w:val="o"/>
      <w:lvlJc w:val="left"/>
      <w:pPr>
        <w:ind w:hanging="360" w:left="5760"/>
      </w:pPr>
      <w:rPr>
        <w:rFonts w:ascii="Symbol" w:hAnsi="Symbol"/>
      </w:rPr>
    </w:lvl>
    <w:lvl w:ilvl="8" w:tplc="061D55E0">
      <w:start w:val="1"/>
      <w:numFmt w:val="bullet"/>
      <w:suff w:val="tab"/>
      <w:lvlText w:val="·"/>
      <w:lvlJc w:val="left"/>
      <w:pPr>
        <w:ind w:hanging="360" w:left="6480"/>
      </w:pPr>
      <w:rPr>
        <w:rFonts w:ascii="Symbol" w:hAnsi="Symbol"/>
      </w:rPr>
    </w:lvl>
  </w:abstractNum>
  <w:abstractNum w:abstractNumId="44">
    <w:nsid w:val="7D63CFDE"/>
    <w:multiLevelType w:val="hybridMultilevel"/>
    <w:lvl w:ilvl="0" w:tplc="67EC2F54">
      <w:start w:val="1"/>
      <w:numFmt w:val="decimal"/>
      <w:suff w:val="tab"/>
      <w:lvlText w:val="%1."/>
      <w:lvlJc w:val="left"/>
      <w:pPr>
        <w:ind w:hanging="360" w:left="720"/>
      </w:pPr>
      <w:rPr/>
    </w:lvl>
    <w:lvl w:ilvl="1" w:tplc="7783E1D4">
      <w:start w:val="1"/>
      <w:numFmt w:val="decimal"/>
      <w:suff w:val="tab"/>
      <w:lvlText w:val="%2."/>
      <w:lvlJc w:val="left"/>
      <w:pPr>
        <w:ind w:hanging="360" w:left="1440"/>
      </w:pPr>
      <w:rPr/>
    </w:lvl>
    <w:lvl w:ilvl="2" w:tplc="70A270E4">
      <w:start w:val="1"/>
      <w:numFmt w:val="decimal"/>
      <w:suff w:val="tab"/>
      <w:lvlText w:val="%3."/>
      <w:lvlJc w:val="left"/>
      <w:pPr>
        <w:ind w:hanging="360" w:left="2160"/>
      </w:pPr>
      <w:rPr/>
    </w:lvl>
    <w:lvl w:ilvl="3" w:tplc="414484D6">
      <w:start w:val="1"/>
      <w:numFmt w:val="decimal"/>
      <w:suff w:val="tab"/>
      <w:lvlText w:val="%4."/>
      <w:lvlJc w:val="left"/>
      <w:pPr>
        <w:ind w:hanging="360" w:left="2880"/>
      </w:pPr>
      <w:rPr/>
    </w:lvl>
    <w:lvl w:ilvl="4" w:tplc="1840118B">
      <w:start w:val="1"/>
      <w:numFmt w:val="decimal"/>
      <w:suff w:val="tab"/>
      <w:lvlText w:val="%5."/>
      <w:lvlJc w:val="left"/>
      <w:pPr>
        <w:ind w:hanging="360" w:left="3600"/>
      </w:pPr>
      <w:rPr/>
    </w:lvl>
    <w:lvl w:ilvl="5" w:tplc="05D11C0C">
      <w:start w:val="1"/>
      <w:numFmt w:val="decimal"/>
      <w:suff w:val="tab"/>
      <w:lvlText w:val="%6."/>
      <w:lvlJc w:val="left"/>
      <w:pPr>
        <w:ind w:hanging="360" w:left="4320"/>
      </w:pPr>
      <w:rPr/>
    </w:lvl>
    <w:lvl w:ilvl="6" w:tplc="258B0B81">
      <w:start w:val="1"/>
      <w:numFmt w:val="decimal"/>
      <w:suff w:val="tab"/>
      <w:lvlText w:val="%7."/>
      <w:lvlJc w:val="left"/>
      <w:pPr>
        <w:ind w:hanging="360" w:left="5040"/>
      </w:pPr>
      <w:rPr/>
    </w:lvl>
    <w:lvl w:ilvl="7" w:tplc="632009E2">
      <w:start w:val="1"/>
      <w:numFmt w:val="decimal"/>
      <w:suff w:val="tab"/>
      <w:lvlText w:val="%8."/>
      <w:lvlJc w:val="left"/>
      <w:pPr>
        <w:ind w:hanging="360" w:left="5760"/>
      </w:pPr>
      <w:rPr/>
    </w:lvl>
    <w:lvl w:ilvl="8" w:tplc="2CA3A57A">
      <w:start w:val="1"/>
      <w:numFmt w:val="decimal"/>
      <w:suff w:val="tab"/>
      <w:lvlText w:val="%9."/>
      <w:lvlJc w:val="left"/>
      <w:pPr>
        <w:ind w:hanging="360" w:left="6480"/>
      </w:pPr>
      <w:rPr/>
    </w:lvl>
  </w:abstractNum>
  <w:abstractNum w:abstractNumId="45">
    <w:nsid w:val="644FC5EB"/>
    <w:multiLevelType w:val="hybridMultilevel"/>
    <w:lvl w:ilvl="0" w:tplc="358DD472">
      <w:start w:val="1"/>
      <w:numFmt w:val="bullet"/>
      <w:suff w:val="tab"/>
      <w:lvlText w:val="·"/>
      <w:lvlJc w:val="left"/>
      <w:pPr>
        <w:ind w:hanging="360" w:left="720"/>
      </w:pPr>
      <w:rPr>
        <w:rFonts w:ascii="Symbol" w:hAnsi="Symbol" w:cs="Symbol" w:eastAsia="Symbol"/>
      </w:rPr>
    </w:lvl>
    <w:lvl w:ilvl="1" w:tplc="04819DBD">
      <w:start w:val="1"/>
      <w:numFmt w:val="bullet"/>
      <w:suff w:val="tab"/>
      <w:lvlText w:val="o"/>
      <w:lvlJc w:val="left"/>
      <w:pPr>
        <w:ind w:hanging="360" w:left="1440"/>
      </w:pPr>
      <w:rPr>
        <w:rFonts w:ascii="Symbol" w:hAnsi="Symbol"/>
      </w:rPr>
    </w:lvl>
    <w:lvl w:ilvl="2" w:tplc="41AE973A">
      <w:start w:val="1"/>
      <w:numFmt w:val="bullet"/>
      <w:suff w:val="tab"/>
      <w:lvlText w:val="·"/>
      <w:lvlJc w:val="left"/>
      <w:pPr>
        <w:ind w:hanging="360" w:left="2160"/>
      </w:pPr>
      <w:rPr>
        <w:rFonts w:ascii="Symbol" w:hAnsi="Symbol"/>
      </w:rPr>
    </w:lvl>
    <w:lvl w:ilvl="3" w:tplc="4E156224">
      <w:start w:val="1"/>
      <w:numFmt w:val="bullet"/>
      <w:suff w:val="tab"/>
      <w:lvlText w:val="o"/>
      <w:lvlJc w:val="left"/>
      <w:pPr>
        <w:ind w:hanging="360" w:left="2880"/>
      </w:pPr>
      <w:rPr>
        <w:rFonts w:ascii="Symbol" w:hAnsi="Symbol"/>
      </w:rPr>
    </w:lvl>
    <w:lvl w:ilvl="4" w:tplc="75B970AE">
      <w:start w:val="1"/>
      <w:numFmt w:val="bullet"/>
      <w:suff w:val="tab"/>
      <w:lvlText w:val="·"/>
      <w:lvlJc w:val="left"/>
      <w:pPr>
        <w:ind w:hanging="360" w:left="3600"/>
      </w:pPr>
      <w:rPr>
        <w:rFonts w:ascii="Symbol" w:hAnsi="Symbol"/>
      </w:rPr>
    </w:lvl>
    <w:lvl w:ilvl="5" w:tplc="03FD8E14">
      <w:start w:val="1"/>
      <w:numFmt w:val="bullet"/>
      <w:suff w:val="tab"/>
      <w:lvlText w:val="o"/>
      <w:lvlJc w:val="left"/>
      <w:pPr>
        <w:ind w:hanging="360" w:left="4320"/>
      </w:pPr>
      <w:rPr>
        <w:rFonts w:ascii="Symbol" w:hAnsi="Symbol"/>
      </w:rPr>
    </w:lvl>
    <w:lvl w:ilvl="6" w:tplc="1D1E7107">
      <w:start w:val="1"/>
      <w:numFmt w:val="bullet"/>
      <w:suff w:val="tab"/>
      <w:lvlText w:val="·"/>
      <w:lvlJc w:val="left"/>
      <w:pPr>
        <w:ind w:hanging="360" w:left="5040"/>
      </w:pPr>
      <w:rPr>
        <w:rFonts w:ascii="Symbol" w:hAnsi="Symbol"/>
      </w:rPr>
    </w:lvl>
    <w:lvl w:ilvl="7" w:tplc="1A0FBA54">
      <w:start w:val="1"/>
      <w:numFmt w:val="bullet"/>
      <w:suff w:val="tab"/>
      <w:lvlText w:val="o"/>
      <w:lvlJc w:val="left"/>
      <w:pPr>
        <w:ind w:hanging="360" w:left="5760"/>
      </w:pPr>
      <w:rPr>
        <w:rFonts w:ascii="Symbol" w:hAnsi="Symbol"/>
      </w:rPr>
    </w:lvl>
    <w:lvl w:ilvl="8" w:tplc="7AA124E8">
      <w:start w:val="1"/>
      <w:numFmt w:val="bullet"/>
      <w:suff w:val="tab"/>
      <w:lvlText w:val="·"/>
      <w:lvlJc w:val="left"/>
      <w:pPr>
        <w:ind w:hanging="360" w:left="6480"/>
      </w:pPr>
      <w:rPr>
        <w:rFonts w:ascii="Symbol" w:hAnsi="Symbol"/>
      </w:rPr>
    </w:lvl>
  </w:abstractNum>
  <w:abstractNum w:abstractNumId="46">
    <w:nsid w:val="540767E4"/>
    <w:multiLevelType w:val="hybridMultilevel"/>
    <w:lvl w:ilvl="0" w:tplc="0E20BC07">
      <w:start w:val="1"/>
      <w:numFmt w:val="bullet"/>
      <w:suff w:val="tab"/>
      <w:lvlText w:val="·"/>
      <w:lvlJc w:val="left"/>
      <w:pPr>
        <w:ind w:hanging="360" w:left="720"/>
      </w:pPr>
      <w:rPr>
        <w:rFonts w:ascii="Symbol" w:hAnsi="Symbol" w:cs="Symbol" w:eastAsia="Symbol"/>
      </w:rPr>
    </w:lvl>
    <w:lvl w:ilvl="1" w:tplc="593507D5">
      <w:start w:val="1"/>
      <w:numFmt w:val="bullet"/>
      <w:suff w:val="tab"/>
      <w:lvlText w:val="o"/>
      <w:lvlJc w:val="left"/>
      <w:pPr>
        <w:ind w:hanging="360" w:left="1440"/>
      </w:pPr>
      <w:rPr>
        <w:rFonts w:ascii="Symbol" w:hAnsi="Symbol"/>
      </w:rPr>
    </w:lvl>
    <w:lvl w:ilvl="2" w:tplc="3A089130">
      <w:start w:val="1"/>
      <w:numFmt w:val="bullet"/>
      <w:suff w:val="tab"/>
      <w:lvlText w:val="·"/>
      <w:lvlJc w:val="left"/>
      <w:pPr>
        <w:ind w:hanging="360" w:left="2160"/>
      </w:pPr>
      <w:rPr>
        <w:rFonts w:ascii="Symbol" w:hAnsi="Symbol"/>
      </w:rPr>
    </w:lvl>
    <w:lvl w:ilvl="3" w:tplc="7FEA85BE">
      <w:start w:val="1"/>
      <w:numFmt w:val="bullet"/>
      <w:suff w:val="tab"/>
      <w:lvlText w:val="o"/>
      <w:lvlJc w:val="left"/>
      <w:pPr>
        <w:ind w:hanging="360" w:left="2880"/>
      </w:pPr>
      <w:rPr>
        <w:rFonts w:ascii="Symbol" w:hAnsi="Symbol"/>
      </w:rPr>
    </w:lvl>
    <w:lvl w:ilvl="4" w:tplc="176D3D48">
      <w:start w:val="1"/>
      <w:numFmt w:val="bullet"/>
      <w:suff w:val="tab"/>
      <w:lvlText w:val="·"/>
      <w:lvlJc w:val="left"/>
      <w:pPr>
        <w:ind w:hanging="360" w:left="3600"/>
      </w:pPr>
      <w:rPr>
        <w:rFonts w:ascii="Symbol" w:hAnsi="Symbol"/>
      </w:rPr>
    </w:lvl>
    <w:lvl w:ilvl="5" w:tplc="5DB239F2">
      <w:start w:val="1"/>
      <w:numFmt w:val="bullet"/>
      <w:suff w:val="tab"/>
      <w:lvlText w:val="o"/>
      <w:lvlJc w:val="left"/>
      <w:pPr>
        <w:ind w:hanging="360" w:left="4320"/>
      </w:pPr>
      <w:rPr>
        <w:rFonts w:ascii="Symbol" w:hAnsi="Symbol"/>
      </w:rPr>
    </w:lvl>
    <w:lvl w:ilvl="6" w:tplc="1F5BC6BC">
      <w:start w:val="1"/>
      <w:numFmt w:val="bullet"/>
      <w:suff w:val="tab"/>
      <w:lvlText w:val="·"/>
      <w:lvlJc w:val="left"/>
      <w:pPr>
        <w:ind w:hanging="360" w:left="5040"/>
      </w:pPr>
      <w:rPr>
        <w:rFonts w:ascii="Symbol" w:hAnsi="Symbol"/>
      </w:rPr>
    </w:lvl>
    <w:lvl w:ilvl="7" w:tplc="51C870EA">
      <w:start w:val="1"/>
      <w:numFmt w:val="bullet"/>
      <w:suff w:val="tab"/>
      <w:lvlText w:val="o"/>
      <w:lvlJc w:val="left"/>
      <w:pPr>
        <w:ind w:hanging="360" w:left="5760"/>
      </w:pPr>
      <w:rPr>
        <w:rFonts w:ascii="Symbol" w:hAnsi="Symbol"/>
      </w:rPr>
    </w:lvl>
    <w:lvl w:ilvl="8" w:tplc="742564BB">
      <w:start w:val="1"/>
      <w:numFmt w:val="bullet"/>
      <w:suff w:val="tab"/>
      <w:lvlText w:val="·"/>
      <w:lvlJc w:val="left"/>
      <w:pPr>
        <w:ind w:hanging="360" w:left="6480"/>
      </w:pPr>
      <w:rPr>
        <w:rFonts w:ascii="Symbol" w:hAnsi="Symbol"/>
      </w:rPr>
    </w:lvl>
  </w:abstractNum>
  <w:abstractNum w:abstractNumId="47">
    <w:nsid w:val="205DB366"/>
    <w:multiLevelType w:val="hybridMultilevel"/>
    <w:lvl w:ilvl="0" w:tplc="21475C7D">
      <w:start w:val="1"/>
      <w:numFmt w:val="bullet"/>
      <w:suff w:val="tab"/>
      <w:lvlText w:val="·"/>
      <w:lvlJc w:val="left"/>
      <w:pPr>
        <w:ind w:hanging="360" w:left="720"/>
      </w:pPr>
      <w:rPr>
        <w:rFonts w:ascii="Symbol" w:hAnsi="Symbol" w:cs="Symbol" w:eastAsia="Symbol"/>
      </w:rPr>
    </w:lvl>
    <w:lvl w:ilvl="1" w:tplc="553ECAE1">
      <w:start w:val="1"/>
      <w:numFmt w:val="bullet"/>
      <w:suff w:val="tab"/>
      <w:lvlText w:val="o"/>
      <w:lvlJc w:val="left"/>
      <w:pPr>
        <w:ind w:hanging="360" w:left="1440"/>
      </w:pPr>
      <w:rPr>
        <w:rFonts w:ascii="Symbol" w:hAnsi="Symbol"/>
      </w:rPr>
    </w:lvl>
    <w:lvl w:ilvl="2" w:tplc="1ABB4644">
      <w:start w:val="1"/>
      <w:numFmt w:val="bullet"/>
      <w:suff w:val="tab"/>
      <w:lvlText w:val="·"/>
      <w:lvlJc w:val="left"/>
      <w:pPr>
        <w:ind w:hanging="360" w:left="2160"/>
      </w:pPr>
      <w:rPr>
        <w:rFonts w:ascii="Symbol" w:hAnsi="Symbol"/>
      </w:rPr>
    </w:lvl>
    <w:lvl w:ilvl="3" w:tplc="3D2ED39E">
      <w:start w:val="1"/>
      <w:numFmt w:val="bullet"/>
      <w:suff w:val="tab"/>
      <w:lvlText w:val="o"/>
      <w:lvlJc w:val="left"/>
      <w:pPr>
        <w:ind w:hanging="360" w:left="2880"/>
      </w:pPr>
      <w:rPr>
        <w:rFonts w:ascii="Symbol" w:hAnsi="Symbol"/>
      </w:rPr>
    </w:lvl>
    <w:lvl w:ilvl="4" w:tplc="28F46778">
      <w:start w:val="1"/>
      <w:numFmt w:val="bullet"/>
      <w:suff w:val="tab"/>
      <w:lvlText w:val="·"/>
      <w:lvlJc w:val="left"/>
      <w:pPr>
        <w:ind w:hanging="360" w:left="3600"/>
      </w:pPr>
      <w:rPr>
        <w:rFonts w:ascii="Symbol" w:hAnsi="Symbol"/>
      </w:rPr>
    </w:lvl>
    <w:lvl w:ilvl="5" w:tplc="74CBD444">
      <w:start w:val="1"/>
      <w:numFmt w:val="bullet"/>
      <w:suff w:val="tab"/>
      <w:lvlText w:val="o"/>
      <w:lvlJc w:val="left"/>
      <w:pPr>
        <w:ind w:hanging="360" w:left="4320"/>
      </w:pPr>
      <w:rPr>
        <w:rFonts w:ascii="Symbol" w:hAnsi="Symbol"/>
      </w:rPr>
    </w:lvl>
    <w:lvl w:ilvl="6" w:tplc="1EC000BC">
      <w:start w:val="1"/>
      <w:numFmt w:val="bullet"/>
      <w:suff w:val="tab"/>
      <w:lvlText w:val="·"/>
      <w:lvlJc w:val="left"/>
      <w:pPr>
        <w:ind w:hanging="360" w:left="5040"/>
      </w:pPr>
      <w:rPr>
        <w:rFonts w:ascii="Symbol" w:hAnsi="Symbol"/>
      </w:rPr>
    </w:lvl>
    <w:lvl w:ilvl="7" w:tplc="76AA5B28">
      <w:start w:val="1"/>
      <w:numFmt w:val="bullet"/>
      <w:suff w:val="tab"/>
      <w:lvlText w:val="o"/>
      <w:lvlJc w:val="left"/>
      <w:pPr>
        <w:ind w:hanging="360" w:left="5760"/>
      </w:pPr>
      <w:rPr>
        <w:rFonts w:ascii="Symbol" w:hAnsi="Symbol"/>
      </w:rPr>
    </w:lvl>
    <w:lvl w:ilvl="8" w:tplc="19D68B15">
      <w:start w:val="1"/>
      <w:numFmt w:val="bullet"/>
      <w:suff w:val="tab"/>
      <w:lvlText w:val="·"/>
      <w:lvlJc w:val="left"/>
      <w:pPr>
        <w:ind w:hanging="360" w:left="6480"/>
      </w:pPr>
      <w:rPr>
        <w:rFonts w:ascii="Symbol" w:hAnsi="Symbol"/>
      </w:rPr>
    </w:lvl>
  </w:abstractNum>
  <w:abstractNum w:abstractNumId="48">
    <w:nsid w:val="16EDCE71"/>
    <w:multiLevelType w:val="hybridMultilevel"/>
    <w:lvl w:ilvl="0" w:tplc="1CD2C2EE">
      <w:start w:val="1"/>
      <w:numFmt w:val="bullet"/>
      <w:suff w:val="tab"/>
      <w:lvlText w:val="·"/>
      <w:lvlJc w:val="left"/>
      <w:pPr>
        <w:ind w:hanging="360" w:left="720"/>
      </w:pPr>
      <w:rPr>
        <w:rFonts w:ascii="Symbol" w:hAnsi="Symbol" w:cs="Symbol" w:eastAsia="Symbol"/>
      </w:rPr>
    </w:lvl>
    <w:lvl w:ilvl="1" w:tplc="10086943">
      <w:start w:val="1"/>
      <w:numFmt w:val="bullet"/>
      <w:suff w:val="tab"/>
      <w:lvlText w:val="o"/>
      <w:lvlJc w:val="left"/>
      <w:pPr>
        <w:ind w:hanging="360" w:left="1440"/>
      </w:pPr>
      <w:rPr>
        <w:rFonts w:ascii="Symbol" w:hAnsi="Symbol"/>
      </w:rPr>
    </w:lvl>
    <w:lvl w:ilvl="2" w:tplc="756F82CE">
      <w:start w:val="1"/>
      <w:numFmt w:val="bullet"/>
      <w:suff w:val="tab"/>
      <w:lvlText w:val="·"/>
      <w:lvlJc w:val="left"/>
      <w:pPr>
        <w:ind w:hanging="360" w:left="2160"/>
      </w:pPr>
      <w:rPr>
        <w:rFonts w:ascii="Symbol" w:hAnsi="Symbol"/>
      </w:rPr>
    </w:lvl>
    <w:lvl w:ilvl="3" w:tplc="5C7A90A9">
      <w:start w:val="1"/>
      <w:numFmt w:val="bullet"/>
      <w:suff w:val="tab"/>
      <w:lvlText w:val="o"/>
      <w:lvlJc w:val="left"/>
      <w:pPr>
        <w:ind w:hanging="360" w:left="2880"/>
      </w:pPr>
      <w:rPr>
        <w:rFonts w:ascii="Symbol" w:hAnsi="Symbol"/>
      </w:rPr>
    </w:lvl>
    <w:lvl w:ilvl="4" w:tplc="2F47BBB5">
      <w:start w:val="1"/>
      <w:numFmt w:val="bullet"/>
      <w:suff w:val="tab"/>
      <w:lvlText w:val="·"/>
      <w:lvlJc w:val="left"/>
      <w:pPr>
        <w:ind w:hanging="360" w:left="3600"/>
      </w:pPr>
      <w:rPr>
        <w:rFonts w:ascii="Symbol" w:hAnsi="Symbol"/>
      </w:rPr>
    </w:lvl>
    <w:lvl w:ilvl="5" w:tplc="51915367">
      <w:start w:val="1"/>
      <w:numFmt w:val="bullet"/>
      <w:suff w:val="tab"/>
      <w:lvlText w:val="o"/>
      <w:lvlJc w:val="left"/>
      <w:pPr>
        <w:ind w:hanging="360" w:left="4320"/>
      </w:pPr>
      <w:rPr>
        <w:rFonts w:ascii="Symbol" w:hAnsi="Symbol"/>
      </w:rPr>
    </w:lvl>
    <w:lvl w:ilvl="6" w:tplc="73049FED">
      <w:start w:val="1"/>
      <w:numFmt w:val="bullet"/>
      <w:suff w:val="tab"/>
      <w:lvlText w:val="·"/>
      <w:lvlJc w:val="left"/>
      <w:pPr>
        <w:ind w:hanging="360" w:left="5040"/>
      </w:pPr>
      <w:rPr>
        <w:rFonts w:ascii="Symbol" w:hAnsi="Symbol"/>
      </w:rPr>
    </w:lvl>
    <w:lvl w:ilvl="7" w:tplc="50EBB367">
      <w:start w:val="1"/>
      <w:numFmt w:val="bullet"/>
      <w:suff w:val="tab"/>
      <w:lvlText w:val="o"/>
      <w:lvlJc w:val="left"/>
      <w:pPr>
        <w:ind w:hanging="360" w:left="5760"/>
      </w:pPr>
      <w:rPr>
        <w:rFonts w:ascii="Symbol" w:hAnsi="Symbol"/>
      </w:rPr>
    </w:lvl>
    <w:lvl w:ilvl="8" w:tplc="6AE9ED4E">
      <w:start w:val="1"/>
      <w:numFmt w:val="bullet"/>
      <w:suff w:val="tab"/>
      <w:lvlText w:val="·"/>
      <w:lvlJc w:val="left"/>
      <w:pPr>
        <w:ind w:hanging="360" w:left="6480"/>
      </w:pPr>
      <w:rPr>
        <w:rFonts w:ascii="Symbol" w:hAnsi="Symbol"/>
      </w:rPr>
    </w:lvl>
  </w:abstractNum>
  <w:abstractNum w:abstractNumId="49">
    <w:nsid w:val="5732875F"/>
    <w:multiLevelType w:val="hybridMultilevel"/>
    <w:lvl w:ilvl="0" w:tplc="7A3E6C76">
      <w:start w:val="1"/>
      <w:numFmt w:val="bullet"/>
      <w:suff w:val="tab"/>
      <w:lvlText w:val="·"/>
      <w:lvlJc w:val="left"/>
      <w:pPr>
        <w:ind w:hanging="360" w:left="720"/>
      </w:pPr>
      <w:rPr>
        <w:rFonts w:ascii="Symbol" w:hAnsi="Symbol" w:cs="Symbol" w:eastAsia="Symbol"/>
      </w:rPr>
    </w:lvl>
    <w:lvl w:ilvl="1" w:tplc="084A1F75">
      <w:start w:val="1"/>
      <w:numFmt w:val="bullet"/>
      <w:suff w:val="tab"/>
      <w:lvlText w:val="o"/>
      <w:lvlJc w:val="left"/>
      <w:pPr>
        <w:ind w:hanging="360" w:left="1440"/>
      </w:pPr>
      <w:rPr>
        <w:rFonts w:ascii="Symbol" w:hAnsi="Symbol"/>
      </w:rPr>
    </w:lvl>
    <w:lvl w:ilvl="2" w:tplc="4F01186D">
      <w:start w:val="1"/>
      <w:numFmt w:val="bullet"/>
      <w:suff w:val="tab"/>
      <w:lvlText w:val="·"/>
      <w:lvlJc w:val="left"/>
      <w:pPr>
        <w:ind w:hanging="360" w:left="2160"/>
      </w:pPr>
      <w:rPr>
        <w:rFonts w:ascii="Symbol" w:hAnsi="Symbol"/>
      </w:rPr>
    </w:lvl>
    <w:lvl w:ilvl="3" w:tplc="327A3661">
      <w:start w:val="1"/>
      <w:numFmt w:val="bullet"/>
      <w:suff w:val="tab"/>
      <w:lvlText w:val="o"/>
      <w:lvlJc w:val="left"/>
      <w:pPr>
        <w:ind w:hanging="360" w:left="2880"/>
      </w:pPr>
      <w:rPr>
        <w:rFonts w:ascii="Symbol" w:hAnsi="Symbol"/>
      </w:rPr>
    </w:lvl>
    <w:lvl w:ilvl="4" w:tplc="5BE080C6">
      <w:start w:val="1"/>
      <w:numFmt w:val="bullet"/>
      <w:suff w:val="tab"/>
      <w:lvlText w:val="·"/>
      <w:lvlJc w:val="left"/>
      <w:pPr>
        <w:ind w:hanging="360" w:left="3600"/>
      </w:pPr>
      <w:rPr>
        <w:rFonts w:ascii="Symbol" w:hAnsi="Symbol"/>
      </w:rPr>
    </w:lvl>
    <w:lvl w:ilvl="5" w:tplc="46CD2375">
      <w:start w:val="1"/>
      <w:numFmt w:val="bullet"/>
      <w:suff w:val="tab"/>
      <w:lvlText w:val="o"/>
      <w:lvlJc w:val="left"/>
      <w:pPr>
        <w:ind w:hanging="360" w:left="4320"/>
      </w:pPr>
      <w:rPr>
        <w:rFonts w:ascii="Symbol" w:hAnsi="Symbol"/>
      </w:rPr>
    </w:lvl>
    <w:lvl w:ilvl="6" w:tplc="6D32E0C9">
      <w:start w:val="1"/>
      <w:numFmt w:val="bullet"/>
      <w:suff w:val="tab"/>
      <w:lvlText w:val="·"/>
      <w:lvlJc w:val="left"/>
      <w:pPr>
        <w:ind w:hanging="360" w:left="5040"/>
      </w:pPr>
      <w:rPr>
        <w:rFonts w:ascii="Symbol" w:hAnsi="Symbol"/>
      </w:rPr>
    </w:lvl>
    <w:lvl w:ilvl="7" w:tplc="26E1C77D">
      <w:start w:val="1"/>
      <w:numFmt w:val="bullet"/>
      <w:suff w:val="tab"/>
      <w:lvlText w:val="o"/>
      <w:lvlJc w:val="left"/>
      <w:pPr>
        <w:ind w:hanging="360" w:left="5760"/>
      </w:pPr>
      <w:rPr>
        <w:rFonts w:ascii="Symbol" w:hAnsi="Symbol"/>
      </w:rPr>
    </w:lvl>
    <w:lvl w:ilvl="8" w:tplc="6A0D9867">
      <w:start w:val="1"/>
      <w:numFmt w:val="bullet"/>
      <w:suff w:val="tab"/>
      <w:lvlText w:val="·"/>
      <w:lvlJc w:val="left"/>
      <w:pPr>
        <w:ind w:hanging="360" w:left="6480"/>
      </w:pPr>
      <w:rPr>
        <w:rFonts w:ascii="Symbol" w:hAnsi="Symbol"/>
      </w:rPr>
    </w:lvl>
  </w:abstractNum>
  <w:abstractNum w:abstractNumId="50">
    <w:nsid w:val="1EB2CF25"/>
    <w:multiLevelType w:val="hybridMultilevel"/>
    <w:lvl w:ilvl="0" w:tplc="7E1AB031">
      <w:start w:val="1"/>
      <w:numFmt w:val="bullet"/>
      <w:suff w:val="tab"/>
      <w:lvlText w:val="·"/>
      <w:lvlJc w:val="left"/>
      <w:pPr>
        <w:ind w:hanging="360" w:left="720"/>
      </w:pPr>
      <w:rPr>
        <w:rFonts w:ascii="Symbol" w:hAnsi="Symbol" w:cs="Symbol" w:eastAsia="Symbol"/>
      </w:rPr>
    </w:lvl>
    <w:lvl w:ilvl="1" w:tplc="22FC6B17">
      <w:start w:val="1"/>
      <w:numFmt w:val="bullet"/>
      <w:suff w:val="tab"/>
      <w:lvlText w:val="o"/>
      <w:lvlJc w:val="left"/>
      <w:pPr>
        <w:ind w:hanging="360" w:left="1440"/>
      </w:pPr>
      <w:rPr>
        <w:rFonts w:ascii="Symbol" w:hAnsi="Symbol"/>
      </w:rPr>
    </w:lvl>
    <w:lvl w:ilvl="2" w:tplc="0D8EAE18">
      <w:start w:val="1"/>
      <w:numFmt w:val="bullet"/>
      <w:suff w:val="tab"/>
      <w:lvlText w:val="·"/>
      <w:lvlJc w:val="left"/>
      <w:pPr>
        <w:ind w:hanging="360" w:left="2160"/>
      </w:pPr>
      <w:rPr>
        <w:rFonts w:ascii="Symbol" w:hAnsi="Symbol"/>
      </w:rPr>
    </w:lvl>
    <w:lvl w:ilvl="3" w:tplc="286DBA73">
      <w:start w:val="1"/>
      <w:numFmt w:val="bullet"/>
      <w:suff w:val="tab"/>
      <w:lvlText w:val="o"/>
      <w:lvlJc w:val="left"/>
      <w:pPr>
        <w:ind w:hanging="360" w:left="2880"/>
      </w:pPr>
      <w:rPr>
        <w:rFonts w:ascii="Symbol" w:hAnsi="Symbol"/>
      </w:rPr>
    </w:lvl>
    <w:lvl w:ilvl="4" w:tplc="555960B9">
      <w:start w:val="1"/>
      <w:numFmt w:val="bullet"/>
      <w:suff w:val="tab"/>
      <w:lvlText w:val="·"/>
      <w:lvlJc w:val="left"/>
      <w:pPr>
        <w:ind w:hanging="360" w:left="3600"/>
      </w:pPr>
      <w:rPr>
        <w:rFonts w:ascii="Symbol" w:hAnsi="Symbol"/>
      </w:rPr>
    </w:lvl>
    <w:lvl w:ilvl="5" w:tplc="457BECAE">
      <w:start w:val="1"/>
      <w:numFmt w:val="bullet"/>
      <w:suff w:val="tab"/>
      <w:lvlText w:val="o"/>
      <w:lvlJc w:val="left"/>
      <w:pPr>
        <w:ind w:hanging="360" w:left="4320"/>
      </w:pPr>
      <w:rPr>
        <w:rFonts w:ascii="Symbol" w:hAnsi="Symbol"/>
      </w:rPr>
    </w:lvl>
    <w:lvl w:ilvl="6" w:tplc="0FB23A88">
      <w:start w:val="1"/>
      <w:numFmt w:val="bullet"/>
      <w:suff w:val="tab"/>
      <w:lvlText w:val="·"/>
      <w:lvlJc w:val="left"/>
      <w:pPr>
        <w:ind w:hanging="360" w:left="5040"/>
      </w:pPr>
      <w:rPr>
        <w:rFonts w:ascii="Symbol" w:hAnsi="Symbol"/>
      </w:rPr>
    </w:lvl>
    <w:lvl w:ilvl="7" w:tplc="08059563">
      <w:start w:val="1"/>
      <w:numFmt w:val="bullet"/>
      <w:suff w:val="tab"/>
      <w:lvlText w:val="o"/>
      <w:lvlJc w:val="left"/>
      <w:pPr>
        <w:ind w:hanging="360" w:left="5760"/>
      </w:pPr>
      <w:rPr>
        <w:rFonts w:ascii="Symbol" w:hAnsi="Symbol"/>
      </w:rPr>
    </w:lvl>
    <w:lvl w:ilvl="8" w:tplc="54A91D24">
      <w:start w:val="1"/>
      <w:numFmt w:val="bullet"/>
      <w:suff w:val="tab"/>
      <w:lvlText w:val="·"/>
      <w:lvlJc w:val="left"/>
      <w:pPr>
        <w:ind w:hanging="360" w:left="6480"/>
      </w:pPr>
      <w:rPr>
        <w:rFonts w:ascii="Symbol" w:hAnsi="Symbol"/>
      </w:rPr>
    </w:lvl>
  </w:abstractNum>
  <w:abstractNum w:abstractNumId="51">
    <w:nsid w:val="2C8EF86A"/>
    <w:multiLevelType w:val="hybridMultilevel"/>
    <w:lvl w:ilvl="0" w:tplc="627CA05A">
      <w:start w:val="1"/>
      <w:numFmt w:val="bullet"/>
      <w:suff w:val="tab"/>
      <w:lvlText w:val="·"/>
      <w:lvlJc w:val="left"/>
      <w:pPr>
        <w:ind w:hanging="360" w:left="720"/>
      </w:pPr>
      <w:rPr>
        <w:rFonts w:ascii="Symbol" w:hAnsi="Symbol" w:cs="Symbol" w:eastAsia="Symbol"/>
      </w:rPr>
    </w:lvl>
    <w:lvl w:ilvl="1" w:tplc="3F1B26FC">
      <w:start w:val="1"/>
      <w:numFmt w:val="bullet"/>
      <w:suff w:val="tab"/>
      <w:lvlText w:val="o"/>
      <w:lvlJc w:val="left"/>
      <w:pPr>
        <w:ind w:hanging="360" w:left="1440"/>
      </w:pPr>
      <w:rPr>
        <w:rFonts w:ascii="Symbol" w:hAnsi="Symbol"/>
      </w:rPr>
    </w:lvl>
    <w:lvl w:ilvl="2" w:tplc="7810D98E">
      <w:start w:val="1"/>
      <w:numFmt w:val="bullet"/>
      <w:suff w:val="tab"/>
      <w:lvlText w:val="·"/>
      <w:lvlJc w:val="left"/>
      <w:pPr>
        <w:ind w:hanging="360" w:left="2160"/>
      </w:pPr>
      <w:rPr>
        <w:rFonts w:ascii="Symbol" w:hAnsi="Symbol"/>
      </w:rPr>
    </w:lvl>
    <w:lvl w:ilvl="3" w:tplc="66219B70">
      <w:start w:val="1"/>
      <w:numFmt w:val="bullet"/>
      <w:suff w:val="tab"/>
      <w:lvlText w:val="o"/>
      <w:lvlJc w:val="left"/>
      <w:pPr>
        <w:ind w:hanging="360" w:left="2880"/>
      </w:pPr>
      <w:rPr>
        <w:rFonts w:ascii="Symbol" w:hAnsi="Symbol"/>
      </w:rPr>
    </w:lvl>
    <w:lvl w:ilvl="4" w:tplc="65EDDDD9">
      <w:start w:val="1"/>
      <w:numFmt w:val="bullet"/>
      <w:suff w:val="tab"/>
      <w:lvlText w:val="·"/>
      <w:lvlJc w:val="left"/>
      <w:pPr>
        <w:ind w:hanging="360" w:left="3600"/>
      </w:pPr>
      <w:rPr>
        <w:rFonts w:ascii="Symbol" w:hAnsi="Symbol"/>
      </w:rPr>
    </w:lvl>
    <w:lvl w:ilvl="5" w:tplc="539F7CD0">
      <w:start w:val="1"/>
      <w:numFmt w:val="bullet"/>
      <w:suff w:val="tab"/>
      <w:lvlText w:val="o"/>
      <w:lvlJc w:val="left"/>
      <w:pPr>
        <w:ind w:hanging="360" w:left="4320"/>
      </w:pPr>
      <w:rPr>
        <w:rFonts w:ascii="Symbol" w:hAnsi="Symbol"/>
      </w:rPr>
    </w:lvl>
    <w:lvl w:ilvl="6" w:tplc="552709C9">
      <w:start w:val="1"/>
      <w:numFmt w:val="bullet"/>
      <w:suff w:val="tab"/>
      <w:lvlText w:val="·"/>
      <w:lvlJc w:val="left"/>
      <w:pPr>
        <w:ind w:hanging="360" w:left="5040"/>
      </w:pPr>
      <w:rPr>
        <w:rFonts w:ascii="Symbol" w:hAnsi="Symbol"/>
      </w:rPr>
    </w:lvl>
    <w:lvl w:ilvl="7" w:tplc="027E604B">
      <w:start w:val="1"/>
      <w:numFmt w:val="bullet"/>
      <w:suff w:val="tab"/>
      <w:lvlText w:val="o"/>
      <w:lvlJc w:val="left"/>
      <w:pPr>
        <w:ind w:hanging="360" w:left="5760"/>
      </w:pPr>
      <w:rPr>
        <w:rFonts w:ascii="Symbol" w:hAnsi="Symbol"/>
      </w:rPr>
    </w:lvl>
    <w:lvl w:ilvl="8" w:tplc="62103344">
      <w:start w:val="1"/>
      <w:numFmt w:val="bullet"/>
      <w:suff w:val="tab"/>
      <w:lvlText w:val="·"/>
      <w:lvlJc w:val="left"/>
      <w:pPr>
        <w:ind w:hanging="360" w:left="6480"/>
      </w:pPr>
      <w:rPr>
        <w:rFonts w:ascii="Symbol" w:hAnsi="Symbol"/>
      </w:rPr>
    </w:lvl>
  </w:abstractNum>
  <w:abstractNum w:abstractNumId="52">
    <w:nsid w:val="4AB750DE"/>
    <w:multiLevelType w:val="hybridMultilevel"/>
    <w:lvl w:ilvl="0" w:tplc="106B0937">
      <w:start w:val="1"/>
      <w:numFmt w:val="bullet"/>
      <w:suff w:val="tab"/>
      <w:lvlText w:val="·"/>
      <w:lvlJc w:val="left"/>
      <w:pPr>
        <w:ind w:hanging="360" w:left="720"/>
      </w:pPr>
      <w:rPr>
        <w:rFonts w:ascii="Symbol" w:hAnsi="Symbol" w:cs="Symbol" w:eastAsia="Symbol"/>
      </w:rPr>
    </w:lvl>
    <w:lvl w:ilvl="1" w:tplc="23781137">
      <w:start w:val="1"/>
      <w:numFmt w:val="bullet"/>
      <w:suff w:val="tab"/>
      <w:lvlText w:val="o"/>
      <w:lvlJc w:val="left"/>
      <w:pPr>
        <w:ind w:hanging="360" w:left="1440"/>
      </w:pPr>
      <w:rPr>
        <w:rFonts w:ascii="Symbol" w:hAnsi="Symbol"/>
      </w:rPr>
    </w:lvl>
    <w:lvl w:ilvl="2" w:tplc="4B31E970">
      <w:start w:val="1"/>
      <w:numFmt w:val="bullet"/>
      <w:suff w:val="tab"/>
      <w:lvlText w:val="·"/>
      <w:lvlJc w:val="left"/>
      <w:pPr>
        <w:ind w:hanging="360" w:left="2160"/>
      </w:pPr>
      <w:rPr>
        <w:rFonts w:ascii="Symbol" w:hAnsi="Symbol"/>
      </w:rPr>
    </w:lvl>
    <w:lvl w:ilvl="3" w:tplc="35AD04CB">
      <w:start w:val="1"/>
      <w:numFmt w:val="bullet"/>
      <w:suff w:val="tab"/>
      <w:lvlText w:val="o"/>
      <w:lvlJc w:val="left"/>
      <w:pPr>
        <w:ind w:hanging="360" w:left="2880"/>
      </w:pPr>
      <w:rPr>
        <w:rFonts w:ascii="Symbol" w:hAnsi="Symbol"/>
      </w:rPr>
    </w:lvl>
    <w:lvl w:ilvl="4" w:tplc="1C58EFEC">
      <w:start w:val="1"/>
      <w:numFmt w:val="bullet"/>
      <w:suff w:val="tab"/>
      <w:lvlText w:val="·"/>
      <w:lvlJc w:val="left"/>
      <w:pPr>
        <w:ind w:hanging="360" w:left="3600"/>
      </w:pPr>
      <w:rPr>
        <w:rFonts w:ascii="Symbol" w:hAnsi="Symbol"/>
      </w:rPr>
    </w:lvl>
    <w:lvl w:ilvl="5" w:tplc="0F908E23">
      <w:start w:val="1"/>
      <w:numFmt w:val="bullet"/>
      <w:suff w:val="tab"/>
      <w:lvlText w:val="o"/>
      <w:lvlJc w:val="left"/>
      <w:pPr>
        <w:ind w:hanging="360" w:left="4320"/>
      </w:pPr>
      <w:rPr>
        <w:rFonts w:ascii="Symbol" w:hAnsi="Symbol"/>
      </w:rPr>
    </w:lvl>
    <w:lvl w:ilvl="6" w:tplc="779C7CAB">
      <w:start w:val="1"/>
      <w:numFmt w:val="bullet"/>
      <w:suff w:val="tab"/>
      <w:lvlText w:val="·"/>
      <w:lvlJc w:val="left"/>
      <w:pPr>
        <w:ind w:hanging="360" w:left="5040"/>
      </w:pPr>
      <w:rPr>
        <w:rFonts w:ascii="Symbol" w:hAnsi="Symbol"/>
      </w:rPr>
    </w:lvl>
    <w:lvl w:ilvl="7" w:tplc="07C21F47">
      <w:start w:val="1"/>
      <w:numFmt w:val="bullet"/>
      <w:suff w:val="tab"/>
      <w:lvlText w:val="o"/>
      <w:lvlJc w:val="left"/>
      <w:pPr>
        <w:ind w:hanging="360" w:left="5760"/>
      </w:pPr>
      <w:rPr>
        <w:rFonts w:ascii="Symbol" w:hAnsi="Symbol"/>
      </w:rPr>
    </w:lvl>
    <w:lvl w:ilvl="8" w:tplc="7D3AB93B">
      <w:start w:val="1"/>
      <w:numFmt w:val="bullet"/>
      <w:suff w:val="tab"/>
      <w:lvlText w:val="·"/>
      <w:lvlJc w:val="left"/>
      <w:pPr>
        <w:ind w:hanging="360" w:left="6480"/>
      </w:pPr>
      <w:rPr>
        <w:rFonts w:ascii="Symbol" w:hAnsi="Symbol"/>
      </w:rPr>
    </w:lvl>
  </w:abstractNum>
  <w:abstractNum w:abstractNumId="53">
    <w:nsid w:val="1C47BAA5"/>
    <w:multiLevelType w:val="hybridMultilevel"/>
    <w:lvl w:ilvl="0" w:tplc="34986CE1">
      <w:start w:val="1"/>
      <w:numFmt w:val="bullet"/>
      <w:suff w:val="tab"/>
      <w:lvlText w:val="·"/>
      <w:lvlJc w:val="left"/>
      <w:pPr>
        <w:ind w:hanging="360" w:left="720"/>
      </w:pPr>
      <w:rPr>
        <w:rFonts w:ascii="Symbol" w:hAnsi="Symbol" w:cs="Symbol" w:eastAsia="Symbol"/>
      </w:rPr>
    </w:lvl>
    <w:lvl w:ilvl="1" w:tplc="1FE4C4DA">
      <w:start w:val="1"/>
      <w:numFmt w:val="bullet"/>
      <w:suff w:val="tab"/>
      <w:lvlText w:val="o"/>
      <w:lvlJc w:val="left"/>
      <w:pPr>
        <w:ind w:hanging="360" w:left="1440"/>
      </w:pPr>
      <w:rPr>
        <w:rFonts w:ascii="Symbol" w:hAnsi="Symbol"/>
      </w:rPr>
    </w:lvl>
    <w:lvl w:ilvl="2" w:tplc="2A01DF2D">
      <w:start w:val="1"/>
      <w:numFmt w:val="bullet"/>
      <w:suff w:val="tab"/>
      <w:lvlText w:val="·"/>
      <w:lvlJc w:val="left"/>
      <w:pPr>
        <w:ind w:hanging="360" w:left="2160"/>
      </w:pPr>
      <w:rPr>
        <w:rFonts w:ascii="Symbol" w:hAnsi="Symbol"/>
      </w:rPr>
    </w:lvl>
    <w:lvl w:ilvl="3" w:tplc="1B17BFA1">
      <w:start w:val="1"/>
      <w:numFmt w:val="bullet"/>
      <w:suff w:val="tab"/>
      <w:lvlText w:val="o"/>
      <w:lvlJc w:val="left"/>
      <w:pPr>
        <w:ind w:hanging="360" w:left="2880"/>
      </w:pPr>
      <w:rPr>
        <w:rFonts w:ascii="Symbol" w:hAnsi="Symbol"/>
      </w:rPr>
    </w:lvl>
    <w:lvl w:ilvl="4" w:tplc="112AB74E">
      <w:start w:val="1"/>
      <w:numFmt w:val="bullet"/>
      <w:suff w:val="tab"/>
      <w:lvlText w:val="·"/>
      <w:lvlJc w:val="left"/>
      <w:pPr>
        <w:ind w:hanging="360" w:left="3600"/>
      </w:pPr>
      <w:rPr>
        <w:rFonts w:ascii="Symbol" w:hAnsi="Symbol"/>
      </w:rPr>
    </w:lvl>
    <w:lvl w:ilvl="5" w:tplc="18F386F2">
      <w:start w:val="1"/>
      <w:numFmt w:val="bullet"/>
      <w:suff w:val="tab"/>
      <w:lvlText w:val="o"/>
      <w:lvlJc w:val="left"/>
      <w:pPr>
        <w:ind w:hanging="360" w:left="4320"/>
      </w:pPr>
      <w:rPr>
        <w:rFonts w:ascii="Symbol" w:hAnsi="Symbol"/>
      </w:rPr>
    </w:lvl>
    <w:lvl w:ilvl="6" w:tplc="01B7E8BB">
      <w:start w:val="1"/>
      <w:numFmt w:val="bullet"/>
      <w:suff w:val="tab"/>
      <w:lvlText w:val="·"/>
      <w:lvlJc w:val="left"/>
      <w:pPr>
        <w:ind w:hanging="360" w:left="5040"/>
      </w:pPr>
      <w:rPr>
        <w:rFonts w:ascii="Symbol" w:hAnsi="Symbol"/>
      </w:rPr>
    </w:lvl>
    <w:lvl w:ilvl="7" w:tplc="5DC8449C">
      <w:start w:val="1"/>
      <w:numFmt w:val="bullet"/>
      <w:suff w:val="tab"/>
      <w:lvlText w:val="o"/>
      <w:lvlJc w:val="left"/>
      <w:pPr>
        <w:ind w:hanging="360" w:left="5760"/>
      </w:pPr>
      <w:rPr>
        <w:rFonts w:ascii="Symbol" w:hAnsi="Symbol"/>
      </w:rPr>
    </w:lvl>
    <w:lvl w:ilvl="8" w:tplc="1B812F89">
      <w:start w:val="1"/>
      <w:numFmt w:val="bullet"/>
      <w:suff w:val="tab"/>
      <w:lvlText w:val="·"/>
      <w:lvlJc w:val="left"/>
      <w:pPr>
        <w:ind w:hanging="360" w:left="6480"/>
      </w:pPr>
      <w:rPr>
        <w:rFonts w:ascii="Symbol" w:hAnsi="Symbol"/>
      </w:rPr>
    </w:lvl>
  </w:abstractNum>
  <w:abstractNum w:abstractNumId="54">
    <w:nsid w:val="65DE3667"/>
    <w:multiLevelType w:val="hybridMultilevel"/>
    <w:lvl w:ilvl="0" w:tplc="6C5CB2D0">
      <w:start w:val="1"/>
      <w:numFmt w:val="bullet"/>
      <w:suff w:val="tab"/>
      <w:lvlText w:val="·"/>
      <w:lvlJc w:val="left"/>
      <w:pPr>
        <w:ind w:hanging="360" w:left="720"/>
      </w:pPr>
      <w:rPr>
        <w:rFonts w:ascii="Symbol" w:hAnsi="Symbol" w:cs="Symbol" w:eastAsia="Symbol"/>
      </w:rPr>
    </w:lvl>
    <w:lvl w:ilvl="1" w:tplc="3520990A">
      <w:start w:val="1"/>
      <w:numFmt w:val="bullet"/>
      <w:suff w:val="tab"/>
      <w:lvlText w:val="o"/>
      <w:lvlJc w:val="left"/>
      <w:pPr>
        <w:ind w:hanging="360" w:left="1440"/>
      </w:pPr>
      <w:rPr>
        <w:rFonts w:ascii="Symbol" w:hAnsi="Symbol"/>
      </w:rPr>
    </w:lvl>
    <w:lvl w:ilvl="2" w:tplc="79B0DA19">
      <w:start w:val="1"/>
      <w:numFmt w:val="bullet"/>
      <w:suff w:val="tab"/>
      <w:lvlText w:val="·"/>
      <w:lvlJc w:val="left"/>
      <w:pPr>
        <w:ind w:hanging="360" w:left="2160"/>
      </w:pPr>
      <w:rPr>
        <w:rFonts w:ascii="Symbol" w:hAnsi="Symbol"/>
      </w:rPr>
    </w:lvl>
    <w:lvl w:ilvl="3" w:tplc="16C9447E">
      <w:start w:val="1"/>
      <w:numFmt w:val="bullet"/>
      <w:suff w:val="tab"/>
      <w:lvlText w:val="o"/>
      <w:lvlJc w:val="left"/>
      <w:pPr>
        <w:ind w:hanging="360" w:left="2880"/>
      </w:pPr>
      <w:rPr>
        <w:rFonts w:ascii="Symbol" w:hAnsi="Symbol"/>
      </w:rPr>
    </w:lvl>
    <w:lvl w:ilvl="4" w:tplc="23AF474A">
      <w:start w:val="1"/>
      <w:numFmt w:val="bullet"/>
      <w:suff w:val="tab"/>
      <w:lvlText w:val="·"/>
      <w:lvlJc w:val="left"/>
      <w:pPr>
        <w:ind w:hanging="360" w:left="3600"/>
      </w:pPr>
      <w:rPr>
        <w:rFonts w:ascii="Symbol" w:hAnsi="Symbol"/>
      </w:rPr>
    </w:lvl>
    <w:lvl w:ilvl="5" w:tplc="2B64D3D8">
      <w:start w:val="1"/>
      <w:numFmt w:val="bullet"/>
      <w:suff w:val="tab"/>
      <w:lvlText w:val="o"/>
      <w:lvlJc w:val="left"/>
      <w:pPr>
        <w:ind w:hanging="360" w:left="4320"/>
      </w:pPr>
      <w:rPr>
        <w:rFonts w:ascii="Symbol" w:hAnsi="Symbol"/>
      </w:rPr>
    </w:lvl>
    <w:lvl w:ilvl="6" w:tplc="1C6A5E8B">
      <w:start w:val="1"/>
      <w:numFmt w:val="bullet"/>
      <w:suff w:val="tab"/>
      <w:lvlText w:val="·"/>
      <w:lvlJc w:val="left"/>
      <w:pPr>
        <w:ind w:hanging="360" w:left="5040"/>
      </w:pPr>
      <w:rPr>
        <w:rFonts w:ascii="Symbol" w:hAnsi="Symbol"/>
      </w:rPr>
    </w:lvl>
    <w:lvl w:ilvl="7" w:tplc="698A9DDF">
      <w:start w:val="1"/>
      <w:numFmt w:val="bullet"/>
      <w:suff w:val="tab"/>
      <w:lvlText w:val="o"/>
      <w:lvlJc w:val="left"/>
      <w:pPr>
        <w:ind w:hanging="360" w:left="5760"/>
      </w:pPr>
      <w:rPr>
        <w:rFonts w:ascii="Symbol" w:hAnsi="Symbol"/>
      </w:rPr>
    </w:lvl>
    <w:lvl w:ilvl="8" w:tplc="3A398B24">
      <w:start w:val="1"/>
      <w:numFmt w:val="bullet"/>
      <w:suff w:val="tab"/>
      <w:lvlText w:val="·"/>
      <w:lvlJc w:val="left"/>
      <w:pPr>
        <w:ind w:hanging="360" w:left="6480"/>
      </w:pPr>
      <w:rPr>
        <w:rFonts w:ascii="Symbol" w:hAnsi="Symbol"/>
      </w:rPr>
    </w:lvl>
  </w:abstractNum>
  <w:abstractNum w:abstractNumId="55">
    <w:nsid w:val="5CFD4536"/>
    <w:multiLevelType w:val="hybridMultilevel"/>
    <w:lvl w:ilvl="0" w:tplc="1A7DBB9C">
      <w:start w:val="1"/>
      <w:numFmt w:val="bullet"/>
      <w:suff w:val="tab"/>
      <w:lvlText w:val="·"/>
      <w:lvlJc w:val="left"/>
      <w:pPr>
        <w:ind w:hanging="360" w:left="720"/>
      </w:pPr>
      <w:rPr>
        <w:rFonts w:ascii="Symbol" w:hAnsi="Symbol" w:cs="Symbol" w:eastAsia="Symbol"/>
      </w:rPr>
    </w:lvl>
    <w:lvl w:ilvl="1" w:tplc="6071FA08">
      <w:start w:val="1"/>
      <w:numFmt w:val="bullet"/>
      <w:suff w:val="tab"/>
      <w:lvlText w:val="o"/>
      <w:lvlJc w:val="left"/>
      <w:pPr>
        <w:ind w:hanging="360" w:left="1440"/>
      </w:pPr>
      <w:rPr>
        <w:rFonts w:ascii="Symbol" w:hAnsi="Symbol"/>
      </w:rPr>
    </w:lvl>
    <w:lvl w:ilvl="2" w:tplc="7D7FB28D">
      <w:start w:val="1"/>
      <w:numFmt w:val="bullet"/>
      <w:suff w:val="tab"/>
      <w:lvlText w:val="·"/>
      <w:lvlJc w:val="left"/>
      <w:pPr>
        <w:ind w:hanging="360" w:left="2160"/>
      </w:pPr>
      <w:rPr>
        <w:rFonts w:ascii="Symbol" w:hAnsi="Symbol"/>
      </w:rPr>
    </w:lvl>
    <w:lvl w:ilvl="3" w:tplc="4DD6B994">
      <w:start w:val="1"/>
      <w:numFmt w:val="bullet"/>
      <w:suff w:val="tab"/>
      <w:lvlText w:val="o"/>
      <w:lvlJc w:val="left"/>
      <w:pPr>
        <w:ind w:hanging="360" w:left="2880"/>
      </w:pPr>
      <w:rPr>
        <w:rFonts w:ascii="Symbol" w:hAnsi="Symbol"/>
      </w:rPr>
    </w:lvl>
    <w:lvl w:ilvl="4" w:tplc="213690DA">
      <w:start w:val="1"/>
      <w:numFmt w:val="bullet"/>
      <w:suff w:val="tab"/>
      <w:lvlText w:val="·"/>
      <w:lvlJc w:val="left"/>
      <w:pPr>
        <w:ind w:hanging="360" w:left="3600"/>
      </w:pPr>
      <w:rPr>
        <w:rFonts w:ascii="Symbol" w:hAnsi="Symbol"/>
      </w:rPr>
    </w:lvl>
    <w:lvl w:ilvl="5" w:tplc="2B891C2D">
      <w:start w:val="1"/>
      <w:numFmt w:val="bullet"/>
      <w:suff w:val="tab"/>
      <w:lvlText w:val="o"/>
      <w:lvlJc w:val="left"/>
      <w:pPr>
        <w:ind w:hanging="360" w:left="4320"/>
      </w:pPr>
      <w:rPr>
        <w:rFonts w:ascii="Symbol" w:hAnsi="Symbol"/>
      </w:rPr>
    </w:lvl>
    <w:lvl w:ilvl="6" w:tplc="5ABB1930">
      <w:start w:val="1"/>
      <w:numFmt w:val="bullet"/>
      <w:suff w:val="tab"/>
      <w:lvlText w:val="·"/>
      <w:lvlJc w:val="left"/>
      <w:pPr>
        <w:ind w:hanging="360" w:left="5040"/>
      </w:pPr>
      <w:rPr>
        <w:rFonts w:ascii="Symbol" w:hAnsi="Symbol"/>
      </w:rPr>
    </w:lvl>
    <w:lvl w:ilvl="7" w:tplc="1C3A78AE">
      <w:start w:val="1"/>
      <w:numFmt w:val="bullet"/>
      <w:suff w:val="tab"/>
      <w:lvlText w:val="o"/>
      <w:lvlJc w:val="left"/>
      <w:pPr>
        <w:ind w:hanging="360" w:left="5760"/>
      </w:pPr>
      <w:rPr>
        <w:rFonts w:ascii="Symbol" w:hAnsi="Symbol"/>
      </w:rPr>
    </w:lvl>
    <w:lvl w:ilvl="8" w:tplc="3E3BD615">
      <w:start w:val="1"/>
      <w:numFmt w:val="bullet"/>
      <w:suff w:val="tab"/>
      <w:lvlText w:val="·"/>
      <w:lvlJc w:val="left"/>
      <w:pPr>
        <w:ind w:hanging="360" w:left="6480"/>
      </w:pPr>
      <w:rPr>
        <w:rFonts w:ascii="Symbol" w:hAnsi="Symbol"/>
      </w:rPr>
    </w:lvl>
  </w:abstractNum>
  <w:abstractNum w:abstractNumId="56">
    <w:nsid w:val="40C01004"/>
    <w:multiLevelType w:val="hybridMultilevel"/>
    <w:lvl w:ilvl="0" w:tplc="0AAF0D30">
      <w:start w:val="1"/>
      <w:numFmt w:val="bullet"/>
      <w:suff w:val="tab"/>
      <w:lvlText w:val="·"/>
      <w:lvlJc w:val="left"/>
      <w:pPr>
        <w:ind w:hanging="360" w:left="720"/>
      </w:pPr>
      <w:rPr>
        <w:rFonts w:ascii="Symbol" w:hAnsi="Symbol" w:cs="Symbol" w:eastAsia="Symbol"/>
      </w:rPr>
    </w:lvl>
    <w:lvl w:ilvl="1" w:tplc="2E0FB842">
      <w:start w:val="1"/>
      <w:numFmt w:val="bullet"/>
      <w:suff w:val="tab"/>
      <w:lvlText w:val="o"/>
      <w:lvlJc w:val="left"/>
      <w:pPr>
        <w:ind w:hanging="360" w:left="1440"/>
      </w:pPr>
      <w:rPr>
        <w:rFonts w:ascii="Symbol" w:hAnsi="Symbol"/>
      </w:rPr>
    </w:lvl>
    <w:lvl w:ilvl="2" w:tplc="5F05BD20">
      <w:start w:val="1"/>
      <w:numFmt w:val="bullet"/>
      <w:suff w:val="tab"/>
      <w:lvlText w:val="·"/>
      <w:lvlJc w:val="left"/>
      <w:pPr>
        <w:ind w:hanging="360" w:left="2160"/>
      </w:pPr>
      <w:rPr>
        <w:rFonts w:ascii="Symbol" w:hAnsi="Symbol"/>
      </w:rPr>
    </w:lvl>
    <w:lvl w:ilvl="3" w:tplc="0817AD45">
      <w:start w:val="1"/>
      <w:numFmt w:val="bullet"/>
      <w:suff w:val="tab"/>
      <w:lvlText w:val="o"/>
      <w:lvlJc w:val="left"/>
      <w:pPr>
        <w:ind w:hanging="360" w:left="2880"/>
      </w:pPr>
      <w:rPr>
        <w:rFonts w:ascii="Symbol" w:hAnsi="Symbol"/>
      </w:rPr>
    </w:lvl>
    <w:lvl w:ilvl="4" w:tplc="5D22F439">
      <w:start w:val="1"/>
      <w:numFmt w:val="bullet"/>
      <w:suff w:val="tab"/>
      <w:lvlText w:val="·"/>
      <w:lvlJc w:val="left"/>
      <w:pPr>
        <w:ind w:hanging="360" w:left="3600"/>
      </w:pPr>
      <w:rPr>
        <w:rFonts w:ascii="Symbol" w:hAnsi="Symbol"/>
      </w:rPr>
    </w:lvl>
    <w:lvl w:ilvl="5" w:tplc="282F4DAC">
      <w:start w:val="1"/>
      <w:numFmt w:val="bullet"/>
      <w:suff w:val="tab"/>
      <w:lvlText w:val="o"/>
      <w:lvlJc w:val="left"/>
      <w:pPr>
        <w:ind w:hanging="360" w:left="4320"/>
      </w:pPr>
      <w:rPr>
        <w:rFonts w:ascii="Symbol" w:hAnsi="Symbol"/>
      </w:rPr>
    </w:lvl>
    <w:lvl w:ilvl="6" w:tplc="518C26FC">
      <w:start w:val="1"/>
      <w:numFmt w:val="bullet"/>
      <w:suff w:val="tab"/>
      <w:lvlText w:val="·"/>
      <w:lvlJc w:val="left"/>
      <w:pPr>
        <w:ind w:hanging="360" w:left="5040"/>
      </w:pPr>
      <w:rPr>
        <w:rFonts w:ascii="Symbol" w:hAnsi="Symbol"/>
      </w:rPr>
    </w:lvl>
    <w:lvl w:ilvl="7" w:tplc="4094CBD0">
      <w:start w:val="1"/>
      <w:numFmt w:val="bullet"/>
      <w:suff w:val="tab"/>
      <w:lvlText w:val="o"/>
      <w:lvlJc w:val="left"/>
      <w:pPr>
        <w:ind w:hanging="360" w:left="5760"/>
      </w:pPr>
      <w:rPr>
        <w:rFonts w:ascii="Symbol" w:hAnsi="Symbol"/>
      </w:rPr>
    </w:lvl>
    <w:lvl w:ilvl="8" w:tplc="146D824B">
      <w:start w:val="1"/>
      <w:numFmt w:val="bullet"/>
      <w:suff w:val="tab"/>
      <w:lvlText w:val="·"/>
      <w:lvlJc w:val="left"/>
      <w:pPr>
        <w:ind w:hanging="360" w:left="6480"/>
      </w:pPr>
      <w:rPr>
        <w:rFonts w:ascii="Symbol" w:hAnsi="Symbol"/>
      </w:rPr>
    </w:lvl>
  </w:abstractNum>
  <w:abstractNum w:abstractNumId="57">
    <w:nsid w:val="6069E718"/>
    <w:multiLevelType w:val="hybridMultilevel"/>
    <w:lvl w:ilvl="0" w:tplc="20B33F46">
      <w:start w:val="1"/>
      <w:numFmt w:val="bullet"/>
      <w:suff w:val="tab"/>
      <w:lvlText w:val="·"/>
      <w:lvlJc w:val="left"/>
      <w:pPr>
        <w:ind w:hanging="360" w:left="720"/>
      </w:pPr>
      <w:rPr>
        <w:rFonts w:ascii="Symbol" w:hAnsi="Symbol" w:cs="Symbol" w:eastAsia="Symbol"/>
      </w:rPr>
    </w:lvl>
    <w:lvl w:ilvl="1" w:tplc="656E156C">
      <w:start w:val="1"/>
      <w:numFmt w:val="bullet"/>
      <w:suff w:val="tab"/>
      <w:lvlText w:val="o"/>
      <w:lvlJc w:val="left"/>
      <w:pPr>
        <w:ind w:hanging="360" w:left="1440"/>
      </w:pPr>
      <w:rPr>
        <w:rFonts w:ascii="Symbol" w:hAnsi="Symbol"/>
      </w:rPr>
    </w:lvl>
    <w:lvl w:ilvl="2" w:tplc="3004B588">
      <w:start w:val="1"/>
      <w:numFmt w:val="bullet"/>
      <w:suff w:val="tab"/>
      <w:lvlText w:val="·"/>
      <w:lvlJc w:val="left"/>
      <w:pPr>
        <w:ind w:hanging="360" w:left="2160"/>
      </w:pPr>
      <w:rPr>
        <w:rFonts w:ascii="Symbol" w:hAnsi="Symbol"/>
      </w:rPr>
    </w:lvl>
    <w:lvl w:ilvl="3" w:tplc="53BD0CE3">
      <w:start w:val="1"/>
      <w:numFmt w:val="bullet"/>
      <w:suff w:val="tab"/>
      <w:lvlText w:val="o"/>
      <w:lvlJc w:val="left"/>
      <w:pPr>
        <w:ind w:hanging="360" w:left="2880"/>
      </w:pPr>
      <w:rPr>
        <w:rFonts w:ascii="Symbol" w:hAnsi="Symbol"/>
      </w:rPr>
    </w:lvl>
    <w:lvl w:ilvl="4" w:tplc="7DAF25C1">
      <w:start w:val="1"/>
      <w:numFmt w:val="bullet"/>
      <w:suff w:val="tab"/>
      <w:lvlText w:val="·"/>
      <w:lvlJc w:val="left"/>
      <w:pPr>
        <w:ind w:hanging="360" w:left="3600"/>
      </w:pPr>
      <w:rPr>
        <w:rFonts w:ascii="Symbol" w:hAnsi="Symbol"/>
      </w:rPr>
    </w:lvl>
    <w:lvl w:ilvl="5" w:tplc="0CEB631A">
      <w:start w:val="1"/>
      <w:numFmt w:val="bullet"/>
      <w:suff w:val="tab"/>
      <w:lvlText w:val="o"/>
      <w:lvlJc w:val="left"/>
      <w:pPr>
        <w:ind w:hanging="360" w:left="4320"/>
      </w:pPr>
      <w:rPr>
        <w:rFonts w:ascii="Symbol" w:hAnsi="Symbol"/>
      </w:rPr>
    </w:lvl>
    <w:lvl w:ilvl="6" w:tplc="5F5EC1AF">
      <w:start w:val="1"/>
      <w:numFmt w:val="bullet"/>
      <w:suff w:val="tab"/>
      <w:lvlText w:val="·"/>
      <w:lvlJc w:val="left"/>
      <w:pPr>
        <w:ind w:hanging="360" w:left="5040"/>
      </w:pPr>
      <w:rPr>
        <w:rFonts w:ascii="Symbol" w:hAnsi="Symbol"/>
      </w:rPr>
    </w:lvl>
    <w:lvl w:ilvl="7" w:tplc="693EC895">
      <w:start w:val="1"/>
      <w:numFmt w:val="bullet"/>
      <w:suff w:val="tab"/>
      <w:lvlText w:val="o"/>
      <w:lvlJc w:val="left"/>
      <w:pPr>
        <w:ind w:hanging="360" w:left="5760"/>
      </w:pPr>
      <w:rPr>
        <w:rFonts w:ascii="Symbol" w:hAnsi="Symbol"/>
      </w:rPr>
    </w:lvl>
    <w:lvl w:ilvl="8" w:tplc="2FAFA9EC">
      <w:start w:val="1"/>
      <w:numFmt w:val="bullet"/>
      <w:suff w:val="tab"/>
      <w:lvlText w:val="·"/>
      <w:lvlJc w:val="left"/>
      <w:pPr>
        <w:ind w:hanging="360" w:left="6480"/>
      </w:pPr>
      <w:rPr>
        <w:rFonts w:ascii="Symbol" w:hAnsi="Symbol"/>
      </w:rPr>
    </w:lvl>
  </w:abstractNum>
  <w:abstractNum w:abstractNumId="58">
    <w:nsid w:val="29DFC8B4"/>
    <w:multiLevelType w:val="hybridMultilevel"/>
    <w:lvl w:ilvl="0" w:tplc="611B8B05">
      <w:start w:val="1"/>
      <w:numFmt w:val="bullet"/>
      <w:suff w:val="tab"/>
      <w:lvlText w:val="·"/>
      <w:lvlJc w:val="left"/>
      <w:pPr>
        <w:ind w:hanging="360" w:left="720"/>
      </w:pPr>
      <w:rPr>
        <w:rFonts w:ascii="Symbol" w:hAnsi="Symbol" w:cs="Symbol" w:eastAsia="Symbol"/>
      </w:rPr>
    </w:lvl>
    <w:lvl w:ilvl="1" w:tplc="4C37656C">
      <w:start w:val="1"/>
      <w:numFmt w:val="bullet"/>
      <w:suff w:val="tab"/>
      <w:lvlText w:val="o"/>
      <w:lvlJc w:val="left"/>
      <w:pPr>
        <w:ind w:hanging="360" w:left="1440"/>
      </w:pPr>
      <w:rPr>
        <w:rFonts w:ascii="Symbol" w:hAnsi="Symbol"/>
      </w:rPr>
    </w:lvl>
    <w:lvl w:ilvl="2" w:tplc="642F5876">
      <w:start w:val="1"/>
      <w:numFmt w:val="bullet"/>
      <w:suff w:val="tab"/>
      <w:lvlText w:val="·"/>
      <w:lvlJc w:val="left"/>
      <w:pPr>
        <w:ind w:hanging="360" w:left="2160"/>
      </w:pPr>
      <w:rPr>
        <w:rFonts w:ascii="Symbol" w:hAnsi="Symbol"/>
      </w:rPr>
    </w:lvl>
    <w:lvl w:ilvl="3" w:tplc="3615372C">
      <w:start w:val="1"/>
      <w:numFmt w:val="bullet"/>
      <w:suff w:val="tab"/>
      <w:lvlText w:val="o"/>
      <w:lvlJc w:val="left"/>
      <w:pPr>
        <w:ind w:hanging="360" w:left="2880"/>
      </w:pPr>
      <w:rPr>
        <w:rFonts w:ascii="Symbol" w:hAnsi="Symbol"/>
      </w:rPr>
    </w:lvl>
    <w:lvl w:ilvl="4" w:tplc="17297272">
      <w:start w:val="1"/>
      <w:numFmt w:val="bullet"/>
      <w:suff w:val="tab"/>
      <w:lvlText w:val="·"/>
      <w:lvlJc w:val="left"/>
      <w:pPr>
        <w:ind w:hanging="360" w:left="3600"/>
      </w:pPr>
      <w:rPr>
        <w:rFonts w:ascii="Symbol" w:hAnsi="Symbol"/>
      </w:rPr>
    </w:lvl>
    <w:lvl w:ilvl="5" w:tplc="17892295">
      <w:start w:val="1"/>
      <w:numFmt w:val="bullet"/>
      <w:suff w:val="tab"/>
      <w:lvlText w:val="o"/>
      <w:lvlJc w:val="left"/>
      <w:pPr>
        <w:ind w:hanging="360" w:left="4320"/>
      </w:pPr>
      <w:rPr>
        <w:rFonts w:ascii="Symbol" w:hAnsi="Symbol"/>
      </w:rPr>
    </w:lvl>
    <w:lvl w:ilvl="6" w:tplc="032158B8">
      <w:start w:val="1"/>
      <w:numFmt w:val="bullet"/>
      <w:suff w:val="tab"/>
      <w:lvlText w:val="·"/>
      <w:lvlJc w:val="left"/>
      <w:pPr>
        <w:ind w:hanging="360" w:left="5040"/>
      </w:pPr>
      <w:rPr>
        <w:rFonts w:ascii="Symbol" w:hAnsi="Symbol"/>
      </w:rPr>
    </w:lvl>
    <w:lvl w:ilvl="7" w:tplc="7F7808B6">
      <w:start w:val="1"/>
      <w:numFmt w:val="bullet"/>
      <w:suff w:val="tab"/>
      <w:lvlText w:val="o"/>
      <w:lvlJc w:val="left"/>
      <w:pPr>
        <w:ind w:hanging="360" w:left="5760"/>
      </w:pPr>
      <w:rPr>
        <w:rFonts w:ascii="Symbol" w:hAnsi="Symbol"/>
      </w:rPr>
    </w:lvl>
    <w:lvl w:ilvl="8" w:tplc="6094D96C">
      <w:start w:val="1"/>
      <w:numFmt w:val="bullet"/>
      <w:suff w:val="tab"/>
      <w:lvlText w:val="·"/>
      <w:lvlJc w:val="left"/>
      <w:pPr>
        <w:ind w:hanging="360" w:left="6480"/>
      </w:pPr>
      <w:rPr>
        <w:rFonts w:ascii="Symbol" w:hAnsi="Symbol"/>
      </w:rPr>
    </w:lvl>
  </w:abstractNum>
  <w:abstractNum w:abstractNumId="59">
    <w:nsid w:val="208F46AD"/>
    <w:multiLevelType w:val="hybridMultilevel"/>
    <w:lvl w:ilvl="0" w:tplc="71B19B8B">
      <w:start w:val="1"/>
      <w:numFmt w:val="bullet"/>
      <w:suff w:val="tab"/>
      <w:lvlText w:val="·"/>
      <w:lvlJc w:val="left"/>
      <w:pPr>
        <w:ind w:hanging="360" w:left="720"/>
      </w:pPr>
      <w:rPr>
        <w:rFonts w:ascii="Symbol" w:hAnsi="Symbol" w:cs="Symbol" w:eastAsia="Symbol"/>
      </w:rPr>
    </w:lvl>
    <w:lvl w:ilvl="1" w:tplc="1E107897">
      <w:start w:val="1"/>
      <w:numFmt w:val="bullet"/>
      <w:suff w:val="tab"/>
      <w:lvlText w:val="o"/>
      <w:lvlJc w:val="left"/>
      <w:pPr>
        <w:ind w:hanging="360" w:left="1440"/>
      </w:pPr>
      <w:rPr>
        <w:rFonts w:ascii="Symbol" w:hAnsi="Symbol"/>
      </w:rPr>
    </w:lvl>
    <w:lvl w:ilvl="2" w:tplc="066751EE">
      <w:start w:val="1"/>
      <w:numFmt w:val="bullet"/>
      <w:suff w:val="tab"/>
      <w:lvlText w:val="·"/>
      <w:lvlJc w:val="left"/>
      <w:pPr>
        <w:ind w:hanging="360" w:left="2160"/>
      </w:pPr>
      <w:rPr>
        <w:rFonts w:ascii="Symbol" w:hAnsi="Symbol"/>
      </w:rPr>
    </w:lvl>
    <w:lvl w:ilvl="3" w:tplc="79BC6D22">
      <w:start w:val="1"/>
      <w:numFmt w:val="bullet"/>
      <w:suff w:val="tab"/>
      <w:lvlText w:val="o"/>
      <w:lvlJc w:val="left"/>
      <w:pPr>
        <w:ind w:hanging="360" w:left="2880"/>
      </w:pPr>
      <w:rPr>
        <w:rFonts w:ascii="Symbol" w:hAnsi="Symbol"/>
      </w:rPr>
    </w:lvl>
    <w:lvl w:ilvl="4" w:tplc="3404787C">
      <w:start w:val="1"/>
      <w:numFmt w:val="bullet"/>
      <w:suff w:val="tab"/>
      <w:lvlText w:val="·"/>
      <w:lvlJc w:val="left"/>
      <w:pPr>
        <w:ind w:hanging="360" w:left="3600"/>
      </w:pPr>
      <w:rPr>
        <w:rFonts w:ascii="Symbol" w:hAnsi="Symbol"/>
      </w:rPr>
    </w:lvl>
    <w:lvl w:ilvl="5" w:tplc="358D1F41">
      <w:start w:val="1"/>
      <w:numFmt w:val="bullet"/>
      <w:suff w:val="tab"/>
      <w:lvlText w:val="o"/>
      <w:lvlJc w:val="left"/>
      <w:pPr>
        <w:ind w:hanging="360" w:left="4320"/>
      </w:pPr>
      <w:rPr>
        <w:rFonts w:ascii="Symbol" w:hAnsi="Symbol"/>
      </w:rPr>
    </w:lvl>
    <w:lvl w:ilvl="6" w:tplc="60ADC284">
      <w:start w:val="1"/>
      <w:numFmt w:val="bullet"/>
      <w:suff w:val="tab"/>
      <w:lvlText w:val="·"/>
      <w:lvlJc w:val="left"/>
      <w:pPr>
        <w:ind w:hanging="360" w:left="5040"/>
      </w:pPr>
      <w:rPr>
        <w:rFonts w:ascii="Symbol" w:hAnsi="Symbol"/>
      </w:rPr>
    </w:lvl>
    <w:lvl w:ilvl="7" w:tplc="0C7EB0B5">
      <w:start w:val="1"/>
      <w:numFmt w:val="bullet"/>
      <w:suff w:val="tab"/>
      <w:lvlText w:val="o"/>
      <w:lvlJc w:val="left"/>
      <w:pPr>
        <w:ind w:hanging="360" w:left="5760"/>
      </w:pPr>
      <w:rPr>
        <w:rFonts w:ascii="Symbol" w:hAnsi="Symbol"/>
      </w:rPr>
    </w:lvl>
    <w:lvl w:ilvl="8" w:tplc="5049EE9E">
      <w:start w:val="1"/>
      <w:numFmt w:val="bullet"/>
      <w:suff w:val="tab"/>
      <w:lvlText w:val="·"/>
      <w:lvlJc w:val="left"/>
      <w:pPr>
        <w:ind w:hanging="360" w:left="6480"/>
      </w:pPr>
      <w:rPr>
        <w:rFonts w:ascii="Symbol" w:hAnsi="Symbol"/>
      </w:rPr>
    </w:lvl>
  </w:abstractNum>
  <w:abstractNum w:abstractNumId="60">
    <w:nsid w:val="44ADCC92"/>
    <w:multiLevelType w:val="hybridMultilevel"/>
    <w:lvl w:ilvl="0" w:tplc="12A69268">
      <w:start w:val="1"/>
      <w:numFmt w:val="bullet"/>
      <w:suff w:val="tab"/>
      <w:lvlText w:val="·"/>
      <w:lvlJc w:val="left"/>
      <w:pPr>
        <w:ind w:hanging="360" w:left="720"/>
      </w:pPr>
      <w:rPr>
        <w:rFonts w:ascii="Symbol" w:hAnsi="Symbol" w:cs="Symbol" w:eastAsia="Symbol"/>
      </w:rPr>
    </w:lvl>
    <w:lvl w:ilvl="1" w:tplc="72A062CA">
      <w:start w:val="1"/>
      <w:numFmt w:val="bullet"/>
      <w:suff w:val="tab"/>
      <w:lvlText w:val="o"/>
      <w:lvlJc w:val="left"/>
      <w:pPr>
        <w:ind w:hanging="360" w:left="1440"/>
      </w:pPr>
      <w:rPr>
        <w:rFonts w:ascii="Symbol" w:hAnsi="Symbol"/>
      </w:rPr>
    </w:lvl>
    <w:lvl w:ilvl="2" w:tplc="42CBDE9A">
      <w:start w:val="1"/>
      <w:numFmt w:val="bullet"/>
      <w:suff w:val="tab"/>
      <w:lvlText w:val="·"/>
      <w:lvlJc w:val="left"/>
      <w:pPr>
        <w:ind w:hanging="360" w:left="2160"/>
      </w:pPr>
      <w:rPr>
        <w:rFonts w:ascii="Symbol" w:hAnsi="Symbol"/>
      </w:rPr>
    </w:lvl>
    <w:lvl w:ilvl="3" w:tplc="05F94A97">
      <w:start w:val="1"/>
      <w:numFmt w:val="bullet"/>
      <w:suff w:val="tab"/>
      <w:lvlText w:val="o"/>
      <w:lvlJc w:val="left"/>
      <w:pPr>
        <w:ind w:hanging="360" w:left="2880"/>
      </w:pPr>
      <w:rPr>
        <w:rFonts w:ascii="Symbol" w:hAnsi="Symbol"/>
      </w:rPr>
    </w:lvl>
    <w:lvl w:ilvl="4" w:tplc="70063A6F">
      <w:start w:val="1"/>
      <w:numFmt w:val="bullet"/>
      <w:suff w:val="tab"/>
      <w:lvlText w:val="·"/>
      <w:lvlJc w:val="left"/>
      <w:pPr>
        <w:ind w:hanging="360" w:left="3600"/>
      </w:pPr>
      <w:rPr>
        <w:rFonts w:ascii="Symbol" w:hAnsi="Symbol"/>
      </w:rPr>
    </w:lvl>
    <w:lvl w:ilvl="5" w:tplc="095D9501">
      <w:start w:val="1"/>
      <w:numFmt w:val="bullet"/>
      <w:suff w:val="tab"/>
      <w:lvlText w:val="o"/>
      <w:lvlJc w:val="left"/>
      <w:pPr>
        <w:ind w:hanging="360" w:left="4320"/>
      </w:pPr>
      <w:rPr>
        <w:rFonts w:ascii="Symbol" w:hAnsi="Symbol"/>
      </w:rPr>
    </w:lvl>
    <w:lvl w:ilvl="6" w:tplc="3919BFED">
      <w:start w:val="1"/>
      <w:numFmt w:val="bullet"/>
      <w:suff w:val="tab"/>
      <w:lvlText w:val="·"/>
      <w:lvlJc w:val="left"/>
      <w:pPr>
        <w:ind w:hanging="360" w:left="5040"/>
      </w:pPr>
      <w:rPr>
        <w:rFonts w:ascii="Symbol" w:hAnsi="Symbol"/>
      </w:rPr>
    </w:lvl>
    <w:lvl w:ilvl="7" w:tplc="795DBA7C">
      <w:start w:val="1"/>
      <w:numFmt w:val="bullet"/>
      <w:suff w:val="tab"/>
      <w:lvlText w:val="o"/>
      <w:lvlJc w:val="left"/>
      <w:pPr>
        <w:ind w:hanging="360" w:left="5760"/>
      </w:pPr>
      <w:rPr>
        <w:rFonts w:ascii="Symbol" w:hAnsi="Symbol"/>
      </w:rPr>
    </w:lvl>
    <w:lvl w:ilvl="8" w:tplc="6351A968">
      <w:start w:val="1"/>
      <w:numFmt w:val="bullet"/>
      <w:suff w:val="tab"/>
      <w:lvlText w:val="·"/>
      <w:lvlJc w:val="left"/>
      <w:pPr>
        <w:ind w:hanging="360" w:left="6480"/>
      </w:pPr>
      <w:rPr>
        <w:rFonts w:ascii="Symbol" w:hAnsi="Symbol"/>
      </w:rPr>
    </w:lvl>
  </w:abstractNum>
  <w:abstractNum w:abstractNumId="61">
    <w:nsid w:val="6F7D0639"/>
    <w:multiLevelType w:val="hybridMultilevel"/>
    <w:lvl w:ilvl="0" w:tplc="6B9D3385">
      <w:start w:val="1"/>
      <w:numFmt w:val="bullet"/>
      <w:suff w:val="tab"/>
      <w:lvlText w:val="·"/>
      <w:lvlJc w:val="left"/>
      <w:pPr>
        <w:ind w:hanging="360" w:left="720"/>
      </w:pPr>
      <w:rPr>
        <w:rFonts w:ascii="Symbol" w:hAnsi="Symbol" w:cs="Symbol" w:eastAsia="Symbol"/>
      </w:rPr>
    </w:lvl>
    <w:lvl w:ilvl="1" w:tplc="2A9FF62F">
      <w:start w:val="1"/>
      <w:numFmt w:val="bullet"/>
      <w:suff w:val="tab"/>
      <w:lvlText w:val="o"/>
      <w:lvlJc w:val="left"/>
      <w:pPr>
        <w:ind w:hanging="360" w:left="1440"/>
      </w:pPr>
      <w:rPr>
        <w:rFonts w:ascii="Symbol" w:hAnsi="Symbol"/>
      </w:rPr>
    </w:lvl>
    <w:lvl w:ilvl="2" w:tplc="715DB7D9">
      <w:start w:val="1"/>
      <w:numFmt w:val="bullet"/>
      <w:suff w:val="tab"/>
      <w:lvlText w:val="·"/>
      <w:lvlJc w:val="left"/>
      <w:pPr>
        <w:ind w:hanging="360" w:left="2160"/>
      </w:pPr>
      <w:rPr>
        <w:rFonts w:ascii="Symbol" w:hAnsi="Symbol"/>
      </w:rPr>
    </w:lvl>
    <w:lvl w:ilvl="3" w:tplc="54F2C203">
      <w:start w:val="1"/>
      <w:numFmt w:val="bullet"/>
      <w:suff w:val="tab"/>
      <w:lvlText w:val="o"/>
      <w:lvlJc w:val="left"/>
      <w:pPr>
        <w:ind w:hanging="360" w:left="2880"/>
      </w:pPr>
      <w:rPr>
        <w:rFonts w:ascii="Symbol" w:hAnsi="Symbol"/>
      </w:rPr>
    </w:lvl>
    <w:lvl w:ilvl="4" w:tplc="6DEC6EB8">
      <w:start w:val="1"/>
      <w:numFmt w:val="bullet"/>
      <w:suff w:val="tab"/>
      <w:lvlText w:val="·"/>
      <w:lvlJc w:val="left"/>
      <w:pPr>
        <w:ind w:hanging="360" w:left="3600"/>
      </w:pPr>
      <w:rPr>
        <w:rFonts w:ascii="Symbol" w:hAnsi="Symbol"/>
      </w:rPr>
    </w:lvl>
    <w:lvl w:ilvl="5" w:tplc="4717AB76">
      <w:start w:val="1"/>
      <w:numFmt w:val="bullet"/>
      <w:suff w:val="tab"/>
      <w:lvlText w:val="o"/>
      <w:lvlJc w:val="left"/>
      <w:pPr>
        <w:ind w:hanging="360" w:left="4320"/>
      </w:pPr>
      <w:rPr>
        <w:rFonts w:ascii="Symbol" w:hAnsi="Symbol"/>
      </w:rPr>
    </w:lvl>
    <w:lvl w:ilvl="6" w:tplc="416CF3CD">
      <w:start w:val="1"/>
      <w:numFmt w:val="bullet"/>
      <w:suff w:val="tab"/>
      <w:lvlText w:val="·"/>
      <w:lvlJc w:val="left"/>
      <w:pPr>
        <w:ind w:hanging="360" w:left="5040"/>
      </w:pPr>
      <w:rPr>
        <w:rFonts w:ascii="Symbol" w:hAnsi="Symbol"/>
      </w:rPr>
    </w:lvl>
    <w:lvl w:ilvl="7" w:tplc="461DED07">
      <w:start w:val="1"/>
      <w:numFmt w:val="bullet"/>
      <w:suff w:val="tab"/>
      <w:lvlText w:val="o"/>
      <w:lvlJc w:val="left"/>
      <w:pPr>
        <w:ind w:hanging="360" w:left="5760"/>
      </w:pPr>
      <w:rPr>
        <w:rFonts w:ascii="Symbol" w:hAnsi="Symbol"/>
      </w:rPr>
    </w:lvl>
    <w:lvl w:ilvl="8" w:tplc="239C276A">
      <w:start w:val="1"/>
      <w:numFmt w:val="bullet"/>
      <w:suff w:val="tab"/>
      <w:lvlText w:val="·"/>
      <w:lvlJc w:val="left"/>
      <w:pPr>
        <w:ind w:hanging="360" w:left="6480"/>
      </w:pPr>
      <w:rPr>
        <w:rFonts w:ascii="Symbol" w:hAnsi="Symbol"/>
      </w:rPr>
    </w:lvl>
  </w:abstractNum>
  <w:abstractNum w:abstractNumId="62">
    <w:nsid w:val="438C8AA1"/>
    <w:multiLevelType w:val="hybridMultilevel"/>
    <w:lvl w:ilvl="0" w:tplc="56092EB5">
      <w:start w:val="1"/>
      <w:numFmt w:val="bullet"/>
      <w:suff w:val="tab"/>
      <w:lvlText w:val="·"/>
      <w:lvlJc w:val="left"/>
      <w:pPr>
        <w:ind w:hanging="360" w:left="720"/>
      </w:pPr>
      <w:rPr>
        <w:rFonts w:ascii="Symbol" w:hAnsi="Symbol" w:cs="Symbol" w:eastAsia="Symbol"/>
      </w:rPr>
    </w:lvl>
    <w:lvl w:ilvl="1" w:tplc="6E3D8E52">
      <w:start w:val="1"/>
      <w:numFmt w:val="bullet"/>
      <w:suff w:val="tab"/>
      <w:lvlText w:val="o"/>
      <w:lvlJc w:val="left"/>
      <w:pPr>
        <w:ind w:hanging="360" w:left="1440"/>
      </w:pPr>
      <w:rPr>
        <w:rFonts w:ascii="Symbol" w:hAnsi="Symbol"/>
      </w:rPr>
    </w:lvl>
    <w:lvl w:ilvl="2" w:tplc="1F25A45F">
      <w:start w:val="1"/>
      <w:numFmt w:val="bullet"/>
      <w:suff w:val="tab"/>
      <w:lvlText w:val="·"/>
      <w:lvlJc w:val="left"/>
      <w:pPr>
        <w:ind w:hanging="360" w:left="2160"/>
      </w:pPr>
      <w:rPr>
        <w:rFonts w:ascii="Symbol" w:hAnsi="Symbol"/>
      </w:rPr>
    </w:lvl>
    <w:lvl w:ilvl="3" w:tplc="003AEA27">
      <w:start w:val="1"/>
      <w:numFmt w:val="bullet"/>
      <w:suff w:val="tab"/>
      <w:lvlText w:val="o"/>
      <w:lvlJc w:val="left"/>
      <w:pPr>
        <w:ind w:hanging="360" w:left="2880"/>
      </w:pPr>
      <w:rPr>
        <w:rFonts w:ascii="Symbol" w:hAnsi="Symbol"/>
      </w:rPr>
    </w:lvl>
    <w:lvl w:ilvl="4" w:tplc="05106B06">
      <w:start w:val="1"/>
      <w:numFmt w:val="bullet"/>
      <w:suff w:val="tab"/>
      <w:lvlText w:val="·"/>
      <w:lvlJc w:val="left"/>
      <w:pPr>
        <w:ind w:hanging="360" w:left="3600"/>
      </w:pPr>
      <w:rPr>
        <w:rFonts w:ascii="Symbol" w:hAnsi="Symbol"/>
      </w:rPr>
    </w:lvl>
    <w:lvl w:ilvl="5" w:tplc="6A4528D3">
      <w:start w:val="1"/>
      <w:numFmt w:val="bullet"/>
      <w:suff w:val="tab"/>
      <w:lvlText w:val="o"/>
      <w:lvlJc w:val="left"/>
      <w:pPr>
        <w:ind w:hanging="360" w:left="4320"/>
      </w:pPr>
      <w:rPr>
        <w:rFonts w:ascii="Symbol" w:hAnsi="Symbol"/>
      </w:rPr>
    </w:lvl>
    <w:lvl w:ilvl="6" w:tplc="3A02241D">
      <w:start w:val="1"/>
      <w:numFmt w:val="bullet"/>
      <w:suff w:val="tab"/>
      <w:lvlText w:val="·"/>
      <w:lvlJc w:val="left"/>
      <w:pPr>
        <w:ind w:hanging="360" w:left="5040"/>
      </w:pPr>
      <w:rPr>
        <w:rFonts w:ascii="Symbol" w:hAnsi="Symbol"/>
      </w:rPr>
    </w:lvl>
    <w:lvl w:ilvl="7" w:tplc="5DF95AC8">
      <w:start w:val="1"/>
      <w:numFmt w:val="bullet"/>
      <w:suff w:val="tab"/>
      <w:lvlText w:val="o"/>
      <w:lvlJc w:val="left"/>
      <w:pPr>
        <w:ind w:hanging="360" w:left="5760"/>
      </w:pPr>
      <w:rPr>
        <w:rFonts w:ascii="Symbol" w:hAnsi="Symbol"/>
      </w:rPr>
    </w:lvl>
    <w:lvl w:ilvl="8" w:tplc="7A50B6B5">
      <w:start w:val="1"/>
      <w:numFmt w:val="bullet"/>
      <w:suff w:val="tab"/>
      <w:lvlText w:val="·"/>
      <w:lvlJc w:val="left"/>
      <w:pPr>
        <w:ind w:hanging="360" w:left="6480"/>
      </w:pPr>
      <w:rPr>
        <w:rFonts w:ascii="Symbol" w:hAnsi="Symbol"/>
      </w:rPr>
    </w:lvl>
  </w:abstractNum>
  <w:abstractNum w:abstractNumId="63">
    <w:nsid w:val="1AACDC77"/>
    <w:multiLevelType w:val="hybridMultilevel"/>
    <w:lvl w:ilvl="0" w:tplc="6825778D">
      <w:start w:val="1"/>
      <w:numFmt w:val="bullet"/>
      <w:suff w:val="tab"/>
      <w:lvlText w:val="·"/>
      <w:lvlJc w:val="left"/>
      <w:pPr>
        <w:ind w:hanging="360" w:left="720"/>
      </w:pPr>
      <w:rPr>
        <w:rFonts w:ascii="Symbol" w:hAnsi="Symbol" w:cs="Symbol" w:eastAsia="Symbol"/>
      </w:rPr>
    </w:lvl>
    <w:lvl w:ilvl="1" w:tplc="6F803ADD">
      <w:start w:val="1"/>
      <w:numFmt w:val="bullet"/>
      <w:suff w:val="tab"/>
      <w:lvlText w:val="o"/>
      <w:lvlJc w:val="left"/>
      <w:pPr>
        <w:ind w:hanging="360" w:left="1440"/>
      </w:pPr>
      <w:rPr>
        <w:rFonts w:ascii="Symbol" w:hAnsi="Symbol"/>
      </w:rPr>
    </w:lvl>
    <w:lvl w:ilvl="2" w:tplc="795F4B2E">
      <w:start w:val="1"/>
      <w:numFmt w:val="bullet"/>
      <w:suff w:val="tab"/>
      <w:lvlText w:val="·"/>
      <w:lvlJc w:val="left"/>
      <w:pPr>
        <w:ind w:hanging="360" w:left="2160"/>
      </w:pPr>
      <w:rPr>
        <w:rFonts w:ascii="Symbol" w:hAnsi="Symbol"/>
      </w:rPr>
    </w:lvl>
    <w:lvl w:ilvl="3" w:tplc="7D26F2A5">
      <w:start w:val="1"/>
      <w:numFmt w:val="bullet"/>
      <w:suff w:val="tab"/>
      <w:lvlText w:val="o"/>
      <w:lvlJc w:val="left"/>
      <w:pPr>
        <w:ind w:hanging="360" w:left="2880"/>
      </w:pPr>
      <w:rPr>
        <w:rFonts w:ascii="Symbol" w:hAnsi="Symbol"/>
      </w:rPr>
    </w:lvl>
    <w:lvl w:ilvl="4" w:tplc="5C4EAE14">
      <w:start w:val="1"/>
      <w:numFmt w:val="bullet"/>
      <w:suff w:val="tab"/>
      <w:lvlText w:val="·"/>
      <w:lvlJc w:val="left"/>
      <w:pPr>
        <w:ind w:hanging="360" w:left="3600"/>
      </w:pPr>
      <w:rPr>
        <w:rFonts w:ascii="Symbol" w:hAnsi="Symbol"/>
      </w:rPr>
    </w:lvl>
    <w:lvl w:ilvl="5" w:tplc="07B57F37">
      <w:start w:val="1"/>
      <w:numFmt w:val="bullet"/>
      <w:suff w:val="tab"/>
      <w:lvlText w:val="o"/>
      <w:lvlJc w:val="left"/>
      <w:pPr>
        <w:ind w:hanging="360" w:left="4320"/>
      </w:pPr>
      <w:rPr>
        <w:rFonts w:ascii="Symbol" w:hAnsi="Symbol"/>
      </w:rPr>
    </w:lvl>
    <w:lvl w:ilvl="6" w:tplc="3D35CACC">
      <w:start w:val="1"/>
      <w:numFmt w:val="bullet"/>
      <w:suff w:val="tab"/>
      <w:lvlText w:val="·"/>
      <w:lvlJc w:val="left"/>
      <w:pPr>
        <w:ind w:hanging="360" w:left="5040"/>
      </w:pPr>
      <w:rPr>
        <w:rFonts w:ascii="Symbol" w:hAnsi="Symbol"/>
      </w:rPr>
    </w:lvl>
    <w:lvl w:ilvl="7" w:tplc="00DB5EAD">
      <w:start w:val="1"/>
      <w:numFmt w:val="bullet"/>
      <w:suff w:val="tab"/>
      <w:lvlText w:val="o"/>
      <w:lvlJc w:val="left"/>
      <w:pPr>
        <w:ind w:hanging="360" w:left="5760"/>
      </w:pPr>
      <w:rPr>
        <w:rFonts w:ascii="Symbol" w:hAnsi="Symbol"/>
      </w:rPr>
    </w:lvl>
    <w:lvl w:ilvl="8" w:tplc="5AB91E3D">
      <w:start w:val="1"/>
      <w:numFmt w:val="bullet"/>
      <w:suff w:val="tab"/>
      <w:lvlText w:val="·"/>
      <w:lvlJc w:val="left"/>
      <w:pPr>
        <w:ind w:hanging="360" w:left="6480"/>
      </w:pPr>
      <w:rPr>
        <w:rFonts w:ascii="Symbol" w:hAnsi="Symbol"/>
      </w:rPr>
    </w:lvl>
  </w:abstractNum>
  <w:abstractNum w:abstractNumId="64">
    <w:nsid w:val="118EBCBF"/>
    <w:multiLevelType w:val="hybridMultilevel"/>
    <w:lvl w:ilvl="0" w:tplc="51B1038E">
      <w:start w:val="1"/>
      <w:numFmt w:val="bullet"/>
      <w:suff w:val="tab"/>
      <w:lvlText w:val="·"/>
      <w:lvlJc w:val="left"/>
      <w:pPr>
        <w:ind w:hanging="360" w:left="720"/>
      </w:pPr>
      <w:rPr>
        <w:rFonts w:ascii="Symbol" w:hAnsi="Symbol" w:cs="Symbol" w:eastAsia="Symbol"/>
      </w:rPr>
    </w:lvl>
    <w:lvl w:ilvl="1" w:tplc="3693EFE9">
      <w:start w:val="1"/>
      <w:numFmt w:val="bullet"/>
      <w:suff w:val="tab"/>
      <w:lvlText w:val="o"/>
      <w:lvlJc w:val="left"/>
      <w:pPr>
        <w:ind w:hanging="360" w:left="1440"/>
      </w:pPr>
      <w:rPr>
        <w:rFonts w:ascii="Symbol" w:hAnsi="Symbol"/>
      </w:rPr>
    </w:lvl>
    <w:lvl w:ilvl="2" w:tplc="0698215E">
      <w:start w:val="1"/>
      <w:numFmt w:val="bullet"/>
      <w:suff w:val="tab"/>
      <w:lvlText w:val="·"/>
      <w:lvlJc w:val="left"/>
      <w:pPr>
        <w:ind w:hanging="360" w:left="2160"/>
      </w:pPr>
      <w:rPr>
        <w:rFonts w:ascii="Symbol" w:hAnsi="Symbol"/>
      </w:rPr>
    </w:lvl>
    <w:lvl w:ilvl="3" w:tplc="1CDF476D">
      <w:start w:val="1"/>
      <w:numFmt w:val="bullet"/>
      <w:suff w:val="tab"/>
      <w:lvlText w:val="o"/>
      <w:lvlJc w:val="left"/>
      <w:pPr>
        <w:ind w:hanging="360" w:left="2880"/>
      </w:pPr>
      <w:rPr>
        <w:rFonts w:ascii="Symbol" w:hAnsi="Symbol"/>
      </w:rPr>
    </w:lvl>
    <w:lvl w:ilvl="4" w:tplc="1E5E1961">
      <w:start w:val="1"/>
      <w:numFmt w:val="bullet"/>
      <w:suff w:val="tab"/>
      <w:lvlText w:val="·"/>
      <w:lvlJc w:val="left"/>
      <w:pPr>
        <w:ind w:hanging="360" w:left="3600"/>
      </w:pPr>
      <w:rPr>
        <w:rFonts w:ascii="Symbol" w:hAnsi="Symbol"/>
      </w:rPr>
    </w:lvl>
    <w:lvl w:ilvl="5" w:tplc="4C38D3D4">
      <w:start w:val="1"/>
      <w:numFmt w:val="bullet"/>
      <w:suff w:val="tab"/>
      <w:lvlText w:val="o"/>
      <w:lvlJc w:val="left"/>
      <w:pPr>
        <w:ind w:hanging="360" w:left="4320"/>
      </w:pPr>
      <w:rPr>
        <w:rFonts w:ascii="Symbol" w:hAnsi="Symbol"/>
      </w:rPr>
    </w:lvl>
    <w:lvl w:ilvl="6" w:tplc="42715635">
      <w:start w:val="1"/>
      <w:numFmt w:val="bullet"/>
      <w:suff w:val="tab"/>
      <w:lvlText w:val="·"/>
      <w:lvlJc w:val="left"/>
      <w:pPr>
        <w:ind w:hanging="360" w:left="5040"/>
      </w:pPr>
      <w:rPr>
        <w:rFonts w:ascii="Symbol" w:hAnsi="Symbol"/>
      </w:rPr>
    </w:lvl>
    <w:lvl w:ilvl="7" w:tplc="478CAA56">
      <w:start w:val="1"/>
      <w:numFmt w:val="bullet"/>
      <w:suff w:val="tab"/>
      <w:lvlText w:val="o"/>
      <w:lvlJc w:val="left"/>
      <w:pPr>
        <w:ind w:hanging="360" w:left="5760"/>
      </w:pPr>
      <w:rPr>
        <w:rFonts w:ascii="Symbol" w:hAnsi="Symbol"/>
      </w:rPr>
    </w:lvl>
    <w:lvl w:ilvl="8" w:tplc="02B27C5F">
      <w:start w:val="1"/>
      <w:numFmt w:val="bullet"/>
      <w:suff w:val="tab"/>
      <w:lvlText w:val="·"/>
      <w:lvlJc w:val="left"/>
      <w:pPr>
        <w:ind w:hanging="360" w:left="6480"/>
      </w:pPr>
      <w:rPr>
        <w:rFonts w:ascii="Symbol" w:hAnsi="Symbol"/>
      </w:rPr>
    </w:lvl>
  </w:abstractNum>
  <w:abstractNum w:abstractNumId="65">
    <w:nsid w:val="02459A13"/>
    <w:multiLevelType w:val="hybridMultilevel"/>
    <w:lvl w:ilvl="0" w:tplc="220AE30B">
      <w:start w:val="1"/>
      <w:numFmt w:val="bullet"/>
      <w:suff w:val="tab"/>
      <w:lvlText w:val="·"/>
      <w:lvlJc w:val="left"/>
      <w:pPr>
        <w:ind w:hanging="360" w:left="720"/>
      </w:pPr>
      <w:rPr>
        <w:rFonts w:ascii="Symbol" w:hAnsi="Symbol" w:cs="Symbol" w:eastAsia="Symbol"/>
      </w:rPr>
    </w:lvl>
    <w:lvl w:ilvl="1" w:tplc="4EEADC84">
      <w:start w:val="1"/>
      <w:numFmt w:val="bullet"/>
      <w:suff w:val="tab"/>
      <w:lvlText w:val="o"/>
      <w:lvlJc w:val="left"/>
      <w:pPr>
        <w:ind w:hanging="360" w:left="1440"/>
      </w:pPr>
      <w:rPr>
        <w:rFonts w:ascii="Symbol" w:hAnsi="Symbol"/>
      </w:rPr>
    </w:lvl>
    <w:lvl w:ilvl="2" w:tplc="0A5107DD">
      <w:start w:val="1"/>
      <w:numFmt w:val="bullet"/>
      <w:suff w:val="tab"/>
      <w:lvlText w:val="·"/>
      <w:lvlJc w:val="left"/>
      <w:pPr>
        <w:ind w:hanging="360" w:left="2160"/>
      </w:pPr>
      <w:rPr>
        <w:rFonts w:ascii="Symbol" w:hAnsi="Symbol"/>
      </w:rPr>
    </w:lvl>
    <w:lvl w:ilvl="3" w:tplc="343F75DC">
      <w:start w:val="1"/>
      <w:numFmt w:val="bullet"/>
      <w:suff w:val="tab"/>
      <w:lvlText w:val="o"/>
      <w:lvlJc w:val="left"/>
      <w:pPr>
        <w:ind w:hanging="360" w:left="2880"/>
      </w:pPr>
      <w:rPr>
        <w:rFonts w:ascii="Symbol" w:hAnsi="Symbol"/>
      </w:rPr>
    </w:lvl>
    <w:lvl w:ilvl="4" w:tplc="68AC55E7">
      <w:start w:val="1"/>
      <w:numFmt w:val="bullet"/>
      <w:suff w:val="tab"/>
      <w:lvlText w:val="·"/>
      <w:lvlJc w:val="left"/>
      <w:pPr>
        <w:ind w:hanging="360" w:left="3600"/>
      </w:pPr>
      <w:rPr>
        <w:rFonts w:ascii="Symbol" w:hAnsi="Symbol"/>
      </w:rPr>
    </w:lvl>
    <w:lvl w:ilvl="5" w:tplc="6F33161C">
      <w:start w:val="1"/>
      <w:numFmt w:val="bullet"/>
      <w:suff w:val="tab"/>
      <w:lvlText w:val="o"/>
      <w:lvlJc w:val="left"/>
      <w:pPr>
        <w:ind w:hanging="360" w:left="4320"/>
      </w:pPr>
      <w:rPr>
        <w:rFonts w:ascii="Symbol" w:hAnsi="Symbol"/>
      </w:rPr>
    </w:lvl>
    <w:lvl w:ilvl="6" w:tplc="0E0B8515">
      <w:start w:val="1"/>
      <w:numFmt w:val="bullet"/>
      <w:suff w:val="tab"/>
      <w:lvlText w:val="·"/>
      <w:lvlJc w:val="left"/>
      <w:pPr>
        <w:ind w:hanging="360" w:left="5040"/>
      </w:pPr>
      <w:rPr>
        <w:rFonts w:ascii="Symbol" w:hAnsi="Symbol"/>
      </w:rPr>
    </w:lvl>
    <w:lvl w:ilvl="7" w:tplc="1E9ABD30">
      <w:start w:val="1"/>
      <w:numFmt w:val="bullet"/>
      <w:suff w:val="tab"/>
      <w:lvlText w:val="o"/>
      <w:lvlJc w:val="left"/>
      <w:pPr>
        <w:ind w:hanging="360" w:left="5760"/>
      </w:pPr>
      <w:rPr>
        <w:rFonts w:ascii="Symbol" w:hAnsi="Symbol"/>
      </w:rPr>
    </w:lvl>
    <w:lvl w:ilvl="8" w:tplc="3849EB3E">
      <w:start w:val="1"/>
      <w:numFmt w:val="bullet"/>
      <w:suff w:val="tab"/>
      <w:lvlText w:val="·"/>
      <w:lvlJc w:val="left"/>
      <w:pPr>
        <w:ind w:hanging="360" w:left="6480"/>
      </w:pPr>
      <w:rPr>
        <w:rFonts w:ascii="Symbol" w:hAnsi="Symbol"/>
      </w:rPr>
    </w:lvl>
  </w:abstractNum>
  <w:abstractNum w:abstractNumId="66">
    <w:nsid w:val="6940E2C9"/>
    <w:multiLevelType w:val="hybridMultilevel"/>
    <w:lvl w:ilvl="0" w:tplc="3EF1C82F">
      <w:start w:val="1"/>
      <w:numFmt w:val="bullet"/>
      <w:suff w:val="tab"/>
      <w:lvlText w:val="·"/>
      <w:lvlJc w:val="left"/>
      <w:pPr>
        <w:ind w:hanging="360" w:left="720"/>
      </w:pPr>
      <w:rPr>
        <w:rFonts w:ascii="Symbol" w:hAnsi="Symbol" w:cs="Symbol" w:eastAsia="Symbol"/>
      </w:rPr>
    </w:lvl>
    <w:lvl w:ilvl="1" w:tplc="0211D4D1">
      <w:start w:val="1"/>
      <w:numFmt w:val="bullet"/>
      <w:suff w:val="tab"/>
      <w:lvlText w:val="o"/>
      <w:lvlJc w:val="left"/>
      <w:pPr>
        <w:ind w:hanging="360" w:left="1440"/>
      </w:pPr>
      <w:rPr>
        <w:rFonts w:ascii="Symbol" w:hAnsi="Symbol"/>
      </w:rPr>
    </w:lvl>
    <w:lvl w:ilvl="2" w:tplc="40055F27">
      <w:start w:val="1"/>
      <w:numFmt w:val="bullet"/>
      <w:suff w:val="tab"/>
      <w:lvlText w:val="·"/>
      <w:lvlJc w:val="left"/>
      <w:pPr>
        <w:ind w:hanging="360" w:left="2160"/>
      </w:pPr>
      <w:rPr>
        <w:rFonts w:ascii="Symbol" w:hAnsi="Symbol"/>
      </w:rPr>
    </w:lvl>
    <w:lvl w:ilvl="3" w:tplc="6A6EAFFB">
      <w:start w:val="1"/>
      <w:numFmt w:val="bullet"/>
      <w:suff w:val="tab"/>
      <w:lvlText w:val="o"/>
      <w:lvlJc w:val="left"/>
      <w:pPr>
        <w:ind w:hanging="360" w:left="2880"/>
      </w:pPr>
      <w:rPr>
        <w:rFonts w:ascii="Symbol" w:hAnsi="Symbol"/>
      </w:rPr>
    </w:lvl>
    <w:lvl w:ilvl="4" w:tplc="5769C73C">
      <w:start w:val="1"/>
      <w:numFmt w:val="bullet"/>
      <w:suff w:val="tab"/>
      <w:lvlText w:val="·"/>
      <w:lvlJc w:val="left"/>
      <w:pPr>
        <w:ind w:hanging="360" w:left="3600"/>
      </w:pPr>
      <w:rPr>
        <w:rFonts w:ascii="Symbol" w:hAnsi="Symbol"/>
      </w:rPr>
    </w:lvl>
    <w:lvl w:ilvl="5" w:tplc="39C98F39">
      <w:start w:val="1"/>
      <w:numFmt w:val="bullet"/>
      <w:suff w:val="tab"/>
      <w:lvlText w:val="o"/>
      <w:lvlJc w:val="left"/>
      <w:pPr>
        <w:ind w:hanging="360" w:left="4320"/>
      </w:pPr>
      <w:rPr>
        <w:rFonts w:ascii="Symbol" w:hAnsi="Symbol"/>
      </w:rPr>
    </w:lvl>
    <w:lvl w:ilvl="6" w:tplc="38A2DB2F">
      <w:start w:val="1"/>
      <w:numFmt w:val="bullet"/>
      <w:suff w:val="tab"/>
      <w:lvlText w:val="·"/>
      <w:lvlJc w:val="left"/>
      <w:pPr>
        <w:ind w:hanging="360" w:left="5040"/>
      </w:pPr>
      <w:rPr>
        <w:rFonts w:ascii="Symbol" w:hAnsi="Symbol"/>
      </w:rPr>
    </w:lvl>
    <w:lvl w:ilvl="7" w:tplc="43B77ABD">
      <w:start w:val="1"/>
      <w:numFmt w:val="bullet"/>
      <w:suff w:val="tab"/>
      <w:lvlText w:val="o"/>
      <w:lvlJc w:val="left"/>
      <w:pPr>
        <w:ind w:hanging="360" w:left="5760"/>
      </w:pPr>
      <w:rPr>
        <w:rFonts w:ascii="Symbol" w:hAnsi="Symbol"/>
      </w:rPr>
    </w:lvl>
    <w:lvl w:ilvl="8" w:tplc="68C99633">
      <w:start w:val="1"/>
      <w:numFmt w:val="bullet"/>
      <w:suff w:val="tab"/>
      <w:lvlText w:val="·"/>
      <w:lvlJc w:val="left"/>
      <w:pPr>
        <w:ind w:hanging="360" w:left="6480"/>
      </w:pPr>
      <w:rPr>
        <w:rFonts w:ascii="Symbol" w:hAnsi="Symbol"/>
      </w:rPr>
    </w:lvl>
  </w:abstractNum>
  <w:abstractNum w:abstractNumId="67">
    <w:nsid w:val="5EAEA7D6"/>
    <w:multiLevelType w:val="hybridMultilevel"/>
    <w:lvl w:ilvl="0" w:tplc="0339C9B6">
      <w:start w:val="1"/>
      <w:numFmt w:val="bullet"/>
      <w:suff w:val="tab"/>
      <w:lvlText w:val="·"/>
      <w:lvlJc w:val="left"/>
      <w:pPr>
        <w:ind w:hanging="360" w:left="720"/>
      </w:pPr>
      <w:rPr>
        <w:rFonts w:ascii="Symbol" w:hAnsi="Symbol" w:cs="Symbol" w:eastAsia="Symbol"/>
      </w:rPr>
    </w:lvl>
    <w:lvl w:ilvl="1" w:tplc="5CE3A720">
      <w:start w:val="1"/>
      <w:numFmt w:val="bullet"/>
      <w:suff w:val="tab"/>
      <w:lvlText w:val="o"/>
      <w:lvlJc w:val="left"/>
      <w:pPr>
        <w:ind w:hanging="360" w:left="1440"/>
      </w:pPr>
      <w:rPr>
        <w:rFonts w:ascii="Symbol" w:hAnsi="Symbol"/>
      </w:rPr>
    </w:lvl>
    <w:lvl w:ilvl="2" w:tplc="49AFC89F">
      <w:start w:val="1"/>
      <w:numFmt w:val="bullet"/>
      <w:suff w:val="tab"/>
      <w:lvlText w:val="·"/>
      <w:lvlJc w:val="left"/>
      <w:pPr>
        <w:ind w:hanging="360" w:left="2160"/>
      </w:pPr>
      <w:rPr>
        <w:rFonts w:ascii="Symbol" w:hAnsi="Symbol"/>
      </w:rPr>
    </w:lvl>
    <w:lvl w:ilvl="3" w:tplc="575C2963">
      <w:start w:val="1"/>
      <w:numFmt w:val="bullet"/>
      <w:suff w:val="tab"/>
      <w:lvlText w:val="o"/>
      <w:lvlJc w:val="left"/>
      <w:pPr>
        <w:ind w:hanging="360" w:left="2880"/>
      </w:pPr>
      <w:rPr>
        <w:rFonts w:ascii="Symbol" w:hAnsi="Symbol"/>
      </w:rPr>
    </w:lvl>
    <w:lvl w:ilvl="4" w:tplc="0BF14F3F">
      <w:start w:val="1"/>
      <w:numFmt w:val="bullet"/>
      <w:suff w:val="tab"/>
      <w:lvlText w:val="·"/>
      <w:lvlJc w:val="left"/>
      <w:pPr>
        <w:ind w:hanging="360" w:left="3600"/>
      </w:pPr>
      <w:rPr>
        <w:rFonts w:ascii="Symbol" w:hAnsi="Symbol"/>
      </w:rPr>
    </w:lvl>
    <w:lvl w:ilvl="5" w:tplc="2641E851">
      <w:start w:val="1"/>
      <w:numFmt w:val="bullet"/>
      <w:suff w:val="tab"/>
      <w:lvlText w:val="o"/>
      <w:lvlJc w:val="left"/>
      <w:pPr>
        <w:ind w:hanging="360" w:left="4320"/>
      </w:pPr>
      <w:rPr>
        <w:rFonts w:ascii="Symbol" w:hAnsi="Symbol"/>
      </w:rPr>
    </w:lvl>
    <w:lvl w:ilvl="6" w:tplc="132D4A9E">
      <w:start w:val="1"/>
      <w:numFmt w:val="bullet"/>
      <w:suff w:val="tab"/>
      <w:lvlText w:val="·"/>
      <w:lvlJc w:val="left"/>
      <w:pPr>
        <w:ind w:hanging="360" w:left="5040"/>
      </w:pPr>
      <w:rPr>
        <w:rFonts w:ascii="Symbol" w:hAnsi="Symbol"/>
      </w:rPr>
    </w:lvl>
    <w:lvl w:ilvl="7" w:tplc="7AE91276">
      <w:start w:val="1"/>
      <w:numFmt w:val="bullet"/>
      <w:suff w:val="tab"/>
      <w:lvlText w:val="o"/>
      <w:lvlJc w:val="left"/>
      <w:pPr>
        <w:ind w:hanging="360" w:left="5760"/>
      </w:pPr>
      <w:rPr>
        <w:rFonts w:ascii="Symbol" w:hAnsi="Symbol"/>
      </w:rPr>
    </w:lvl>
    <w:lvl w:ilvl="8" w:tplc="4C4BFCA3">
      <w:start w:val="1"/>
      <w:numFmt w:val="bullet"/>
      <w:suff w:val="tab"/>
      <w:lvlText w:val="·"/>
      <w:lvlJc w:val="left"/>
      <w:pPr>
        <w:ind w:hanging="360" w:left="6480"/>
      </w:pPr>
      <w:rPr>
        <w:rFonts w:ascii="Symbol" w:hAnsi="Symbol"/>
      </w:rPr>
    </w:lvl>
  </w:abstractNum>
  <w:abstractNum w:abstractNumId="68">
    <w:nsid w:val="139FC2E6"/>
    <w:multiLevelType w:val="hybridMultilevel"/>
    <w:lvl w:ilvl="0" w:tplc="4D643420">
      <w:start w:val="1"/>
      <w:numFmt w:val="bullet"/>
      <w:suff w:val="tab"/>
      <w:lvlText w:val="·"/>
      <w:lvlJc w:val="left"/>
      <w:pPr>
        <w:ind w:hanging="360" w:left="720"/>
      </w:pPr>
      <w:rPr>
        <w:rFonts w:ascii="Symbol" w:hAnsi="Symbol" w:cs="Symbol" w:eastAsia="Symbol"/>
      </w:rPr>
    </w:lvl>
    <w:lvl w:ilvl="1" w:tplc="110D308B">
      <w:start w:val="1"/>
      <w:numFmt w:val="bullet"/>
      <w:suff w:val="tab"/>
      <w:lvlText w:val="o"/>
      <w:lvlJc w:val="left"/>
      <w:pPr>
        <w:ind w:hanging="360" w:left="1440"/>
      </w:pPr>
      <w:rPr>
        <w:rFonts w:ascii="Symbol" w:hAnsi="Symbol"/>
      </w:rPr>
    </w:lvl>
    <w:lvl w:ilvl="2" w:tplc="2F24F2CF">
      <w:start w:val="1"/>
      <w:numFmt w:val="bullet"/>
      <w:suff w:val="tab"/>
      <w:lvlText w:val="·"/>
      <w:lvlJc w:val="left"/>
      <w:pPr>
        <w:ind w:hanging="360" w:left="2160"/>
      </w:pPr>
      <w:rPr>
        <w:rFonts w:ascii="Symbol" w:hAnsi="Symbol"/>
      </w:rPr>
    </w:lvl>
    <w:lvl w:ilvl="3" w:tplc="7D9CBC91">
      <w:start w:val="1"/>
      <w:numFmt w:val="bullet"/>
      <w:suff w:val="tab"/>
      <w:lvlText w:val="o"/>
      <w:lvlJc w:val="left"/>
      <w:pPr>
        <w:ind w:hanging="360" w:left="2880"/>
      </w:pPr>
      <w:rPr>
        <w:rFonts w:ascii="Symbol" w:hAnsi="Symbol"/>
      </w:rPr>
    </w:lvl>
    <w:lvl w:ilvl="4" w:tplc="59C5027D">
      <w:start w:val="1"/>
      <w:numFmt w:val="bullet"/>
      <w:suff w:val="tab"/>
      <w:lvlText w:val="·"/>
      <w:lvlJc w:val="left"/>
      <w:pPr>
        <w:ind w:hanging="360" w:left="3600"/>
      </w:pPr>
      <w:rPr>
        <w:rFonts w:ascii="Symbol" w:hAnsi="Symbol"/>
      </w:rPr>
    </w:lvl>
    <w:lvl w:ilvl="5" w:tplc="643DF070">
      <w:start w:val="1"/>
      <w:numFmt w:val="bullet"/>
      <w:suff w:val="tab"/>
      <w:lvlText w:val="o"/>
      <w:lvlJc w:val="left"/>
      <w:pPr>
        <w:ind w:hanging="360" w:left="4320"/>
      </w:pPr>
      <w:rPr>
        <w:rFonts w:ascii="Symbol" w:hAnsi="Symbol"/>
      </w:rPr>
    </w:lvl>
    <w:lvl w:ilvl="6" w:tplc="65CAB3E8">
      <w:start w:val="1"/>
      <w:numFmt w:val="bullet"/>
      <w:suff w:val="tab"/>
      <w:lvlText w:val="·"/>
      <w:lvlJc w:val="left"/>
      <w:pPr>
        <w:ind w:hanging="360" w:left="5040"/>
      </w:pPr>
      <w:rPr>
        <w:rFonts w:ascii="Symbol" w:hAnsi="Symbol"/>
      </w:rPr>
    </w:lvl>
    <w:lvl w:ilvl="7" w:tplc="0271F55F">
      <w:start w:val="1"/>
      <w:numFmt w:val="bullet"/>
      <w:suff w:val="tab"/>
      <w:lvlText w:val="o"/>
      <w:lvlJc w:val="left"/>
      <w:pPr>
        <w:ind w:hanging="360" w:left="5760"/>
      </w:pPr>
      <w:rPr>
        <w:rFonts w:ascii="Symbol" w:hAnsi="Symbol"/>
      </w:rPr>
    </w:lvl>
    <w:lvl w:ilvl="8" w:tplc="701357D4">
      <w:start w:val="1"/>
      <w:numFmt w:val="bullet"/>
      <w:suff w:val="tab"/>
      <w:lvlText w:val="·"/>
      <w:lvlJc w:val="left"/>
      <w:pPr>
        <w:ind w:hanging="360" w:left="6480"/>
      </w:pPr>
      <w:rPr>
        <w:rFonts w:ascii="Symbol" w:hAnsi="Symbol"/>
      </w:rPr>
    </w:lvl>
  </w:abstractNum>
  <w:abstractNum w:abstractNumId="69">
    <w:nsid w:val="36AE4DA1"/>
    <w:multiLevelType w:val="hybridMultilevel"/>
    <w:lvl w:ilvl="0" w:tplc="72803CCD">
      <w:start w:val="1"/>
      <w:numFmt w:val="bullet"/>
      <w:suff w:val="tab"/>
      <w:lvlText w:val="·"/>
      <w:lvlJc w:val="left"/>
      <w:pPr>
        <w:ind w:hanging="360" w:left="720"/>
      </w:pPr>
      <w:rPr>
        <w:rFonts w:ascii="Symbol" w:hAnsi="Symbol" w:cs="Symbol" w:eastAsia="Symbol"/>
      </w:rPr>
    </w:lvl>
    <w:lvl w:ilvl="1" w:tplc="3051ECDF">
      <w:start w:val="1"/>
      <w:numFmt w:val="bullet"/>
      <w:suff w:val="tab"/>
      <w:lvlText w:val="o"/>
      <w:lvlJc w:val="left"/>
      <w:pPr>
        <w:ind w:hanging="360" w:left="1440"/>
      </w:pPr>
      <w:rPr>
        <w:rFonts w:ascii="Symbol" w:hAnsi="Symbol"/>
      </w:rPr>
    </w:lvl>
    <w:lvl w:ilvl="2" w:tplc="551BF446">
      <w:start w:val="1"/>
      <w:numFmt w:val="bullet"/>
      <w:suff w:val="tab"/>
      <w:lvlText w:val="·"/>
      <w:lvlJc w:val="left"/>
      <w:pPr>
        <w:ind w:hanging="360" w:left="2160"/>
      </w:pPr>
      <w:rPr>
        <w:rFonts w:ascii="Symbol" w:hAnsi="Symbol"/>
      </w:rPr>
    </w:lvl>
    <w:lvl w:ilvl="3" w:tplc="44A45F89">
      <w:start w:val="1"/>
      <w:numFmt w:val="bullet"/>
      <w:suff w:val="tab"/>
      <w:lvlText w:val="o"/>
      <w:lvlJc w:val="left"/>
      <w:pPr>
        <w:ind w:hanging="360" w:left="2880"/>
      </w:pPr>
      <w:rPr>
        <w:rFonts w:ascii="Symbol" w:hAnsi="Symbol"/>
      </w:rPr>
    </w:lvl>
    <w:lvl w:ilvl="4" w:tplc="33F08D59">
      <w:start w:val="1"/>
      <w:numFmt w:val="bullet"/>
      <w:suff w:val="tab"/>
      <w:lvlText w:val="·"/>
      <w:lvlJc w:val="left"/>
      <w:pPr>
        <w:ind w:hanging="360" w:left="3600"/>
      </w:pPr>
      <w:rPr>
        <w:rFonts w:ascii="Symbol" w:hAnsi="Symbol"/>
      </w:rPr>
    </w:lvl>
    <w:lvl w:ilvl="5" w:tplc="43173988">
      <w:start w:val="1"/>
      <w:numFmt w:val="bullet"/>
      <w:suff w:val="tab"/>
      <w:lvlText w:val="o"/>
      <w:lvlJc w:val="left"/>
      <w:pPr>
        <w:ind w:hanging="360" w:left="4320"/>
      </w:pPr>
      <w:rPr>
        <w:rFonts w:ascii="Symbol" w:hAnsi="Symbol"/>
      </w:rPr>
    </w:lvl>
    <w:lvl w:ilvl="6" w:tplc="68E6150C">
      <w:start w:val="1"/>
      <w:numFmt w:val="bullet"/>
      <w:suff w:val="tab"/>
      <w:lvlText w:val="·"/>
      <w:lvlJc w:val="left"/>
      <w:pPr>
        <w:ind w:hanging="360" w:left="5040"/>
      </w:pPr>
      <w:rPr>
        <w:rFonts w:ascii="Symbol" w:hAnsi="Symbol"/>
      </w:rPr>
    </w:lvl>
    <w:lvl w:ilvl="7" w:tplc="5083223B">
      <w:start w:val="1"/>
      <w:numFmt w:val="bullet"/>
      <w:suff w:val="tab"/>
      <w:lvlText w:val="o"/>
      <w:lvlJc w:val="left"/>
      <w:pPr>
        <w:ind w:hanging="360" w:left="5760"/>
      </w:pPr>
      <w:rPr>
        <w:rFonts w:ascii="Symbol" w:hAnsi="Symbol"/>
      </w:rPr>
    </w:lvl>
    <w:lvl w:ilvl="8" w:tplc="69A79412">
      <w:start w:val="1"/>
      <w:numFmt w:val="bullet"/>
      <w:suff w:val="tab"/>
      <w:lvlText w:val="·"/>
      <w:lvlJc w:val="left"/>
      <w:pPr>
        <w:ind w:hanging="360" w:left="6480"/>
      </w:pPr>
      <w:rPr>
        <w:rFonts w:ascii="Symbol" w:hAnsi="Symbol"/>
      </w:rPr>
    </w:lvl>
  </w:abstractNum>
  <w:abstractNum w:abstractNumId="70">
    <w:nsid w:val="4D8A4BB7"/>
    <w:multiLevelType w:val="hybridMultilevel"/>
    <w:lvl w:ilvl="0" w:tplc="1586EE6D">
      <w:start w:val="1"/>
      <w:numFmt w:val="bullet"/>
      <w:suff w:val="tab"/>
      <w:lvlText w:val="·"/>
      <w:lvlJc w:val="left"/>
      <w:pPr>
        <w:ind w:hanging="360" w:left="720"/>
      </w:pPr>
      <w:rPr>
        <w:rFonts w:ascii="Symbol" w:hAnsi="Symbol" w:cs="Symbol" w:eastAsia="Symbol"/>
      </w:rPr>
    </w:lvl>
    <w:lvl w:ilvl="1" w:tplc="6B442B24">
      <w:start w:val="1"/>
      <w:numFmt w:val="bullet"/>
      <w:suff w:val="tab"/>
      <w:lvlText w:val="o"/>
      <w:lvlJc w:val="left"/>
      <w:pPr>
        <w:ind w:hanging="360" w:left="1440"/>
      </w:pPr>
      <w:rPr>
        <w:rFonts w:ascii="Symbol" w:hAnsi="Symbol"/>
      </w:rPr>
    </w:lvl>
    <w:lvl w:ilvl="2" w:tplc="2419B27E">
      <w:start w:val="1"/>
      <w:numFmt w:val="bullet"/>
      <w:suff w:val="tab"/>
      <w:lvlText w:val="·"/>
      <w:lvlJc w:val="left"/>
      <w:pPr>
        <w:ind w:hanging="360" w:left="2160"/>
      </w:pPr>
      <w:rPr>
        <w:rFonts w:ascii="Symbol" w:hAnsi="Symbol"/>
      </w:rPr>
    </w:lvl>
    <w:lvl w:ilvl="3" w:tplc="7F5F89DE">
      <w:start w:val="1"/>
      <w:numFmt w:val="bullet"/>
      <w:suff w:val="tab"/>
      <w:lvlText w:val="o"/>
      <w:lvlJc w:val="left"/>
      <w:pPr>
        <w:ind w:hanging="360" w:left="2880"/>
      </w:pPr>
      <w:rPr>
        <w:rFonts w:ascii="Symbol" w:hAnsi="Symbol"/>
      </w:rPr>
    </w:lvl>
    <w:lvl w:ilvl="4" w:tplc="71D7D91E">
      <w:start w:val="1"/>
      <w:numFmt w:val="bullet"/>
      <w:suff w:val="tab"/>
      <w:lvlText w:val="·"/>
      <w:lvlJc w:val="left"/>
      <w:pPr>
        <w:ind w:hanging="360" w:left="3600"/>
      </w:pPr>
      <w:rPr>
        <w:rFonts w:ascii="Symbol" w:hAnsi="Symbol"/>
      </w:rPr>
    </w:lvl>
    <w:lvl w:ilvl="5" w:tplc="138E45DA">
      <w:start w:val="1"/>
      <w:numFmt w:val="bullet"/>
      <w:suff w:val="tab"/>
      <w:lvlText w:val="o"/>
      <w:lvlJc w:val="left"/>
      <w:pPr>
        <w:ind w:hanging="360" w:left="4320"/>
      </w:pPr>
      <w:rPr>
        <w:rFonts w:ascii="Symbol" w:hAnsi="Symbol"/>
      </w:rPr>
    </w:lvl>
    <w:lvl w:ilvl="6" w:tplc="051BB201">
      <w:start w:val="1"/>
      <w:numFmt w:val="bullet"/>
      <w:suff w:val="tab"/>
      <w:lvlText w:val="·"/>
      <w:lvlJc w:val="left"/>
      <w:pPr>
        <w:ind w:hanging="360" w:left="5040"/>
      </w:pPr>
      <w:rPr>
        <w:rFonts w:ascii="Symbol" w:hAnsi="Symbol"/>
      </w:rPr>
    </w:lvl>
    <w:lvl w:ilvl="7" w:tplc="24C84180">
      <w:start w:val="1"/>
      <w:numFmt w:val="bullet"/>
      <w:suff w:val="tab"/>
      <w:lvlText w:val="o"/>
      <w:lvlJc w:val="left"/>
      <w:pPr>
        <w:ind w:hanging="360" w:left="5760"/>
      </w:pPr>
      <w:rPr>
        <w:rFonts w:ascii="Symbol" w:hAnsi="Symbol"/>
      </w:rPr>
    </w:lvl>
    <w:lvl w:ilvl="8" w:tplc="1F9BE20F">
      <w:start w:val="1"/>
      <w:numFmt w:val="bullet"/>
      <w:suff w:val="tab"/>
      <w:lvlText w:val="·"/>
      <w:lvlJc w:val="left"/>
      <w:pPr>
        <w:ind w:hanging="360" w:left="6480"/>
      </w:pPr>
      <w:rPr>
        <w:rFonts w:ascii="Symbol" w:hAnsi="Symbol"/>
      </w:rPr>
    </w:lvl>
  </w:abstractNum>
  <w:abstractNum w:abstractNumId="71">
    <w:nsid w:val="7A431EA5"/>
    <w:multiLevelType w:val="hybridMultilevel"/>
    <w:lvl w:ilvl="0" w:tplc="20BFFC07">
      <w:start w:val="1"/>
      <w:numFmt w:val="bullet"/>
      <w:suff w:val="tab"/>
      <w:lvlText w:val="·"/>
      <w:lvlJc w:val="left"/>
      <w:pPr>
        <w:ind w:hanging="360" w:left="720"/>
      </w:pPr>
      <w:rPr>
        <w:rFonts w:ascii="Symbol" w:hAnsi="Symbol" w:cs="Symbol" w:eastAsia="Symbol"/>
      </w:rPr>
    </w:lvl>
    <w:lvl w:ilvl="1" w:tplc="54A1B368">
      <w:start w:val="1"/>
      <w:numFmt w:val="bullet"/>
      <w:suff w:val="tab"/>
      <w:lvlText w:val="o"/>
      <w:lvlJc w:val="left"/>
      <w:pPr>
        <w:ind w:hanging="360" w:left="1440"/>
      </w:pPr>
      <w:rPr>
        <w:rFonts w:ascii="Symbol" w:hAnsi="Symbol"/>
      </w:rPr>
    </w:lvl>
    <w:lvl w:ilvl="2" w:tplc="5C6FFABD">
      <w:start w:val="1"/>
      <w:numFmt w:val="bullet"/>
      <w:suff w:val="tab"/>
      <w:lvlText w:val="·"/>
      <w:lvlJc w:val="left"/>
      <w:pPr>
        <w:ind w:hanging="360" w:left="2160"/>
      </w:pPr>
      <w:rPr>
        <w:rFonts w:ascii="Symbol" w:hAnsi="Symbol"/>
      </w:rPr>
    </w:lvl>
    <w:lvl w:ilvl="3" w:tplc="6C873D4A">
      <w:start w:val="1"/>
      <w:numFmt w:val="bullet"/>
      <w:suff w:val="tab"/>
      <w:lvlText w:val="o"/>
      <w:lvlJc w:val="left"/>
      <w:pPr>
        <w:ind w:hanging="360" w:left="2880"/>
      </w:pPr>
      <w:rPr>
        <w:rFonts w:ascii="Symbol" w:hAnsi="Symbol"/>
      </w:rPr>
    </w:lvl>
    <w:lvl w:ilvl="4" w:tplc="620A0491">
      <w:start w:val="1"/>
      <w:numFmt w:val="bullet"/>
      <w:suff w:val="tab"/>
      <w:lvlText w:val="·"/>
      <w:lvlJc w:val="left"/>
      <w:pPr>
        <w:ind w:hanging="360" w:left="3600"/>
      </w:pPr>
      <w:rPr>
        <w:rFonts w:ascii="Symbol" w:hAnsi="Symbol"/>
      </w:rPr>
    </w:lvl>
    <w:lvl w:ilvl="5" w:tplc="36B4EC24">
      <w:start w:val="1"/>
      <w:numFmt w:val="bullet"/>
      <w:suff w:val="tab"/>
      <w:lvlText w:val="o"/>
      <w:lvlJc w:val="left"/>
      <w:pPr>
        <w:ind w:hanging="360" w:left="4320"/>
      </w:pPr>
      <w:rPr>
        <w:rFonts w:ascii="Symbol" w:hAnsi="Symbol"/>
      </w:rPr>
    </w:lvl>
    <w:lvl w:ilvl="6" w:tplc="4C882787">
      <w:start w:val="1"/>
      <w:numFmt w:val="bullet"/>
      <w:suff w:val="tab"/>
      <w:lvlText w:val="·"/>
      <w:lvlJc w:val="left"/>
      <w:pPr>
        <w:ind w:hanging="360" w:left="5040"/>
      </w:pPr>
      <w:rPr>
        <w:rFonts w:ascii="Symbol" w:hAnsi="Symbol"/>
      </w:rPr>
    </w:lvl>
    <w:lvl w:ilvl="7" w:tplc="04F2FD19">
      <w:start w:val="1"/>
      <w:numFmt w:val="bullet"/>
      <w:suff w:val="tab"/>
      <w:lvlText w:val="o"/>
      <w:lvlJc w:val="left"/>
      <w:pPr>
        <w:ind w:hanging="360" w:left="5760"/>
      </w:pPr>
      <w:rPr>
        <w:rFonts w:ascii="Symbol" w:hAnsi="Symbol"/>
      </w:rPr>
    </w:lvl>
    <w:lvl w:ilvl="8" w:tplc="45DA23E4">
      <w:start w:val="1"/>
      <w:numFmt w:val="bullet"/>
      <w:suff w:val="tab"/>
      <w:lvlText w:val="·"/>
      <w:lvlJc w:val="left"/>
      <w:pPr>
        <w:ind w:hanging="360" w:left="6480"/>
      </w:pPr>
      <w:rPr>
        <w:rFonts w:ascii="Symbol" w:hAnsi="Symbol"/>
      </w:rPr>
    </w:lvl>
  </w:abstractNum>
  <w:abstractNum w:abstractNumId="72">
    <w:nsid w:val="555EBDFE"/>
    <w:multiLevelType w:val="hybridMultilevel"/>
    <w:lvl w:ilvl="0" w:tplc="2E472A04">
      <w:start w:val="1"/>
      <w:numFmt w:val="bullet"/>
      <w:suff w:val="tab"/>
      <w:lvlText w:val="·"/>
      <w:lvlJc w:val="left"/>
      <w:pPr>
        <w:ind w:hanging="360" w:left="720"/>
      </w:pPr>
      <w:rPr>
        <w:rFonts w:ascii="Symbol" w:hAnsi="Symbol" w:cs="Symbol" w:eastAsia="Symbol"/>
      </w:rPr>
    </w:lvl>
    <w:lvl w:ilvl="1" w:tplc="77347E5E">
      <w:start w:val="1"/>
      <w:numFmt w:val="bullet"/>
      <w:suff w:val="tab"/>
      <w:lvlText w:val="o"/>
      <w:lvlJc w:val="left"/>
      <w:pPr>
        <w:ind w:hanging="360" w:left="1440"/>
      </w:pPr>
      <w:rPr>
        <w:rFonts w:ascii="Symbol" w:hAnsi="Symbol"/>
      </w:rPr>
    </w:lvl>
    <w:lvl w:ilvl="2" w:tplc="216508AE">
      <w:start w:val="1"/>
      <w:numFmt w:val="bullet"/>
      <w:suff w:val="tab"/>
      <w:lvlText w:val="·"/>
      <w:lvlJc w:val="left"/>
      <w:pPr>
        <w:ind w:hanging="360" w:left="2160"/>
      </w:pPr>
      <w:rPr>
        <w:rFonts w:ascii="Symbol" w:hAnsi="Symbol"/>
      </w:rPr>
    </w:lvl>
    <w:lvl w:ilvl="3" w:tplc="56FA9401">
      <w:start w:val="1"/>
      <w:numFmt w:val="bullet"/>
      <w:suff w:val="tab"/>
      <w:lvlText w:val="o"/>
      <w:lvlJc w:val="left"/>
      <w:pPr>
        <w:ind w:hanging="360" w:left="2880"/>
      </w:pPr>
      <w:rPr>
        <w:rFonts w:ascii="Symbol" w:hAnsi="Symbol"/>
      </w:rPr>
    </w:lvl>
    <w:lvl w:ilvl="4" w:tplc="142582D7">
      <w:start w:val="1"/>
      <w:numFmt w:val="bullet"/>
      <w:suff w:val="tab"/>
      <w:lvlText w:val="·"/>
      <w:lvlJc w:val="left"/>
      <w:pPr>
        <w:ind w:hanging="360" w:left="3600"/>
      </w:pPr>
      <w:rPr>
        <w:rFonts w:ascii="Symbol" w:hAnsi="Symbol"/>
      </w:rPr>
    </w:lvl>
    <w:lvl w:ilvl="5" w:tplc="62D6F0E7">
      <w:start w:val="1"/>
      <w:numFmt w:val="bullet"/>
      <w:suff w:val="tab"/>
      <w:lvlText w:val="o"/>
      <w:lvlJc w:val="left"/>
      <w:pPr>
        <w:ind w:hanging="360" w:left="4320"/>
      </w:pPr>
      <w:rPr>
        <w:rFonts w:ascii="Symbol" w:hAnsi="Symbol"/>
      </w:rPr>
    </w:lvl>
    <w:lvl w:ilvl="6" w:tplc="566C26AF">
      <w:start w:val="1"/>
      <w:numFmt w:val="bullet"/>
      <w:suff w:val="tab"/>
      <w:lvlText w:val="·"/>
      <w:lvlJc w:val="left"/>
      <w:pPr>
        <w:ind w:hanging="360" w:left="5040"/>
      </w:pPr>
      <w:rPr>
        <w:rFonts w:ascii="Symbol" w:hAnsi="Symbol"/>
      </w:rPr>
    </w:lvl>
    <w:lvl w:ilvl="7" w:tplc="2EE8ABC1">
      <w:start w:val="1"/>
      <w:numFmt w:val="bullet"/>
      <w:suff w:val="tab"/>
      <w:lvlText w:val="o"/>
      <w:lvlJc w:val="left"/>
      <w:pPr>
        <w:ind w:hanging="360" w:left="5760"/>
      </w:pPr>
      <w:rPr>
        <w:rFonts w:ascii="Symbol" w:hAnsi="Symbol"/>
      </w:rPr>
    </w:lvl>
    <w:lvl w:ilvl="8" w:tplc="573E9136">
      <w:start w:val="1"/>
      <w:numFmt w:val="bullet"/>
      <w:suff w:val="tab"/>
      <w:lvlText w:val="·"/>
      <w:lvlJc w:val="left"/>
      <w:pPr>
        <w:ind w:hanging="360" w:left="6480"/>
      </w:pPr>
      <w:rPr>
        <w:rFonts w:ascii="Symbol" w:hAnsi="Symbol"/>
      </w:rPr>
    </w:lvl>
  </w:abstractNum>
  <w:abstractNum w:abstractNumId="73">
    <w:nsid w:val="3D4232F3"/>
    <w:multiLevelType w:val="hybridMultilevel"/>
    <w:lvl w:ilvl="0" w:tplc="7EFD39AE">
      <w:start w:val="1"/>
      <w:numFmt w:val="bullet"/>
      <w:suff w:val="tab"/>
      <w:lvlText w:val="·"/>
      <w:lvlJc w:val="left"/>
      <w:pPr>
        <w:ind w:hanging="360" w:left="720"/>
      </w:pPr>
      <w:rPr>
        <w:rFonts w:ascii="Symbol" w:hAnsi="Symbol" w:cs="Symbol" w:eastAsia="Symbol"/>
      </w:rPr>
    </w:lvl>
    <w:lvl w:ilvl="1" w:tplc="510A40EC">
      <w:start w:val="1"/>
      <w:numFmt w:val="bullet"/>
      <w:suff w:val="tab"/>
      <w:lvlText w:val="o"/>
      <w:lvlJc w:val="left"/>
      <w:pPr>
        <w:ind w:hanging="360" w:left="1440"/>
      </w:pPr>
      <w:rPr>
        <w:rFonts w:ascii="Symbol" w:hAnsi="Symbol"/>
      </w:rPr>
    </w:lvl>
    <w:lvl w:ilvl="2" w:tplc="695BCE13">
      <w:start w:val="1"/>
      <w:numFmt w:val="bullet"/>
      <w:suff w:val="tab"/>
      <w:lvlText w:val="·"/>
      <w:lvlJc w:val="left"/>
      <w:pPr>
        <w:ind w:hanging="360" w:left="2160"/>
      </w:pPr>
      <w:rPr>
        <w:rFonts w:ascii="Symbol" w:hAnsi="Symbol"/>
      </w:rPr>
    </w:lvl>
    <w:lvl w:ilvl="3" w:tplc="13158DA5">
      <w:start w:val="1"/>
      <w:numFmt w:val="bullet"/>
      <w:suff w:val="tab"/>
      <w:lvlText w:val="o"/>
      <w:lvlJc w:val="left"/>
      <w:pPr>
        <w:ind w:hanging="360" w:left="2880"/>
      </w:pPr>
      <w:rPr>
        <w:rFonts w:ascii="Symbol" w:hAnsi="Symbol"/>
      </w:rPr>
    </w:lvl>
    <w:lvl w:ilvl="4" w:tplc="146999B4">
      <w:start w:val="1"/>
      <w:numFmt w:val="bullet"/>
      <w:suff w:val="tab"/>
      <w:lvlText w:val="·"/>
      <w:lvlJc w:val="left"/>
      <w:pPr>
        <w:ind w:hanging="360" w:left="3600"/>
      </w:pPr>
      <w:rPr>
        <w:rFonts w:ascii="Symbol" w:hAnsi="Symbol"/>
      </w:rPr>
    </w:lvl>
    <w:lvl w:ilvl="5" w:tplc="72186D7B">
      <w:start w:val="1"/>
      <w:numFmt w:val="bullet"/>
      <w:suff w:val="tab"/>
      <w:lvlText w:val="o"/>
      <w:lvlJc w:val="left"/>
      <w:pPr>
        <w:ind w:hanging="360" w:left="4320"/>
      </w:pPr>
      <w:rPr>
        <w:rFonts w:ascii="Symbol" w:hAnsi="Symbol"/>
      </w:rPr>
    </w:lvl>
    <w:lvl w:ilvl="6" w:tplc="11B9F2FC">
      <w:start w:val="1"/>
      <w:numFmt w:val="bullet"/>
      <w:suff w:val="tab"/>
      <w:lvlText w:val="·"/>
      <w:lvlJc w:val="left"/>
      <w:pPr>
        <w:ind w:hanging="360" w:left="5040"/>
      </w:pPr>
      <w:rPr>
        <w:rFonts w:ascii="Symbol" w:hAnsi="Symbol"/>
      </w:rPr>
    </w:lvl>
    <w:lvl w:ilvl="7" w:tplc="38B89C05">
      <w:start w:val="1"/>
      <w:numFmt w:val="bullet"/>
      <w:suff w:val="tab"/>
      <w:lvlText w:val="o"/>
      <w:lvlJc w:val="left"/>
      <w:pPr>
        <w:ind w:hanging="360" w:left="5760"/>
      </w:pPr>
      <w:rPr>
        <w:rFonts w:ascii="Symbol" w:hAnsi="Symbol"/>
      </w:rPr>
    </w:lvl>
    <w:lvl w:ilvl="8" w:tplc="70100D32">
      <w:start w:val="1"/>
      <w:numFmt w:val="bullet"/>
      <w:suff w:val="tab"/>
      <w:lvlText w:val="·"/>
      <w:lvlJc w:val="left"/>
      <w:pPr>
        <w:ind w:hanging="360" w:left="6480"/>
      </w:pPr>
      <w:rPr>
        <w:rFonts w:ascii="Symbol" w:hAnsi="Symbol"/>
      </w:rPr>
    </w:lvl>
  </w:abstractNum>
  <w:abstractNum w:abstractNumId="74">
    <w:nsid w:val="2B9BFCA4"/>
    <w:multiLevelType w:val="hybridMultilevel"/>
    <w:lvl w:ilvl="0" w:tplc="1BDA46F0">
      <w:start w:val="1"/>
      <w:numFmt w:val="bullet"/>
      <w:suff w:val="tab"/>
      <w:lvlText w:val="·"/>
      <w:lvlJc w:val="left"/>
      <w:pPr>
        <w:ind w:hanging="360" w:left="720"/>
      </w:pPr>
      <w:rPr>
        <w:rFonts w:ascii="Symbol" w:hAnsi="Symbol" w:cs="Symbol" w:eastAsia="Symbol"/>
      </w:rPr>
    </w:lvl>
    <w:lvl w:ilvl="1" w:tplc="569B942A">
      <w:start w:val="1"/>
      <w:numFmt w:val="bullet"/>
      <w:suff w:val="tab"/>
      <w:lvlText w:val="o"/>
      <w:lvlJc w:val="left"/>
      <w:pPr>
        <w:ind w:hanging="360" w:left="1440"/>
      </w:pPr>
      <w:rPr>
        <w:rFonts w:ascii="Symbol" w:hAnsi="Symbol"/>
      </w:rPr>
    </w:lvl>
    <w:lvl w:ilvl="2" w:tplc="157A049F">
      <w:start w:val="1"/>
      <w:numFmt w:val="bullet"/>
      <w:suff w:val="tab"/>
      <w:lvlText w:val="·"/>
      <w:lvlJc w:val="left"/>
      <w:pPr>
        <w:ind w:hanging="360" w:left="2160"/>
      </w:pPr>
      <w:rPr>
        <w:rFonts w:ascii="Symbol" w:hAnsi="Symbol"/>
      </w:rPr>
    </w:lvl>
    <w:lvl w:ilvl="3" w:tplc="455795F1">
      <w:start w:val="1"/>
      <w:numFmt w:val="bullet"/>
      <w:suff w:val="tab"/>
      <w:lvlText w:val="o"/>
      <w:lvlJc w:val="left"/>
      <w:pPr>
        <w:ind w:hanging="360" w:left="2880"/>
      </w:pPr>
      <w:rPr>
        <w:rFonts w:ascii="Symbol" w:hAnsi="Symbol"/>
      </w:rPr>
    </w:lvl>
    <w:lvl w:ilvl="4" w:tplc="75E01819">
      <w:start w:val="1"/>
      <w:numFmt w:val="bullet"/>
      <w:suff w:val="tab"/>
      <w:lvlText w:val="·"/>
      <w:lvlJc w:val="left"/>
      <w:pPr>
        <w:ind w:hanging="360" w:left="3600"/>
      </w:pPr>
      <w:rPr>
        <w:rFonts w:ascii="Symbol" w:hAnsi="Symbol"/>
      </w:rPr>
    </w:lvl>
    <w:lvl w:ilvl="5" w:tplc="4D7A3F4D">
      <w:start w:val="1"/>
      <w:numFmt w:val="bullet"/>
      <w:suff w:val="tab"/>
      <w:lvlText w:val="o"/>
      <w:lvlJc w:val="left"/>
      <w:pPr>
        <w:ind w:hanging="360" w:left="4320"/>
      </w:pPr>
      <w:rPr>
        <w:rFonts w:ascii="Symbol" w:hAnsi="Symbol"/>
      </w:rPr>
    </w:lvl>
    <w:lvl w:ilvl="6" w:tplc="68908EA8">
      <w:start w:val="1"/>
      <w:numFmt w:val="bullet"/>
      <w:suff w:val="tab"/>
      <w:lvlText w:val="·"/>
      <w:lvlJc w:val="left"/>
      <w:pPr>
        <w:ind w:hanging="360" w:left="5040"/>
      </w:pPr>
      <w:rPr>
        <w:rFonts w:ascii="Symbol" w:hAnsi="Symbol"/>
      </w:rPr>
    </w:lvl>
    <w:lvl w:ilvl="7" w:tplc="5016D39D">
      <w:start w:val="1"/>
      <w:numFmt w:val="bullet"/>
      <w:suff w:val="tab"/>
      <w:lvlText w:val="o"/>
      <w:lvlJc w:val="left"/>
      <w:pPr>
        <w:ind w:hanging="360" w:left="5760"/>
      </w:pPr>
      <w:rPr>
        <w:rFonts w:ascii="Symbol" w:hAnsi="Symbol"/>
      </w:rPr>
    </w:lvl>
    <w:lvl w:ilvl="8" w:tplc="2317750C">
      <w:start w:val="1"/>
      <w:numFmt w:val="bullet"/>
      <w:suff w:val="tab"/>
      <w:lvlText w:val="·"/>
      <w:lvlJc w:val="left"/>
      <w:pPr>
        <w:ind w:hanging="360" w:left="6480"/>
      </w:pPr>
      <w:rPr>
        <w:rFonts w:ascii="Symbol" w:hAnsi="Symbol"/>
      </w:rPr>
    </w:lvl>
  </w:abstractNum>
  <w:abstractNum w:abstractNumId="75">
    <w:nsid w:val="493AD44D"/>
    <w:multiLevelType w:val="hybridMultilevel"/>
    <w:lvl w:ilvl="0" w:tplc="52F5B0D0">
      <w:start w:val="1"/>
      <w:numFmt w:val="bullet"/>
      <w:suff w:val="tab"/>
      <w:lvlText w:val="·"/>
      <w:lvlJc w:val="left"/>
      <w:pPr>
        <w:ind w:hanging="360" w:left="720"/>
      </w:pPr>
      <w:rPr>
        <w:rFonts w:ascii="Symbol" w:hAnsi="Symbol" w:cs="Symbol" w:eastAsia="Symbol"/>
      </w:rPr>
    </w:lvl>
    <w:lvl w:ilvl="1" w:tplc="130FA091">
      <w:start w:val="1"/>
      <w:numFmt w:val="bullet"/>
      <w:suff w:val="tab"/>
      <w:lvlText w:val="o"/>
      <w:lvlJc w:val="left"/>
      <w:pPr>
        <w:ind w:hanging="360" w:left="1440"/>
      </w:pPr>
      <w:rPr>
        <w:rFonts w:ascii="Symbol" w:hAnsi="Symbol"/>
      </w:rPr>
    </w:lvl>
    <w:lvl w:ilvl="2" w:tplc="02C824A5">
      <w:start w:val="1"/>
      <w:numFmt w:val="bullet"/>
      <w:suff w:val="tab"/>
      <w:lvlText w:val="·"/>
      <w:lvlJc w:val="left"/>
      <w:pPr>
        <w:ind w:hanging="360" w:left="2160"/>
      </w:pPr>
      <w:rPr>
        <w:rFonts w:ascii="Symbol" w:hAnsi="Symbol"/>
      </w:rPr>
    </w:lvl>
    <w:lvl w:ilvl="3" w:tplc="08BB737D">
      <w:start w:val="1"/>
      <w:numFmt w:val="bullet"/>
      <w:suff w:val="tab"/>
      <w:lvlText w:val="o"/>
      <w:lvlJc w:val="left"/>
      <w:pPr>
        <w:ind w:hanging="360" w:left="2880"/>
      </w:pPr>
      <w:rPr>
        <w:rFonts w:ascii="Symbol" w:hAnsi="Symbol"/>
      </w:rPr>
    </w:lvl>
    <w:lvl w:ilvl="4" w:tplc="6EC473B3">
      <w:start w:val="1"/>
      <w:numFmt w:val="bullet"/>
      <w:suff w:val="tab"/>
      <w:lvlText w:val="·"/>
      <w:lvlJc w:val="left"/>
      <w:pPr>
        <w:ind w:hanging="360" w:left="3600"/>
      </w:pPr>
      <w:rPr>
        <w:rFonts w:ascii="Symbol" w:hAnsi="Symbol"/>
      </w:rPr>
    </w:lvl>
    <w:lvl w:ilvl="5" w:tplc="181CDFF5">
      <w:start w:val="1"/>
      <w:numFmt w:val="bullet"/>
      <w:suff w:val="tab"/>
      <w:lvlText w:val="o"/>
      <w:lvlJc w:val="left"/>
      <w:pPr>
        <w:ind w:hanging="360" w:left="4320"/>
      </w:pPr>
      <w:rPr>
        <w:rFonts w:ascii="Symbol" w:hAnsi="Symbol"/>
      </w:rPr>
    </w:lvl>
    <w:lvl w:ilvl="6" w:tplc="5F2EE74A">
      <w:start w:val="1"/>
      <w:numFmt w:val="bullet"/>
      <w:suff w:val="tab"/>
      <w:lvlText w:val="·"/>
      <w:lvlJc w:val="left"/>
      <w:pPr>
        <w:ind w:hanging="360" w:left="5040"/>
      </w:pPr>
      <w:rPr>
        <w:rFonts w:ascii="Symbol" w:hAnsi="Symbol"/>
      </w:rPr>
    </w:lvl>
    <w:lvl w:ilvl="7" w:tplc="27511175">
      <w:start w:val="1"/>
      <w:numFmt w:val="bullet"/>
      <w:suff w:val="tab"/>
      <w:lvlText w:val="o"/>
      <w:lvlJc w:val="left"/>
      <w:pPr>
        <w:ind w:hanging="360" w:left="5760"/>
      </w:pPr>
      <w:rPr>
        <w:rFonts w:ascii="Symbol" w:hAnsi="Symbol"/>
      </w:rPr>
    </w:lvl>
    <w:lvl w:ilvl="8" w:tplc="57AD8217">
      <w:start w:val="1"/>
      <w:numFmt w:val="bullet"/>
      <w:suff w:val="tab"/>
      <w:lvlText w:val="·"/>
      <w:lvlJc w:val="left"/>
      <w:pPr>
        <w:ind w:hanging="360" w:left="6480"/>
      </w:pPr>
      <w:rPr>
        <w:rFonts w:ascii="Symbol" w:hAnsi="Symbol"/>
      </w:rPr>
    </w:lvl>
  </w:abstractNum>
  <w:abstractNum w:abstractNumId="76">
    <w:nsid w:val="57BEDAB2"/>
    <w:multiLevelType w:val="hybridMultilevel"/>
    <w:lvl w:ilvl="0" w:tplc="1F89E6ED">
      <w:start w:val="1"/>
      <w:numFmt w:val="bullet"/>
      <w:suff w:val="tab"/>
      <w:lvlText w:val="·"/>
      <w:lvlJc w:val="left"/>
      <w:pPr>
        <w:ind w:hanging="360" w:left="720"/>
      </w:pPr>
      <w:rPr>
        <w:rFonts w:ascii="Symbol" w:hAnsi="Symbol" w:cs="Symbol" w:eastAsia="Symbol"/>
      </w:rPr>
    </w:lvl>
    <w:lvl w:ilvl="1" w:tplc="7E1E52BA">
      <w:start w:val="1"/>
      <w:numFmt w:val="bullet"/>
      <w:suff w:val="tab"/>
      <w:lvlText w:val="o"/>
      <w:lvlJc w:val="left"/>
      <w:pPr>
        <w:ind w:hanging="360" w:left="1440"/>
      </w:pPr>
      <w:rPr>
        <w:rFonts w:ascii="Symbol" w:hAnsi="Symbol"/>
      </w:rPr>
    </w:lvl>
    <w:lvl w:ilvl="2" w:tplc="3F35B519">
      <w:start w:val="1"/>
      <w:numFmt w:val="bullet"/>
      <w:suff w:val="tab"/>
      <w:lvlText w:val="·"/>
      <w:lvlJc w:val="left"/>
      <w:pPr>
        <w:ind w:hanging="360" w:left="2160"/>
      </w:pPr>
      <w:rPr>
        <w:rFonts w:ascii="Symbol" w:hAnsi="Symbol"/>
      </w:rPr>
    </w:lvl>
    <w:lvl w:ilvl="3" w:tplc="5B7538E7">
      <w:start w:val="1"/>
      <w:numFmt w:val="bullet"/>
      <w:suff w:val="tab"/>
      <w:lvlText w:val="o"/>
      <w:lvlJc w:val="left"/>
      <w:pPr>
        <w:ind w:hanging="360" w:left="2880"/>
      </w:pPr>
      <w:rPr>
        <w:rFonts w:ascii="Symbol" w:hAnsi="Symbol"/>
      </w:rPr>
    </w:lvl>
    <w:lvl w:ilvl="4" w:tplc="061C7BC5">
      <w:start w:val="1"/>
      <w:numFmt w:val="bullet"/>
      <w:suff w:val="tab"/>
      <w:lvlText w:val="·"/>
      <w:lvlJc w:val="left"/>
      <w:pPr>
        <w:ind w:hanging="360" w:left="3600"/>
      </w:pPr>
      <w:rPr>
        <w:rFonts w:ascii="Symbol" w:hAnsi="Symbol"/>
      </w:rPr>
    </w:lvl>
    <w:lvl w:ilvl="5" w:tplc="5EC67E5B">
      <w:start w:val="1"/>
      <w:numFmt w:val="bullet"/>
      <w:suff w:val="tab"/>
      <w:lvlText w:val="o"/>
      <w:lvlJc w:val="left"/>
      <w:pPr>
        <w:ind w:hanging="360" w:left="4320"/>
      </w:pPr>
      <w:rPr>
        <w:rFonts w:ascii="Symbol" w:hAnsi="Symbol"/>
      </w:rPr>
    </w:lvl>
    <w:lvl w:ilvl="6" w:tplc="6837BA92">
      <w:start w:val="1"/>
      <w:numFmt w:val="bullet"/>
      <w:suff w:val="tab"/>
      <w:lvlText w:val="·"/>
      <w:lvlJc w:val="left"/>
      <w:pPr>
        <w:ind w:hanging="360" w:left="5040"/>
      </w:pPr>
      <w:rPr>
        <w:rFonts w:ascii="Symbol" w:hAnsi="Symbol"/>
      </w:rPr>
    </w:lvl>
    <w:lvl w:ilvl="7" w:tplc="7DB4C375">
      <w:start w:val="1"/>
      <w:numFmt w:val="bullet"/>
      <w:suff w:val="tab"/>
      <w:lvlText w:val="o"/>
      <w:lvlJc w:val="left"/>
      <w:pPr>
        <w:ind w:hanging="360" w:left="5760"/>
      </w:pPr>
      <w:rPr>
        <w:rFonts w:ascii="Symbol" w:hAnsi="Symbol"/>
      </w:rPr>
    </w:lvl>
    <w:lvl w:ilvl="8" w:tplc="6E10B084">
      <w:start w:val="1"/>
      <w:numFmt w:val="bullet"/>
      <w:suff w:val="tab"/>
      <w:lvlText w:val="·"/>
      <w:lvlJc w:val="left"/>
      <w:pPr>
        <w:ind w:hanging="360" w:left="6480"/>
      </w:pPr>
      <w:rPr>
        <w:rFonts w:ascii="Symbol" w:hAnsi="Symbol"/>
      </w:rPr>
    </w:lvl>
  </w:abstractNum>
  <w:abstractNum w:abstractNumId="77">
    <w:nsid w:val="17A28DE5"/>
    <w:multiLevelType w:val="hybridMultilevel"/>
    <w:lvl w:ilvl="0" w:tplc="7A63FEE8">
      <w:start w:val="1"/>
      <w:numFmt w:val="bullet"/>
      <w:suff w:val="tab"/>
      <w:lvlText w:val="·"/>
      <w:lvlJc w:val="left"/>
      <w:pPr>
        <w:ind w:hanging="360" w:left="720"/>
      </w:pPr>
      <w:rPr>
        <w:rFonts w:ascii="Symbol" w:hAnsi="Symbol" w:cs="Symbol" w:eastAsia="Symbol"/>
      </w:rPr>
    </w:lvl>
    <w:lvl w:ilvl="1" w:tplc="76F120DC">
      <w:start w:val="1"/>
      <w:numFmt w:val="bullet"/>
      <w:suff w:val="tab"/>
      <w:lvlText w:val="o"/>
      <w:lvlJc w:val="left"/>
      <w:pPr>
        <w:ind w:hanging="360" w:left="1440"/>
      </w:pPr>
      <w:rPr>
        <w:rFonts w:ascii="Symbol" w:hAnsi="Symbol"/>
      </w:rPr>
    </w:lvl>
    <w:lvl w:ilvl="2" w:tplc="33D30B56">
      <w:start w:val="1"/>
      <w:numFmt w:val="bullet"/>
      <w:suff w:val="tab"/>
      <w:lvlText w:val="·"/>
      <w:lvlJc w:val="left"/>
      <w:pPr>
        <w:ind w:hanging="360" w:left="2160"/>
      </w:pPr>
      <w:rPr>
        <w:rFonts w:ascii="Symbol" w:hAnsi="Symbol"/>
      </w:rPr>
    </w:lvl>
    <w:lvl w:ilvl="3" w:tplc="17557F6C">
      <w:start w:val="1"/>
      <w:numFmt w:val="bullet"/>
      <w:suff w:val="tab"/>
      <w:lvlText w:val="o"/>
      <w:lvlJc w:val="left"/>
      <w:pPr>
        <w:ind w:hanging="360" w:left="2880"/>
      </w:pPr>
      <w:rPr>
        <w:rFonts w:ascii="Symbol" w:hAnsi="Symbol"/>
      </w:rPr>
    </w:lvl>
    <w:lvl w:ilvl="4" w:tplc="75F3A27D">
      <w:start w:val="1"/>
      <w:numFmt w:val="bullet"/>
      <w:suff w:val="tab"/>
      <w:lvlText w:val="·"/>
      <w:lvlJc w:val="left"/>
      <w:pPr>
        <w:ind w:hanging="360" w:left="3600"/>
      </w:pPr>
      <w:rPr>
        <w:rFonts w:ascii="Symbol" w:hAnsi="Symbol"/>
      </w:rPr>
    </w:lvl>
    <w:lvl w:ilvl="5" w:tplc="48F9DF30">
      <w:start w:val="1"/>
      <w:numFmt w:val="bullet"/>
      <w:suff w:val="tab"/>
      <w:lvlText w:val="o"/>
      <w:lvlJc w:val="left"/>
      <w:pPr>
        <w:ind w:hanging="360" w:left="4320"/>
      </w:pPr>
      <w:rPr>
        <w:rFonts w:ascii="Symbol" w:hAnsi="Symbol"/>
      </w:rPr>
    </w:lvl>
    <w:lvl w:ilvl="6" w:tplc="0D533DB0">
      <w:start w:val="1"/>
      <w:numFmt w:val="bullet"/>
      <w:suff w:val="tab"/>
      <w:lvlText w:val="·"/>
      <w:lvlJc w:val="left"/>
      <w:pPr>
        <w:ind w:hanging="360" w:left="5040"/>
      </w:pPr>
      <w:rPr>
        <w:rFonts w:ascii="Symbol" w:hAnsi="Symbol"/>
      </w:rPr>
    </w:lvl>
    <w:lvl w:ilvl="7" w:tplc="47D0EA44">
      <w:start w:val="1"/>
      <w:numFmt w:val="bullet"/>
      <w:suff w:val="tab"/>
      <w:lvlText w:val="o"/>
      <w:lvlJc w:val="left"/>
      <w:pPr>
        <w:ind w:hanging="360" w:left="5760"/>
      </w:pPr>
      <w:rPr>
        <w:rFonts w:ascii="Symbol" w:hAnsi="Symbol"/>
      </w:rPr>
    </w:lvl>
    <w:lvl w:ilvl="8" w:tplc="404B0F0C">
      <w:start w:val="1"/>
      <w:numFmt w:val="bullet"/>
      <w:suff w:val="tab"/>
      <w:lvlText w:val="·"/>
      <w:lvlJc w:val="left"/>
      <w:pPr>
        <w:ind w:hanging="360" w:left="6480"/>
      </w:pPr>
      <w:rPr>
        <w:rFonts w:ascii="Symbol" w:hAnsi="Symbol"/>
      </w:rPr>
    </w:lvl>
  </w:abstractNum>
  <w:abstractNum w:abstractNumId="78">
    <w:nsid w:val="4DD3B213"/>
    <w:multiLevelType w:val="hybridMultilevel"/>
    <w:lvl w:ilvl="0" w:tplc="264EF7AB">
      <w:start w:val="1"/>
      <w:numFmt w:val="bullet"/>
      <w:suff w:val="tab"/>
      <w:lvlText w:val="·"/>
      <w:lvlJc w:val="left"/>
      <w:pPr>
        <w:ind w:hanging="360" w:left="720"/>
      </w:pPr>
      <w:rPr>
        <w:rFonts w:ascii="Symbol" w:hAnsi="Symbol" w:cs="Symbol" w:eastAsia="Symbol"/>
      </w:rPr>
    </w:lvl>
    <w:lvl w:ilvl="1" w:tplc="4781175D">
      <w:start w:val="1"/>
      <w:numFmt w:val="bullet"/>
      <w:suff w:val="tab"/>
      <w:lvlText w:val="o"/>
      <w:lvlJc w:val="left"/>
      <w:pPr>
        <w:ind w:hanging="360" w:left="1440"/>
      </w:pPr>
      <w:rPr>
        <w:rFonts w:ascii="Symbol" w:hAnsi="Symbol"/>
      </w:rPr>
    </w:lvl>
    <w:lvl w:ilvl="2" w:tplc="28D79343">
      <w:start w:val="1"/>
      <w:numFmt w:val="bullet"/>
      <w:suff w:val="tab"/>
      <w:lvlText w:val="·"/>
      <w:lvlJc w:val="left"/>
      <w:pPr>
        <w:ind w:hanging="360" w:left="2160"/>
      </w:pPr>
      <w:rPr>
        <w:rFonts w:ascii="Symbol" w:hAnsi="Symbol"/>
      </w:rPr>
    </w:lvl>
    <w:lvl w:ilvl="3" w:tplc="67B486C4">
      <w:start w:val="1"/>
      <w:numFmt w:val="bullet"/>
      <w:suff w:val="tab"/>
      <w:lvlText w:val="o"/>
      <w:lvlJc w:val="left"/>
      <w:pPr>
        <w:ind w:hanging="360" w:left="2880"/>
      </w:pPr>
      <w:rPr>
        <w:rFonts w:ascii="Symbol" w:hAnsi="Symbol"/>
      </w:rPr>
    </w:lvl>
    <w:lvl w:ilvl="4" w:tplc="07C73732">
      <w:start w:val="1"/>
      <w:numFmt w:val="bullet"/>
      <w:suff w:val="tab"/>
      <w:lvlText w:val="·"/>
      <w:lvlJc w:val="left"/>
      <w:pPr>
        <w:ind w:hanging="360" w:left="3600"/>
      </w:pPr>
      <w:rPr>
        <w:rFonts w:ascii="Symbol" w:hAnsi="Symbol"/>
      </w:rPr>
    </w:lvl>
    <w:lvl w:ilvl="5" w:tplc="07382DFB">
      <w:start w:val="1"/>
      <w:numFmt w:val="bullet"/>
      <w:suff w:val="tab"/>
      <w:lvlText w:val="o"/>
      <w:lvlJc w:val="left"/>
      <w:pPr>
        <w:ind w:hanging="360" w:left="4320"/>
      </w:pPr>
      <w:rPr>
        <w:rFonts w:ascii="Symbol" w:hAnsi="Symbol"/>
      </w:rPr>
    </w:lvl>
    <w:lvl w:ilvl="6" w:tplc="0C604C87">
      <w:start w:val="1"/>
      <w:numFmt w:val="bullet"/>
      <w:suff w:val="tab"/>
      <w:lvlText w:val="·"/>
      <w:lvlJc w:val="left"/>
      <w:pPr>
        <w:ind w:hanging="360" w:left="5040"/>
      </w:pPr>
      <w:rPr>
        <w:rFonts w:ascii="Symbol" w:hAnsi="Symbol"/>
      </w:rPr>
    </w:lvl>
    <w:lvl w:ilvl="7" w:tplc="7FFE7FC3">
      <w:start w:val="1"/>
      <w:numFmt w:val="bullet"/>
      <w:suff w:val="tab"/>
      <w:lvlText w:val="o"/>
      <w:lvlJc w:val="left"/>
      <w:pPr>
        <w:ind w:hanging="360" w:left="5760"/>
      </w:pPr>
      <w:rPr>
        <w:rFonts w:ascii="Symbol" w:hAnsi="Symbol"/>
      </w:rPr>
    </w:lvl>
    <w:lvl w:ilvl="8" w:tplc="70483034">
      <w:start w:val="1"/>
      <w:numFmt w:val="bullet"/>
      <w:suff w:val="tab"/>
      <w:lvlText w:val="·"/>
      <w:lvlJc w:val="left"/>
      <w:pPr>
        <w:ind w:hanging="360" w:left="6480"/>
      </w:pPr>
      <w:rPr>
        <w:rFonts w:ascii="Symbol" w:hAnsi="Symbol"/>
      </w:rPr>
    </w:lvl>
  </w:abstractNum>
  <w:abstractNum w:abstractNumId="79">
    <w:nsid w:val="0C5DE31C"/>
    <w:multiLevelType w:val="hybridMultilevel"/>
    <w:lvl w:ilvl="0" w:tplc="147E30CB">
      <w:start w:val="1"/>
      <w:numFmt w:val="bullet"/>
      <w:suff w:val="tab"/>
      <w:lvlText w:val="·"/>
      <w:lvlJc w:val="left"/>
      <w:pPr>
        <w:ind w:hanging="360" w:left="720"/>
      </w:pPr>
      <w:rPr>
        <w:rFonts w:ascii="Symbol" w:hAnsi="Symbol" w:cs="Symbol" w:eastAsia="Symbol"/>
      </w:rPr>
    </w:lvl>
    <w:lvl w:ilvl="1" w:tplc="34F1D9AE">
      <w:start w:val="1"/>
      <w:numFmt w:val="bullet"/>
      <w:suff w:val="tab"/>
      <w:lvlText w:val="o"/>
      <w:lvlJc w:val="left"/>
      <w:pPr>
        <w:ind w:hanging="360" w:left="1440"/>
      </w:pPr>
      <w:rPr>
        <w:rFonts w:ascii="Symbol" w:hAnsi="Symbol"/>
      </w:rPr>
    </w:lvl>
    <w:lvl w:ilvl="2" w:tplc="632639D5">
      <w:start w:val="1"/>
      <w:numFmt w:val="bullet"/>
      <w:suff w:val="tab"/>
      <w:lvlText w:val="·"/>
      <w:lvlJc w:val="left"/>
      <w:pPr>
        <w:ind w:hanging="360" w:left="2160"/>
      </w:pPr>
      <w:rPr>
        <w:rFonts w:ascii="Symbol" w:hAnsi="Symbol"/>
      </w:rPr>
    </w:lvl>
    <w:lvl w:ilvl="3" w:tplc="5037B052">
      <w:start w:val="1"/>
      <w:numFmt w:val="bullet"/>
      <w:suff w:val="tab"/>
      <w:lvlText w:val="o"/>
      <w:lvlJc w:val="left"/>
      <w:pPr>
        <w:ind w:hanging="360" w:left="2880"/>
      </w:pPr>
      <w:rPr>
        <w:rFonts w:ascii="Symbol" w:hAnsi="Symbol"/>
      </w:rPr>
    </w:lvl>
    <w:lvl w:ilvl="4" w:tplc="0FB7DA42">
      <w:start w:val="1"/>
      <w:numFmt w:val="bullet"/>
      <w:suff w:val="tab"/>
      <w:lvlText w:val="·"/>
      <w:lvlJc w:val="left"/>
      <w:pPr>
        <w:ind w:hanging="360" w:left="3600"/>
      </w:pPr>
      <w:rPr>
        <w:rFonts w:ascii="Symbol" w:hAnsi="Symbol"/>
      </w:rPr>
    </w:lvl>
    <w:lvl w:ilvl="5" w:tplc="11CBAF13">
      <w:start w:val="1"/>
      <w:numFmt w:val="bullet"/>
      <w:suff w:val="tab"/>
      <w:lvlText w:val="o"/>
      <w:lvlJc w:val="left"/>
      <w:pPr>
        <w:ind w:hanging="360" w:left="4320"/>
      </w:pPr>
      <w:rPr>
        <w:rFonts w:ascii="Symbol" w:hAnsi="Symbol"/>
      </w:rPr>
    </w:lvl>
    <w:lvl w:ilvl="6" w:tplc="7D515176">
      <w:start w:val="1"/>
      <w:numFmt w:val="bullet"/>
      <w:suff w:val="tab"/>
      <w:lvlText w:val="·"/>
      <w:lvlJc w:val="left"/>
      <w:pPr>
        <w:ind w:hanging="360" w:left="5040"/>
      </w:pPr>
      <w:rPr>
        <w:rFonts w:ascii="Symbol" w:hAnsi="Symbol"/>
      </w:rPr>
    </w:lvl>
    <w:lvl w:ilvl="7" w:tplc="2B72CD05">
      <w:start w:val="1"/>
      <w:numFmt w:val="bullet"/>
      <w:suff w:val="tab"/>
      <w:lvlText w:val="o"/>
      <w:lvlJc w:val="left"/>
      <w:pPr>
        <w:ind w:hanging="360" w:left="5760"/>
      </w:pPr>
      <w:rPr>
        <w:rFonts w:ascii="Symbol" w:hAnsi="Symbol"/>
      </w:rPr>
    </w:lvl>
    <w:lvl w:ilvl="8" w:tplc="54D68CC9">
      <w:start w:val="1"/>
      <w:numFmt w:val="bullet"/>
      <w:suff w:val="tab"/>
      <w:lvlText w:val="·"/>
      <w:lvlJc w:val="left"/>
      <w:pPr>
        <w:ind w:hanging="360" w:left="6480"/>
      </w:pPr>
      <w:rPr>
        <w:rFonts w:ascii="Symbol" w:hAnsi="Symbol"/>
      </w:rPr>
    </w:lvl>
  </w:abstractNum>
  <w:abstractNum w:abstractNumId="80">
    <w:nsid w:val="0925425E"/>
    <w:multiLevelType w:val="hybridMultilevel"/>
    <w:lvl w:ilvl="0" w:tplc="0B18AF7C">
      <w:start w:val="1"/>
      <w:numFmt w:val="bullet"/>
      <w:suff w:val="tab"/>
      <w:lvlText w:val="·"/>
      <w:lvlJc w:val="left"/>
      <w:pPr>
        <w:ind w:hanging="360" w:left="720"/>
      </w:pPr>
      <w:rPr>
        <w:rFonts w:ascii="Symbol" w:hAnsi="Symbol" w:cs="Symbol" w:eastAsia="Symbol"/>
      </w:rPr>
    </w:lvl>
    <w:lvl w:ilvl="1" w:tplc="205FF993">
      <w:start w:val="1"/>
      <w:numFmt w:val="bullet"/>
      <w:suff w:val="tab"/>
      <w:lvlText w:val="o"/>
      <w:lvlJc w:val="left"/>
      <w:pPr>
        <w:ind w:hanging="360" w:left="1440"/>
      </w:pPr>
      <w:rPr>
        <w:rFonts w:ascii="Symbol" w:hAnsi="Symbol"/>
      </w:rPr>
    </w:lvl>
    <w:lvl w:ilvl="2" w:tplc="0FD0A4FE">
      <w:start w:val="1"/>
      <w:numFmt w:val="bullet"/>
      <w:suff w:val="tab"/>
      <w:lvlText w:val="·"/>
      <w:lvlJc w:val="left"/>
      <w:pPr>
        <w:ind w:hanging="360" w:left="2160"/>
      </w:pPr>
      <w:rPr>
        <w:rFonts w:ascii="Symbol" w:hAnsi="Symbol"/>
      </w:rPr>
    </w:lvl>
    <w:lvl w:ilvl="3" w:tplc="1C125A2C">
      <w:start w:val="1"/>
      <w:numFmt w:val="bullet"/>
      <w:suff w:val="tab"/>
      <w:lvlText w:val="o"/>
      <w:lvlJc w:val="left"/>
      <w:pPr>
        <w:ind w:hanging="360" w:left="2880"/>
      </w:pPr>
      <w:rPr>
        <w:rFonts w:ascii="Symbol" w:hAnsi="Symbol"/>
      </w:rPr>
    </w:lvl>
    <w:lvl w:ilvl="4" w:tplc="200B878A">
      <w:start w:val="1"/>
      <w:numFmt w:val="bullet"/>
      <w:suff w:val="tab"/>
      <w:lvlText w:val="·"/>
      <w:lvlJc w:val="left"/>
      <w:pPr>
        <w:ind w:hanging="360" w:left="3600"/>
      </w:pPr>
      <w:rPr>
        <w:rFonts w:ascii="Symbol" w:hAnsi="Symbol"/>
      </w:rPr>
    </w:lvl>
    <w:lvl w:ilvl="5" w:tplc="34987B38">
      <w:start w:val="1"/>
      <w:numFmt w:val="bullet"/>
      <w:suff w:val="tab"/>
      <w:lvlText w:val="o"/>
      <w:lvlJc w:val="left"/>
      <w:pPr>
        <w:ind w:hanging="360" w:left="4320"/>
      </w:pPr>
      <w:rPr>
        <w:rFonts w:ascii="Symbol" w:hAnsi="Symbol"/>
      </w:rPr>
    </w:lvl>
    <w:lvl w:ilvl="6" w:tplc="16F3D2E8">
      <w:start w:val="1"/>
      <w:numFmt w:val="bullet"/>
      <w:suff w:val="tab"/>
      <w:lvlText w:val="·"/>
      <w:lvlJc w:val="left"/>
      <w:pPr>
        <w:ind w:hanging="360" w:left="5040"/>
      </w:pPr>
      <w:rPr>
        <w:rFonts w:ascii="Symbol" w:hAnsi="Symbol"/>
      </w:rPr>
    </w:lvl>
    <w:lvl w:ilvl="7" w:tplc="6CE7E7D9">
      <w:start w:val="1"/>
      <w:numFmt w:val="bullet"/>
      <w:suff w:val="tab"/>
      <w:lvlText w:val="o"/>
      <w:lvlJc w:val="left"/>
      <w:pPr>
        <w:ind w:hanging="360" w:left="5760"/>
      </w:pPr>
      <w:rPr>
        <w:rFonts w:ascii="Symbol" w:hAnsi="Symbol"/>
      </w:rPr>
    </w:lvl>
    <w:lvl w:ilvl="8" w:tplc="544D6BC0">
      <w:start w:val="1"/>
      <w:numFmt w:val="bullet"/>
      <w:suff w:val="tab"/>
      <w:lvlText w:val="·"/>
      <w:lvlJc w:val="left"/>
      <w:pPr>
        <w:ind w:hanging="360" w:left="6480"/>
      </w:pPr>
      <w:rPr>
        <w:rFonts w:ascii="Symbol" w:hAnsi="Symbol"/>
      </w:rPr>
    </w:lvl>
  </w:abstractNum>
  <w:abstractNum w:abstractNumId="81">
    <w:nsid w:val="65E44799"/>
    <w:multiLevelType w:val="hybridMultilevel"/>
    <w:lvl w:ilvl="0" w:tplc="224603F1">
      <w:start w:val="1"/>
      <w:numFmt w:val="bullet"/>
      <w:suff w:val="tab"/>
      <w:lvlText w:val="·"/>
      <w:lvlJc w:val="left"/>
      <w:pPr>
        <w:ind w:hanging="360" w:left="720"/>
      </w:pPr>
      <w:rPr>
        <w:rFonts w:ascii="Symbol" w:hAnsi="Symbol" w:cs="Symbol" w:eastAsia="Symbol"/>
      </w:rPr>
    </w:lvl>
    <w:lvl w:ilvl="1" w:tplc="5B5506EA">
      <w:start w:val="1"/>
      <w:numFmt w:val="bullet"/>
      <w:suff w:val="tab"/>
      <w:lvlText w:val="o"/>
      <w:lvlJc w:val="left"/>
      <w:pPr>
        <w:ind w:hanging="360" w:left="1440"/>
      </w:pPr>
      <w:rPr>
        <w:rFonts w:ascii="Symbol" w:hAnsi="Symbol"/>
      </w:rPr>
    </w:lvl>
    <w:lvl w:ilvl="2" w:tplc="743B0818">
      <w:start w:val="1"/>
      <w:numFmt w:val="bullet"/>
      <w:suff w:val="tab"/>
      <w:lvlText w:val="·"/>
      <w:lvlJc w:val="left"/>
      <w:pPr>
        <w:ind w:hanging="360" w:left="2160"/>
      </w:pPr>
      <w:rPr>
        <w:rFonts w:ascii="Symbol" w:hAnsi="Symbol"/>
      </w:rPr>
    </w:lvl>
    <w:lvl w:ilvl="3" w:tplc="6080594E">
      <w:start w:val="1"/>
      <w:numFmt w:val="bullet"/>
      <w:suff w:val="tab"/>
      <w:lvlText w:val="o"/>
      <w:lvlJc w:val="left"/>
      <w:pPr>
        <w:ind w:hanging="360" w:left="2880"/>
      </w:pPr>
      <w:rPr>
        <w:rFonts w:ascii="Symbol" w:hAnsi="Symbol"/>
      </w:rPr>
    </w:lvl>
    <w:lvl w:ilvl="4" w:tplc="2F833008">
      <w:start w:val="1"/>
      <w:numFmt w:val="bullet"/>
      <w:suff w:val="tab"/>
      <w:lvlText w:val="·"/>
      <w:lvlJc w:val="left"/>
      <w:pPr>
        <w:ind w:hanging="360" w:left="3600"/>
      </w:pPr>
      <w:rPr>
        <w:rFonts w:ascii="Symbol" w:hAnsi="Symbol"/>
      </w:rPr>
    </w:lvl>
    <w:lvl w:ilvl="5" w:tplc="648873B3">
      <w:start w:val="1"/>
      <w:numFmt w:val="bullet"/>
      <w:suff w:val="tab"/>
      <w:lvlText w:val="o"/>
      <w:lvlJc w:val="left"/>
      <w:pPr>
        <w:ind w:hanging="360" w:left="4320"/>
      </w:pPr>
      <w:rPr>
        <w:rFonts w:ascii="Symbol" w:hAnsi="Symbol"/>
      </w:rPr>
    </w:lvl>
    <w:lvl w:ilvl="6" w:tplc="7416D538">
      <w:start w:val="1"/>
      <w:numFmt w:val="bullet"/>
      <w:suff w:val="tab"/>
      <w:lvlText w:val="·"/>
      <w:lvlJc w:val="left"/>
      <w:pPr>
        <w:ind w:hanging="360" w:left="5040"/>
      </w:pPr>
      <w:rPr>
        <w:rFonts w:ascii="Symbol" w:hAnsi="Symbol"/>
      </w:rPr>
    </w:lvl>
    <w:lvl w:ilvl="7" w:tplc="1FCEADBA">
      <w:start w:val="1"/>
      <w:numFmt w:val="bullet"/>
      <w:suff w:val="tab"/>
      <w:lvlText w:val="o"/>
      <w:lvlJc w:val="left"/>
      <w:pPr>
        <w:ind w:hanging="360" w:left="5760"/>
      </w:pPr>
      <w:rPr>
        <w:rFonts w:ascii="Symbol" w:hAnsi="Symbol"/>
      </w:rPr>
    </w:lvl>
    <w:lvl w:ilvl="8" w:tplc="76DC9016">
      <w:start w:val="1"/>
      <w:numFmt w:val="bullet"/>
      <w:suff w:val="tab"/>
      <w:lvlText w:val="·"/>
      <w:lvlJc w:val="left"/>
      <w:pPr>
        <w:ind w:hanging="360" w:left="6480"/>
      </w:pPr>
      <w:rPr>
        <w:rFonts w:ascii="Symbol" w:hAnsi="Symbol"/>
      </w:rPr>
    </w:lvl>
  </w:abstractNum>
  <w:abstractNum w:abstractNumId="82">
    <w:nsid w:val="251817FC"/>
    <w:multiLevelType w:val="hybridMultilevel"/>
    <w:lvl w:ilvl="0" w:tplc="65E53FDC">
      <w:start w:val="1"/>
      <w:numFmt w:val="bullet"/>
      <w:suff w:val="tab"/>
      <w:lvlText w:val="·"/>
      <w:lvlJc w:val="left"/>
      <w:pPr>
        <w:ind w:hanging="360" w:left="720"/>
      </w:pPr>
      <w:rPr>
        <w:rFonts w:ascii="Symbol" w:hAnsi="Symbol" w:cs="Symbol" w:eastAsia="Symbol"/>
      </w:rPr>
    </w:lvl>
    <w:lvl w:ilvl="1" w:tplc="6ABC8198">
      <w:start w:val="1"/>
      <w:numFmt w:val="bullet"/>
      <w:suff w:val="tab"/>
      <w:lvlText w:val="o"/>
      <w:lvlJc w:val="left"/>
      <w:pPr>
        <w:ind w:hanging="360" w:left="1440"/>
      </w:pPr>
      <w:rPr>
        <w:rFonts w:ascii="Symbol" w:hAnsi="Symbol"/>
      </w:rPr>
    </w:lvl>
    <w:lvl w:ilvl="2" w:tplc="6376EAC0">
      <w:start w:val="1"/>
      <w:numFmt w:val="bullet"/>
      <w:suff w:val="tab"/>
      <w:lvlText w:val="·"/>
      <w:lvlJc w:val="left"/>
      <w:pPr>
        <w:ind w:hanging="360" w:left="2160"/>
      </w:pPr>
      <w:rPr>
        <w:rFonts w:ascii="Symbol" w:hAnsi="Symbol"/>
      </w:rPr>
    </w:lvl>
    <w:lvl w:ilvl="3" w:tplc="11354389">
      <w:start w:val="1"/>
      <w:numFmt w:val="bullet"/>
      <w:suff w:val="tab"/>
      <w:lvlText w:val="o"/>
      <w:lvlJc w:val="left"/>
      <w:pPr>
        <w:ind w:hanging="360" w:left="2880"/>
      </w:pPr>
      <w:rPr>
        <w:rFonts w:ascii="Symbol" w:hAnsi="Symbol"/>
      </w:rPr>
    </w:lvl>
    <w:lvl w:ilvl="4" w:tplc="2FD2AFC6">
      <w:start w:val="1"/>
      <w:numFmt w:val="bullet"/>
      <w:suff w:val="tab"/>
      <w:lvlText w:val="·"/>
      <w:lvlJc w:val="left"/>
      <w:pPr>
        <w:ind w:hanging="360" w:left="3600"/>
      </w:pPr>
      <w:rPr>
        <w:rFonts w:ascii="Symbol" w:hAnsi="Symbol"/>
      </w:rPr>
    </w:lvl>
    <w:lvl w:ilvl="5" w:tplc="72C63E7F">
      <w:start w:val="1"/>
      <w:numFmt w:val="bullet"/>
      <w:suff w:val="tab"/>
      <w:lvlText w:val="o"/>
      <w:lvlJc w:val="left"/>
      <w:pPr>
        <w:ind w:hanging="360" w:left="4320"/>
      </w:pPr>
      <w:rPr>
        <w:rFonts w:ascii="Symbol" w:hAnsi="Symbol"/>
      </w:rPr>
    </w:lvl>
    <w:lvl w:ilvl="6" w:tplc="55E7C503">
      <w:start w:val="1"/>
      <w:numFmt w:val="bullet"/>
      <w:suff w:val="tab"/>
      <w:lvlText w:val="·"/>
      <w:lvlJc w:val="left"/>
      <w:pPr>
        <w:ind w:hanging="360" w:left="5040"/>
      </w:pPr>
      <w:rPr>
        <w:rFonts w:ascii="Symbol" w:hAnsi="Symbol"/>
      </w:rPr>
    </w:lvl>
    <w:lvl w:ilvl="7" w:tplc="6F3FBAEA">
      <w:start w:val="1"/>
      <w:numFmt w:val="bullet"/>
      <w:suff w:val="tab"/>
      <w:lvlText w:val="o"/>
      <w:lvlJc w:val="left"/>
      <w:pPr>
        <w:ind w:hanging="360" w:left="5760"/>
      </w:pPr>
      <w:rPr>
        <w:rFonts w:ascii="Symbol" w:hAnsi="Symbol"/>
      </w:rPr>
    </w:lvl>
    <w:lvl w:ilvl="8" w:tplc="04E658C1">
      <w:start w:val="1"/>
      <w:numFmt w:val="bullet"/>
      <w:suff w:val="tab"/>
      <w:lvlText w:val="·"/>
      <w:lvlJc w:val="left"/>
      <w:pPr>
        <w:ind w:hanging="360" w:left="6480"/>
      </w:pPr>
      <w:rPr>
        <w:rFonts w:ascii="Symbol" w:hAnsi="Symbol"/>
      </w:rPr>
    </w:lvl>
  </w:abstractNum>
  <w:abstractNum w:abstractNumId="83">
    <w:nsid w:val="27F6DE2E"/>
    <w:multiLevelType w:val="hybridMultilevel"/>
    <w:lvl w:ilvl="0" w:tplc="7A1B1AF9">
      <w:start w:val="1"/>
      <w:numFmt w:val="bullet"/>
      <w:suff w:val="tab"/>
      <w:lvlText w:val="·"/>
      <w:lvlJc w:val="left"/>
      <w:pPr>
        <w:ind w:hanging="360" w:left="720"/>
      </w:pPr>
      <w:rPr>
        <w:rFonts w:ascii="Symbol" w:hAnsi="Symbol" w:cs="Symbol" w:eastAsia="Symbol"/>
      </w:rPr>
    </w:lvl>
    <w:lvl w:ilvl="1" w:tplc="60E95C88">
      <w:start w:val="1"/>
      <w:numFmt w:val="bullet"/>
      <w:suff w:val="tab"/>
      <w:lvlText w:val="o"/>
      <w:lvlJc w:val="left"/>
      <w:pPr>
        <w:ind w:hanging="360" w:left="1440"/>
      </w:pPr>
      <w:rPr>
        <w:rFonts w:ascii="Symbol" w:hAnsi="Symbol"/>
      </w:rPr>
    </w:lvl>
    <w:lvl w:ilvl="2" w:tplc="08B5FE19">
      <w:start w:val="1"/>
      <w:numFmt w:val="bullet"/>
      <w:suff w:val="tab"/>
      <w:lvlText w:val="·"/>
      <w:lvlJc w:val="left"/>
      <w:pPr>
        <w:ind w:hanging="360" w:left="2160"/>
      </w:pPr>
      <w:rPr>
        <w:rFonts w:ascii="Symbol" w:hAnsi="Symbol"/>
      </w:rPr>
    </w:lvl>
    <w:lvl w:ilvl="3" w:tplc="593D16F8">
      <w:start w:val="1"/>
      <w:numFmt w:val="bullet"/>
      <w:suff w:val="tab"/>
      <w:lvlText w:val="o"/>
      <w:lvlJc w:val="left"/>
      <w:pPr>
        <w:ind w:hanging="360" w:left="2880"/>
      </w:pPr>
      <w:rPr>
        <w:rFonts w:ascii="Symbol" w:hAnsi="Symbol"/>
      </w:rPr>
    </w:lvl>
    <w:lvl w:ilvl="4" w:tplc="46860C1A">
      <w:start w:val="1"/>
      <w:numFmt w:val="bullet"/>
      <w:suff w:val="tab"/>
      <w:lvlText w:val="·"/>
      <w:lvlJc w:val="left"/>
      <w:pPr>
        <w:ind w:hanging="360" w:left="3600"/>
      </w:pPr>
      <w:rPr>
        <w:rFonts w:ascii="Symbol" w:hAnsi="Symbol"/>
      </w:rPr>
    </w:lvl>
    <w:lvl w:ilvl="5" w:tplc="2319B776">
      <w:start w:val="1"/>
      <w:numFmt w:val="bullet"/>
      <w:suff w:val="tab"/>
      <w:lvlText w:val="o"/>
      <w:lvlJc w:val="left"/>
      <w:pPr>
        <w:ind w:hanging="360" w:left="4320"/>
      </w:pPr>
      <w:rPr>
        <w:rFonts w:ascii="Symbol" w:hAnsi="Symbol"/>
      </w:rPr>
    </w:lvl>
    <w:lvl w:ilvl="6" w:tplc="594E65CB">
      <w:start w:val="1"/>
      <w:numFmt w:val="bullet"/>
      <w:suff w:val="tab"/>
      <w:lvlText w:val="·"/>
      <w:lvlJc w:val="left"/>
      <w:pPr>
        <w:ind w:hanging="360" w:left="5040"/>
      </w:pPr>
      <w:rPr>
        <w:rFonts w:ascii="Symbol" w:hAnsi="Symbol"/>
      </w:rPr>
    </w:lvl>
    <w:lvl w:ilvl="7" w:tplc="0D71629C">
      <w:start w:val="1"/>
      <w:numFmt w:val="bullet"/>
      <w:suff w:val="tab"/>
      <w:lvlText w:val="o"/>
      <w:lvlJc w:val="left"/>
      <w:pPr>
        <w:ind w:hanging="360" w:left="5760"/>
      </w:pPr>
      <w:rPr>
        <w:rFonts w:ascii="Symbol" w:hAnsi="Symbol"/>
      </w:rPr>
    </w:lvl>
    <w:lvl w:ilvl="8" w:tplc="2F3A37A3">
      <w:start w:val="1"/>
      <w:numFmt w:val="bullet"/>
      <w:suff w:val="tab"/>
      <w:lvlText w:val="·"/>
      <w:lvlJc w:val="left"/>
      <w:pPr>
        <w:ind w:hanging="360" w:left="6480"/>
      </w:pPr>
      <w:rPr>
        <w:rFonts w:ascii="Symbol" w:hAnsi="Symbol"/>
      </w:rPr>
    </w:lvl>
  </w:abstractNum>
  <w:abstractNum w:abstractNumId="84">
    <w:nsid w:val="1506F26B"/>
    <w:multiLevelType w:val="hybridMultilevel"/>
    <w:lvl w:ilvl="0" w:tplc="7A878247">
      <w:start w:val="1"/>
      <w:numFmt w:val="bullet"/>
      <w:suff w:val="tab"/>
      <w:lvlText w:val="·"/>
      <w:lvlJc w:val="left"/>
      <w:pPr>
        <w:ind w:hanging="360" w:left="720"/>
      </w:pPr>
      <w:rPr>
        <w:rFonts w:ascii="Symbol" w:hAnsi="Symbol" w:cs="Symbol" w:eastAsia="Symbol"/>
      </w:rPr>
    </w:lvl>
    <w:lvl w:ilvl="1" w:tplc="4BF05C63">
      <w:start w:val="1"/>
      <w:numFmt w:val="bullet"/>
      <w:suff w:val="tab"/>
      <w:lvlText w:val="o"/>
      <w:lvlJc w:val="left"/>
      <w:pPr>
        <w:ind w:hanging="360" w:left="1440"/>
      </w:pPr>
      <w:rPr>
        <w:rFonts w:ascii="Symbol" w:hAnsi="Symbol"/>
      </w:rPr>
    </w:lvl>
    <w:lvl w:ilvl="2" w:tplc="07C7A23D">
      <w:start w:val="1"/>
      <w:numFmt w:val="bullet"/>
      <w:suff w:val="tab"/>
      <w:lvlText w:val="·"/>
      <w:lvlJc w:val="left"/>
      <w:pPr>
        <w:ind w:hanging="360" w:left="2160"/>
      </w:pPr>
      <w:rPr>
        <w:rFonts w:ascii="Symbol" w:hAnsi="Symbol"/>
      </w:rPr>
    </w:lvl>
    <w:lvl w:ilvl="3" w:tplc="7F2452F6">
      <w:start w:val="1"/>
      <w:numFmt w:val="bullet"/>
      <w:suff w:val="tab"/>
      <w:lvlText w:val="o"/>
      <w:lvlJc w:val="left"/>
      <w:pPr>
        <w:ind w:hanging="360" w:left="2880"/>
      </w:pPr>
      <w:rPr>
        <w:rFonts w:ascii="Symbol" w:hAnsi="Symbol"/>
      </w:rPr>
    </w:lvl>
    <w:lvl w:ilvl="4" w:tplc="7643BD9B">
      <w:start w:val="1"/>
      <w:numFmt w:val="bullet"/>
      <w:suff w:val="tab"/>
      <w:lvlText w:val="·"/>
      <w:lvlJc w:val="left"/>
      <w:pPr>
        <w:ind w:hanging="360" w:left="3600"/>
      </w:pPr>
      <w:rPr>
        <w:rFonts w:ascii="Symbol" w:hAnsi="Symbol"/>
      </w:rPr>
    </w:lvl>
    <w:lvl w:ilvl="5" w:tplc="5F6CFEC1">
      <w:start w:val="1"/>
      <w:numFmt w:val="bullet"/>
      <w:suff w:val="tab"/>
      <w:lvlText w:val="o"/>
      <w:lvlJc w:val="left"/>
      <w:pPr>
        <w:ind w:hanging="360" w:left="4320"/>
      </w:pPr>
      <w:rPr>
        <w:rFonts w:ascii="Symbol" w:hAnsi="Symbol"/>
      </w:rPr>
    </w:lvl>
    <w:lvl w:ilvl="6" w:tplc="62A75755">
      <w:start w:val="1"/>
      <w:numFmt w:val="bullet"/>
      <w:suff w:val="tab"/>
      <w:lvlText w:val="·"/>
      <w:lvlJc w:val="left"/>
      <w:pPr>
        <w:ind w:hanging="360" w:left="5040"/>
      </w:pPr>
      <w:rPr>
        <w:rFonts w:ascii="Symbol" w:hAnsi="Symbol"/>
      </w:rPr>
    </w:lvl>
    <w:lvl w:ilvl="7" w:tplc="34BE9072">
      <w:start w:val="1"/>
      <w:numFmt w:val="bullet"/>
      <w:suff w:val="tab"/>
      <w:lvlText w:val="o"/>
      <w:lvlJc w:val="left"/>
      <w:pPr>
        <w:ind w:hanging="360" w:left="5760"/>
      </w:pPr>
      <w:rPr>
        <w:rFonts w:ascii="Symbol" w:hAnsi="Symbol"/>
      </w:rPr>
    </w:lvl>
    <w:lvl w:ilvl="8" w:tplc="631CAAC0">
      <w:start w:val="1"/>
      <w:numFmt w:val="bullet"/>
      <w:suff w:val="tab"/>
      <w:lvlText w:val="·"/>
      <w:lvlJc w:val="left"/>
      <w:pPr>
        <w:ind w:hanging="360" w:left="6480"/>
      </w:pPr>
      <w:rPr>
        <w:rFonts w:ascii="Symbol" w:hAnsi="Symbol"/>
      </w:rPr>
    </w:lvl>
  </w:abstractNum>
  <w:abstractNum w:abstractNumId="85">
    <w:nsid w:val="2C8F7B4B"/>
    <w:multiLevelType w:val="hybridMultilevel"/>
    <w:lvl w:ilvl="0" w:tplc="0DA43D8A">
      <w:start w:val="1"/>
      <w:numFmt w:val="bullet"/>
      <w:suff w:val="tab"/>
      <w:lvlText w:val="·"/>
      <w:lvlJc w:val="left"/>
      <w:pPr>
        <w:ind w:hanging="360" w:left="720"/>
      </w:pPr>
      <w:rPr>
        <w:rFonts w:ascii="Symbol" w:hAnsi="Symbol" w:cs="Symbol" w:eastAsia="Symbol"/>
      </w:rPr>
    </w:lvl>
    <w:lvl w:ilvl="1" w:tplc="2E209886">
      <w:start w:val="1"/>
      <w:numFmt w:val="bullet"/>
      <w:suff w:val="tab"/>
      <w:lvlText w:val="o"/>
      <w:lvlJc w:val="left"/>
      <w:pPr>
        <w:ind w:hanging="360" w:left="1440"/>
      </w:pPr>
      <w:rPr>
        <w:rFonts w:ascii="Symbol" w:hAnsi="Symbol"/>
      </w:rPr>
    </w:lvl>
    <w:lvl w:ilvl="2" w:tplc="58CF92E5">
      <w:start w:val="1"/>
      <w:numFmt w:val="bullet"/>
      <w:suff w:val="tab"/>
      <w:lvlText w:val="·"/>
      <w:lvlJc w:val="left"/>
      <w:pPr>
        <w:ind w:hanging="360" w:left="2160"/>
      </w:pPr>
      <w:rPr>
        <w:rFonts w:ascii="Symbol" w:hAnsi="Symbol"/>
      </w:rPr>
    </w:lvl>
    <w:lvl w:ilvl="3" w:tplc="7FBFF92F">
      <w:start w:val="1"/>
      <w:numFmt w:val="bullet"/>
      <w:suff w:val="tab"/>
      <w:lvlText w:val="o"/>
      <w:lvlJc w:val="left"/>
      <w:pPr>
        <w:ind w:hanging="360" w:left="2880"/>
      </w:pPr>
      <w:rPr>
        <w:rFonts w:ascii="Symbol" w:hAnsi="Symbol"/>
      </w:rPr>
    </w:lvl>
    <w:lvl w:ilvl="4" w:tplc="47E27868">
      <w:start w:val="1"/>
      <w:numFmt w:val="bullet"/>
      <w:suff w:val="tab"/>
      <w:lvlText w:val="·"/>
      <w:lvlJc w:val="left"/>
      <w:pPr>
        <w:ind w:hanging="360" w:left="3600"/>
      </w:pPr>
      <w:rPr>
        <w:rFonts w:ascii="Symbol" w:hAnsi="Symbol"/>
      </w:rPr>
    </w:lvl>
    <w:lvl w:ilvl="5" w:tplc="353198EE">
      <w:start w:val="1"/>
      <w:numFmt w:val="bullet"/>
      <w:suff w:val="tab"/>
      <w:lvlText w:val="o"/>
      <w:lvlJc w:val="left"/>
      <w:pPr>
        <w:ind w:hanging="360" w:left="4320"/>
      </w:pPr>
      <w:rPr>
        <w:rFonts w:ascii="Symbol" w:hAnsi="Symbol"/>
      </w:rPr>
    </w:lvl>
    <w:lvl w:ilvl="6" w:tplc="15270055">
      <w:start w:val="1"/>
      <w:numFmt w:val="bullet"/>
      <w:suff w:val="tab"/>
      <w:lvlText w:val="·"/>
      <w:lvlJc w:val="left"/>
      <w:pPr>
        <w:ind w:hanging="360" w:left="5040"/>
      </w:pPr>
      <w:rPr>
        <w:rFonts w:ascii="Symbol" w:hAnsi="Symbol"/>
      </w:rPr>
    </w:lvl>
    <w:lvl w:ilvl="7" w:tplc="7FB2B795">
      <w:start w:val="1"/>
      <w:numFmt w:val="bullet"/>
      <w:suff w:val="tab"/>
      <w:lvlText w:val="o"/>
      <w:lvlJc w:val="left"/>
      <w:pPr>
        <w:ind w:hanging="360" w:left="5760"/>
      </w:pPr>
      <w:rPr>
        <w:rFonts w:ascii="Symbol" w:hAnsi="Symbol"/>
      </w:rPr>
    </w:lvl>
    <w:lvl w:ilvl="8" w:tplc="0167423A">
      <w:start w:val="1"/>
      <w:numFmt w:val="bullet"/>
      <w:suff w:val="tab"/>
      <w:lvlText w:val="·"/>
      <w:lvlJc w:val="left"/>
      <w:pPr>
        <w:ind w:hanging="360" w:left="6480"/>
      </w:pPr>
      <w:rPr>
        <w:rFonts w:ascii="Symbol" w:hAnsi="Symbol"/>
      </w:rPr>
    </w:lvl>
  </w:abstractNum>
  <w:abstractNum w:abstractNumId="86">
    <w:nsid w:val="241098B5"/>
    <w:multiLevelType w:val="hybridMultilevel"/>
    <w:lvl w:ilvl="0" w:tplc="19D6F6F4">
      <w:start w:val="1"/>
      <w:numFmt w:val="bullet"/>
      <w:suff w:val="tab"/>
      <w:lvlText w:val="·"/>
      <w:lvlJc w:val="left"/>
      <w:pPr>
        <w:ind w:hanging="360" w:left="720"/>
      </w:pPr>
      <w:rPr>
        <w:rFonts w:ascii="Symbol" w:hAnsi="Symbol" w:cs="Symbol" w:eastAsia="Symbol"/>
      </w:rPr>
    </w:lvl>
    <w:lvl w:ilvl="1" w:tplc="32A54DC4">
      <w:start w:val="1"/>
      <w:numFmt w:val="bullet"/>
      <w:suff w:val="tab"/>
      <w:lvlText w:val="o"/>
      <w:lvlJc w:val="left"/>
      <w:pPr>
        <w:ind w:hanging="360" w:left="1440"/>
      </w:pPr>
      <w:rPr>
        <w:rFonts w:ascii="Symbol" w:hAnsi="Symbol"/>
      </w:rPr>
    </w:lvl>
    <w:lvl w:ilvl="2" w:tplc="07E50BB0">
      <w:start w:val="1"/>
      <w:numFmt w:val="bullet"/>
      <w:suff w:val="tab"/>
      <w:lvlText w:val="·"/>
      <w:lvlJc w:val="left"/>
      <w:pPr>
        <w:ind w:hanging="360" w:left="2160"/>
      </w:pPr>
      <w:rPr>
        <w:rFonts w:ascii="Symbol" w:hAnsi="Symbol"/>
      </w:rPr>
    </w:lvl>
    <w:lvl w:ilvl="3" w:tplc="15EEC9F9">
      <w:start w:val="1"/>
      <w:numFmt w:val="bullet"/>
      <w:suff w:val="tab"/>
      <w:lvlText w:val="o"/>
      <w:lvlJc w:val="left"/>
      <w:pPr>
        <w:ind w:hanging="360" w:left="2880"/>
      </w:pPr>
      <w:rPr>
        <w:rFonts w:ascii="Symbol" w:hAnsi="Symbol"/>
      </w:rPr>
    </w:lvl>
    <w:lvl w:ilvl="4" w:tplc="00234DD7">
      <w:start w:val="1"/>
      <w:numFmt w:val="bullet"/>
      <w:suff w:val="tab"/>
      <w:lvlText w:val="·"/>
      <w:lvlJc w:val="left"/>
      <w:pPr>
        <w:ind w:hanging="360" w:left="3600"/>
      </w:pPr>
      <w:rPr>
        <w:rFonts w:ascii="Symbol" w:hAnsi="Symbol"/>
      </w:rPr>
    </w:lvl>
    <w:lvl w:ilvl="5" w:tplc="710606B8">
      <w:start w:val="1"/>
      <w:numFmt w:val="bullet"/>
      <w:suff w:val="tab"/>
      <w:lvlText w:val="o"/>
      <w:lvlJc w:val="left"/>
      <w:pPr>
        <w:ind w:hanging="360" w:left="4320"/>
      </w:pPr>
      <w:rPr>
        <w:rFonts w:ascii="Symbol" w:hAnsi="Symbol"/>
      </w:rPr>
    </w:lvl>
    <w:lvl w:ilvl="6" w:tplc="7050D91E">
      <w:start w:val="1"/>
      <w:numFmt w:val="bullet"/>
      <w:suff w:val="tab"/>
      <w:lvlText w:val="·"/>
      <w:lvlJc w:val="left"/>
      <w:pPr>
        <w:ind w:hanging="360" w:left="5040"/>
      </w:pPr>
      <w:rPr>
        <w:rFonts w:ascii="Symbol" w:hAnsi="Symbol"/>
      </w:rPr>
    </w:lvl>
    <w:lvl w:ilvl="7" w:tplc="5929DAA2">
      <w:start w:val="1"/>
      <w:numFmt w:val="bullet"/>
      <w:suff w:val="tab"/>
      <w:lvlText w:val="o"/>
      <w:lvlJc w:val="left"/>
      <w:pPr>
        <w:ind w:hanging="360" w:left="5760"/>
      </w:pPr>
      <w:rPr>
        <w:rFonts w:ascii="Symbol" w:hAnsi="Symbol"/>
      </w:rPr>
    </w:lvl>
    <w:lvl w:ilvl="8" w:tplc="7A5179D1">
      <w:start w:val="1"/>
      <w:numFmt w:val="bullet"/>
      <w:suff w:val="tab"/>
      <w:lvlText w:val="·"/>
      <w:lvlJc w:val="left"/>
      <w:pPr>
        <w:ind w:hanging="360" w:left="6480"/>
      </w:pPr>
      <w:rPr>
        <w:rFonts w:ascii="Symbol" w:hAnsi="Symbol"/>
      </w:rPr>
    </w:lvl>
  </w:abstractNum>
  <w:abstractNum w:abstractNumId="87">
    <w:nsid w:val="12214A5C"/>
    <w:multiLevelType w:val="hybridMultilevel"/>
    <w:lvl w:ilvl="0" w:tplc="7BBE1507">
      <w:start w:val="1"/>
      <w:numFmt w:val="bullet"/>
      <w:suff w:val="tab"/>
      <w:lvlText w:val="·"/>
      <w:lvlJc w:val="left"/>
      <w:pPr>
        <w:ind w:hanging="360" w:left="720"/>
      </w:pPr>
      <w:rPr>
        <w:rFonts w:ascii="Symbol" w:hAnsi="Symbol" w:cs="Symbol" w:eastAsia="Symbol"/>
      </w:rPr>
    </w:lvl>
    <w:lvl w:ilvl="1" w:tplc="497CAB9E">
      <w:start w:val="1"/>
      <w:numFmt w:val="bullet"/>
      <w:suff w:val="tab"/>
      <w:lvlText w:val="o"/>
      <w:lvlJc w:val="left"/>
      <w:pPr>
        <w:ind w:hanging="360" w:left="1440"/>
      </w:pPr>
      <w:rPr>
        <w:rFonts w:ascii="Symbol" w:hAnsi="Symbol"/>
      </w:rPr>
    </w:lvl>
    <w:lvl w:ilvl="2" w:tplc="0A29DD15">
      <w:start w:val="1"/>
      <w:numFmt w:val="bullet"/>
      <w:suff w:val="tab"/>
      <w:lvlText w:val="·"/>
      <w:lvlJc w:val="left"/>
      <w:pPr>
        <w:ind w:hanging="360" w:left="2160"/>
      </w:pPr>
      <w:rPr>
        <w:rFonts w:ascii="Symbol" w:hAnsi="Symbol"/>
      </w:rPr>
    </w:lvl>
    <w:lvl w:ilvl="3" w:tplc="5A306E3D">
      <w:start w:val="1"/>
      <w:numFmt w:val="bullet"/>
      <w:suff w:val="tab"/>
      <w:lvlText w:val="o"/>
      <w:lvlJc w:val="left"/>
      <w:pPr>
        <w:ind w:hanging="360" w:left="2880"/>
      </w:pPr>
      <w:rPr>
        <w:rFonts w:ascii="Symbol" w:hAnsi="Symbol"/>
      </w:rPr>
    </w:lvl>
    <w:lvl w:ilvl="4" w:tplc="50D42B57">
      <w:start w:val="1"/>
      <w:numFmt w:val="bullet"/>
      <w:suff w:val="tab"/>
      <w:lvlText w:val="·"/>
      <w:lvlJc w:val="left"/>
      <w:pPr>
        <w:ind w:hanging="360" w:left="3600"/>
      </w:pPr>
      <w:rPr>
        <w:rFonts w:ascii="Symbol" w:hAnsi="Symbol"/>
      </w:rPr>
    </w:lvl>
    <w:lvl w:ilvl="5" w:tplc="4400A755">
      <w:start w:val="1"/>
      <w:numFmt w:val="bullet"/>
      <w:suff w:val="tab"/>
      <w:lvlText w:val="o"/>
      <w:lvlJc w:val="left"/>
      <w:pPr>
        <w:ind w:hanging="360" w:left="4320"/>
      </w:pPr>
      <w:rPr>
        <w:rFonts w:ascii="Symbol" w:hAnsi="Symbol"/>
      </w:rPr>
    </w:lvl>
    <w:lvl w:ilvl="6" w:tplc="35A6E7A7">
      <w:start w:val="1"/>
      <w:numFmt w:val="bullet"/>
      <w:suff w:val="tab"/>
      <w:lvlText w:val="·"/>
      <w:lvlJc w:val="left"/>
      <w:pPr>
        <w:ind w:hanging="360" w:left="5040"/>
      </w:pPr>
      <w:rPr>
        <w:rFonts w:ascii="Symbol" w:hAnsi="Symbol"/>
      </w:rPr>
    </w:lvl>
    <w:lvl w:ilvl="7" w:tplc="1A5092CD">
      <w:start w:val="1"/>
      <w:numFmt w:val="bullet"/>
      <w:suff w:val="tab"/>
      <w:lvlText w:val="o"/>
      <w:lvlJc w:val="left"/>
      <w:pPr>
        <w:ind w:hanging="360" w:left="5760"/>
      </w:pPr>
      <w:rPr>
        <w:rFonts w:ascii="Symbol" w:hAnsi="Symbol"/>
      </w:rPr>
    </w:lvl>
    <w:lvl w:ilvl="8" w:tplc="2E3D44DC">
      <w:start w:val="1"/>
      <w:numFmt w:val="bullet"/>
      <w:suff w:val="tab"/>
      <w:lvlText w:val="·"/>
      <w:lvlJc w:val="left"/>
      <w:pPr>
        <w:ind w:hanging="360" w:left="6480"/>
      </w:pPr>
      <w:rPr>
        <w:rFonts w:ascii="Symbol" w:hAnsi="Symbol"/>
      </w:rPr>
    </w:lvl>
  </w:abstractNum>
  <w:abstractNum w:abstractNumId="88">
    <w:nsid w:val="43EFBDD5"/>
    <w:multiLevelType w:val="hybridMultilevel"/>
    <w:lvl w:ilvl="0" w:tplc="51E57B8F">
      <w:start w:val="1"/>
      <w:numFmt w:val="bullet"/>
      <w:suff w:val="tab"/>
      <w:lvlText w:val="·"/>
      <w:lvlJc w:val="left"/>
      <w:pPr>
        <w:ind w:hanging="360" w:left="720"/>
      </w:pPr>
      <w:rPr>
        <w:rFonts w:ascii="Symbol" w:hAnsi="Symbol" w:cs="Symbol" w:eastAsia="Symbol"/>
      </w:rPr>
    </w:lvl>
    <w:lvl w:ilvl="1" w:tplc="2F0275F8">
      <w:start w:val="1"/>
      <w:numFmt w:val="bullet"/>
      <w:suff w:val="tab"/>
      <w:lvlText w:val="o"/>
      <w:lvlJc w:val="left"/>
      <w:pPr>
        <w:ind w:hanging="360" w:left="1440"/>
      </w:pPr>
      <w:rPr>
        <w:rFonts w:ascii="Symbol" w:hAnsi="Symbol"/>
      </w:rPr>
    </w:lvl>
    <w:lvl w:ilvl="2" w:tplc="0BAD94CB">
      <w:start w:val="1"/>
      <w:numFmt w:val="bullet"/>
      <w:suff w:val="tab"/>
      <w:lvlText w:val="·"/>
      <w:lvlJc w:val="left"/>
      <w:pPr>
        <w:ind w:hanging="360" w:left="2160"/>
      </w:pPr>
      <w:rPr>
        <w:rFonts w:ascii="Symbol" w:hAnsi="Symbol"/>
      </w:rPr>
    </w:lvl>
    <w:lvl w:ilvl="3" w:tplc="5E753D9E">
      <w:start w:val="1"/>
      <w:numFmt w:val="bullet"/>
      <w:suff w:val="tab"/>
      <w:lvlText w:val="o"/>
      <w:lvlJc w:val="left"/>
      <w:pPr>
        <w:ind w:hanging="360" w:left="2880"/>
      </w:pPr>
      <w:rPr>
        <w:rFonts w:ascii="Symbol" w:hAnsi="Symbol"/>
      </w:rPr>
    </w:lvl>
    <w:lvl w:ilvl="4" w:tplc="4387BF46">
      <w:start w:val="1"/>
      <w:numFmt w:val="bullet"/>
      <w:suff w:val="tab"/>
      <w:lvlText w:val="·"/>
      <w:lvlJc w:val="left"/>
      <w:pPr>
        <w:ind w:hanging="360" w:left="3600"/>
      </w:pPr>
      <w:rPr>
        <w:rFonts w:ascii="Symbol" w:hAnsi="Symbol"/>
      </w:rPr>
    </w:lvl>
    <w:lvl w:ilvl="5" w:tplc="250F062E">
      <w:start w:val="1"/>
      <w:numFmt w:val="bullet"/>
      <w:suff w:val="tab"/>
      <w:lvlText w:val="o"/>
      <w:lvlJc w:val="left"/>
      <w:pPr>
        <w:ind w:hanging="360" w:left="4320"/>
      </w:pPr>
      <w:rPr>
        <w:rFonts w:ascii="Symbol" w:hAnsi="Symbol"/>
      </w:rPr>
    </w:lvl>
    <w:lvl w:ilvl="6" w:tplc="66939D69">
      <w:start w:val="1"/>
      <w:numFmt w:val="bullet"/>
      <w:suff w:val="tab"/>
      <w:lvlText w:val="·"/>
      <w:lvlJc w:val="left"/>
      <w:pPr>
        <w:ind w:hanging="360" w:left="5040"/>
      </w:pPr>
      <w:rPr>
        <w:rFonts w:ascii="Symbol" w:hAnsi="Symbol"/>
      </w:rPr>
    </w:lvl>
    <w:lvl w:ilvl="7" w:tplc="543CA312">
      <w:start w:val="1"/>
      <w:numFmt w:val="bullet"/>
      <w:suff w:val="tab"/>
      <w:lvlText w:val="o"/>
      <w:lvlJc w:val="left"/>
      <w:pPr>
        <w:ind w:hanging="360" w:left="5760"/>
      </w:pPr>
      <w:rPr>
        <w:rFonts w:ascii="Symbol" w:hAnsi="Symbol"/>
      </w:rPr>
    </w:lvl>
    <w:lvl w:ilvl="8" w:tplc="7728349D">
      <w:start w:val="1"/>
      <w:numFmt w:val="bullet"/>
      <w:suff w:val="tab"/>
      <w:lvlText w:val="·"/>
      <w:lvlJc w:val="left"/>
      <w:pPr>
        <w:ind w:hanging="360" w:left="6480"/>
      </w:pPr>
      <w:rPr>
        <w:rFonts w:ascii="Symbol" w:hAnsi="Symbol"/>
      </w:rPr>
    </w:lvl>
  </w:abstractNum>
  <w:abstractNum w:abstractNumId="89">
    <w:nsid w:val="1FC7D6D8"/>
    <w:multiLevelType w:val="hybridMultilevel"/>
    <w:lvl w:ilvl="0" w:tplc="0E8A8115">
      <w:start w:val="1"/>
      <w:numFmt w:val="bullet"/>
      <w:suff w:val="tab"/>
      <w:lvlText w:val="·"/>
      <w:lvlJc w:val="left"/>
      <w:pPr>
        <w:ind w:hanging="360" w:left="720"/>
      </w:pPr>
      <w:rPr>
        <w:rFonts w:ascii="Symbol" w:hAnsi="Symbol" w:cs="Symbol" w:eastAsia="Symbol"/>
      </w:rPr>
    </w:lvl>
    <w:lvl w:ilvl="1" w:tplc="3A805DE0">
      <w:start w:val="1"/>
      <w:numFmt w:val="bullet"/>
      <w:suff w:val="tab"/>
      <w:lvlText w:val="o"/>
      <w:lvlJc w:val="left"/>
      <w:pPr>
        <w:ind w:hanging="360" w:left="1440"/>
      </w:pPr>
      <w:rPr>
        <w:rFonts w:ascii="Symbol" w:hAnsi="Symbol"/>
      </w:rPr>
    </w:lvl>
    <w:lvl w:ilvl="2" w:tplc="2CAB6A71">
      <w:start w:val="1"/>
      <w:numFmt w:val="bullet"/>
      <w:suff w:val="tab"/>
      <w:lvlText w:val="·"/>
      <w:lvlJc w:val="left"/>
      <w:pPr>
        <w:ind w:hanging="360" w:left="2160"/>
      </w:pPr>
      <w:rPr>
        <w:rFonts w:ascii="Symbol" w:hAnsi="Symbol"/>
      </w:rPr>
    </w:lvl>
    <w:lvl w:ilvl="3" w:tplc="161E6088">
      <w:start w:val="1"/>
      <w:numFmt w:val="bullet"/>
      <w:suff w:val="tab"/>
      <w:lvlText w:val="o"/>
      <w:lvlJc w:val="left"/>
      <w:pPr>
        <w:ind w:hanging="360" w:left="2880"/>
      </w:pPr>
      <w:rPr>
        <w:rFonts w:ascii="Symbol" w:hAnsi="Symbol"/>
      </w:rPr>
    </w:lvl>
    <w:lvl w:ilvl="4" w:tplc="57064D23">
      <w:start w:val="1"/>
      <w:numFmt w:val="bullet"/>
      <w:suff w:val="tab"/>
      <w:lvlText w:val="·"/>
      <w:lvlJc w:val="left"/>
      <w:pPr>
        <w:ind w:hanging="360" w:left="3600"/>
      </w:pPr>
      <w:rPr>
        <w:rFonts w:ascii="Symbol" w:hAnsi="Symbol"/>
      </w:rPr>
    </w:lvl>
    <w:lvl w:ilvl="5" w:tplc="13FC5EE4">
      <w:start w:val="1"/>
      <w:numFmt w:val="bullet"/>
      <w:suff w:val="tab"/>
      <w:lvlText w:val="o"/>
      <w:lvlJc w:val="left"/>
      <w:pPr>
        <w:ind w:hanging="360" w:left="4320"/>
      </w:pPr>
      <w:rPr>
        <w:rFonts w:ascii="Symbol" w:hAnsi="Symbol"/>
      </w:rPr>
    </w:lvl>
    <w:lvl w:ilvl="6" w:tplc="5B456D8C">
      <w:start w:val="1"/>
      <w:numFmt w:val="bullet"/>
      <w:suff w:val="tab"/>
      <w:lvlText w:val="·"/>
      <w:lvlJc w:val="left"/>
      <w:pPr>
        <w:ind w:hanging="360" w:left="5040"/>
      </w:pPr>
      <w:rPr>
        <w:rFonts w:ascii="Symbol" w:hAnsi="Symbol"/>
      </w:rPr>
    </w:lvl>
    <w:lvl w:ilvl="7" w:tplc="57849587">
      <w:start w:val="1"/>
      <w:numFmt w:val="bullet"/>
      <w:suff w:val="tab"/>
      <w:lvlText w:val="o"/>
      <w:lvlJc w:val="left"/>
      <w:pPr>
        <w:ind w:hanging="360" w:left="5760"/>
      </w:pPr>
      <w:rPr>
        <w:rFonts w:ascii="Symbol" w:hAnsi="Symbol"/>
      </w:rPr>
    </w:lvl>
    <w:lvl w:ilvl="8" w:tplc="629BDD4A">
      <w:start w:val="1"/>
      <w:numFmt w:val="bullet"/>
      <w:suff w:val="tab"/>
      <w:lvlText w:val="·"/>
      <w:lvlJc w:val="left"/>
      <w:pPr>
        <w:ind w:hanging="360" w:left="6480"/>
      </w:pPr>
      <w:rPr>
        <w:rFonts w:ascii="Symbol" w:hAnsi="Symbol"/>
      </w:rPr>
    </w:lvl>
  </w:abstractNum>
  <w:abstractNum w:abstractNumId="90">
    <w:nsid w:val="3E502822"/>
    <w:multiLevelType w:val="hybridMultilevel"/>
    <w:lvl w:ilvl="0" w:tplc="78FDF5FD">
      <w:start w:val="1"/>
      <w:numFmt w:val="bullet"/>
      <w:suff w:val="tab"/>
      <w:lvlText w:val="·"/>
      <w:lvlJc w:val="left"/>
      <w:pPr>
        <w:ind w:hanging="360" w:left="720"/>
      </w:pPr>
      <w:rPr>
        <w:rFonts w:ascii="Symbol" w:hAnsi="Symbol" w:cs="Symbol" w:eastAsia="Symbol"/>
      </w:rPr>
    </w:lvl>
    <w:lvl w:ilvl="1" w:tplc="4832CE28">
      <w:start w:val="1"/>
      <w:numFmt w:val="bullet"/>
      <w:suff w:val="tab"/>
      <w:lvlText w:val="o"/>
      <w:lvlJc w:val="left"/>
      <w:pPr>
        <w:ind w:hanging="360" w:left="1440"/>
      </w:pPr>
      <w:rPr>
        <w:rFonts w:ascii="Symbol" w:hAnsi="Symbol"/>
      </w:rPr>
    </w:lvl>
    <w:lvl w:ilvl="2" w:tplc="508B849A">
      <w:start w:val="1"/>
      <w:numFmt w:val="bullet"/>
      <w:suff w:val="tab"/>
      <w:lvlText w:val="·"/>
      <w:lvlJc w:val="left"/>
      <w:pPr>
        <w:ind w:hanging="360" w:left="2160"/>
      </w:pPr>
      <w:rPr>
        <w:rFonts w:ascii="Symbol" w:hAnsi="Symbol"/>
      </w:rPr>
    </w:lvl>
    <w:lvl w:ilvl="3" w:tplc="03981284">
      <w:start w:val="1"/>
      <w:numFmt w:val="bullet"/>
      <w:suff w:val="tab"/>
      <w:lvlText w:val="o"/>
      <w:lvlJc w:val="left"/>
      <w:pPr>
        <w:ind w:hanging="360" w:left="2880"/>
      </w:pPr>
      <w:rPr>
        <w:rFonts w:ascii="Symbol" w:hAnsi="Symbol"/>
      </w:rPr>
    </w:lvl>
    <w:lvl w:ilvl="4" w:tplc="6E69578A">
      <w:start w:val="1"/>
      <w:numFmt w:val="bullet"/>
      <w:suff w:val="tab"/>
      <w:lvlText w:val="·"/>
      <w:lvlJc w:val="left"/>
      <w:pPr>
        <w:ind w:hanging="360" w:left="3600"/>
      </w:pPr>
      <w:rPr>
        <w:rFonts w:ascii="Symbol" w:hAnsi="Symbol"/>
      </w:rPr>
    </w:lvl>
    <w:lvl w:ilvl="5" w:tplc="324527DD">
      <w:start w:val="1"/>
      <w:numFmt w:val="bullet"/>
      <w:suff w:val="tab"/>
      <w:lvlText w:val="o"/>
      <w:lvlJc w:val="left"/>
      <w:pPr>
        <w:ind w:hanging="360" w:left="4320"/>
      </w:pPr>
      <w:rPr>
        <w:rFonts w:ascii="Symbol" w:hAnsi="Symbol"/>
      </w:rPr>
    </w:lvl>
    <w:lvl w:ilvl="6" w:tplc="5E34DD01">
      <w:start w:val="1"/>
      <w:numFmt w:val="bullet"/>
      <w:suff w:val="tab"/>
      <w:lvlText w:val="·"/>
      <w:lvlJc w:val="left"/>
      <w:pPr>
        <w:ind w:hanging="360" w:left="5040"/>
      </w:pPr>
      <w:rPr>
        <w:rFonts w:ascii="Symbol" w:hAnsi="Symbol"/>
      </w:rPr>
    </w:lvl>
    <w:lvl w:ilvl="7" w:tplc="481E9600">
      <w:start w:val="1"/>
      <w:numFmt w:val="bullet"/>
      <w:suff w:val="tab"/>
      <w:lvlText w:val="o"/>
      <w:lvlJc w:val="left"/>
      <w:pPr>
        <w:ind w:hanging="360" w:left="5760"/>
      </w:pPr>
      <w:rPr>
        <w:rFonts w:ascii="Symbol" w:hAnsi="Symbol"/>
      </w:rPr>
    </w:lvl>
    <w:lvl w:ilvl="8" w:tplc="2AF6F23B">
      <w:start w:val="1"/>
      <w:numFmt w:val="bullet"/>
      <w:suff w:val="tab"/>
      <w:lvlText w:val="·"/>
      <w:lvlJc w:val="left"/>
      <w:pPr>
        <w:ind w:hanging="360" w:left="6480"/>
      </w:pPr>
      <w:rPr>
        <w:rFonts w:ascii="Symbol" w:hAnsi="Symbol"/>
      </w:rPr>
    </w:lvl>
  </w:abstractNum>
  <w:abstractNum w:abstractNumId="91">
    <w:nsid w:val="5E72E3C0"/>
    <w:multiLevelType w:val="hybridMultilevel"/>
    <w:lvl w:ilvl="0" w:tplc="2F5AB04A">
      <w:start w:val="1"/>
      <w:numFmt w:val="bullet"/>
      <w:suff w:val="tab"/>
      <w:lvlText w:val="·"/>
      <w:lvlJc w:val="left"/>
      <w:pPr>
        <w:ind w:hanging="360" w:left="720"/>
      </w:pPr>
      <w:rPr>
        <w:rFonts w:ascii="Symbol" w:hAnsi="Symbol" w:cs="Symbol" w:eastAsia="Symbol"/>
      </w:rPr>
    </w:lvl>
    <w:lvl w:ilvl="1" w:tplc="5CEBD5CD">
      <w:start w:val="1"/>
      <w:numFmt w:val="bullet"/>
      <w:suff w:val="tab"/>
      <w:lvlText w:val="o"/>
      <w:lvlJc w:val="left"/>
      <w:pPr>
        <w:ind w:hanging="360" w:left="1440"/>
      </w:pPr>
      <w:rPr>
        <w:rFonts w:ascii="Symbol" w:hAnsi="Symbol"/>
      </w:rPr>
    </w:lvl>
    <w:lvl w:ilvl="2" w:tplc="5A4A991C">
      <w:start w:val="1"/>
      <w:numFmt w:val="bullet"/>
      <w:suff w:val="tab"/>
      <w:lvlText w:val="·"/>
      <w:lvlJc w:val="left"/>
      <w:pPr>
        <w:ind w:hanging="360" w:left="2160"/>
      </w:pPr>
      <w:rPr>
        <w:rFonts w:ascii="Symbol" w:hAnsi="Symbol"/>
      </w:rPr>
    </w:lvl>
    <w:lvl w:ilvl="3" w:tplc="6C0B0D0A">
      <w:start w:val="1"/>
      <w:numFmt w:val="bullet"/>
      <w:suff w:val="tab"/>
      <w:lvlText w:val="o"/>
      <w:lvlJc w:val="left"/>
      <w:pPr>
        <w:ind w:hanging="360" w:left="2880"/>
      </w:pPr>
      <w:rPr>
        <w:rFonts w:ascii="Symbol" w:hAnsi="Symbol"/>
      </w:rPr>
    </w:lvl>
    <w:lvl w:ilvl="4" w:tplc="1E2D0672">
      <w:start w:val="1"/>
      <w:numFmt w:val="bullet"/>
      <w:suff w:val="tab"/>
      <w:lvlText w:val="·"/>
      <w:lvlJc w:val="left"/>
      <w:pPr>
        <w:ind w:hanging="360" w:left="3600"/>
      </w:pPr>
      <w:rPr>
        <w:rFonts w:ascii="Symbol" w:hAnsi="Symbol"/>
      </w:rPr>
    </w:lvl>
    <w:lvl w:ilvl="5" w:tplc="4A60A6B4">
      <w:start w:val="1"/>
      <w:numFmt w:val="bullet"/>
      <w:suff w:val="tab"/>
      <w:lvlText w:val="o"/>
      <w:lvlJc w:val="left"/>
      <w:pPr>
        <w:ind w:hanging="360" w:left="4320"/>
      </w:pPr>
      <w:rPr>
        <w:rFonts w:ascii="Symbol" w:hAnsi="Symbol"/>
      </w:rPr>
    </w:lvl>
    <w:lvl w:ilvl="6" w:tplc="3AA16E3C">
      <w:start w:val="1"/>
      <w:numFmt w:val="bullet"/>
      <w:suff w:val="tab"/>
      <w:lvlText w:val="·"/>
      <w:lvlJc w:val="left"/>
      <w:pPr>
        <w:ind w:hanging="360" w:left="5040"/>
      </w:pPr>
      <w:rPr>
        <w:rFonts w:ascii="Symbol" w:hAnsi="Symbol"/>
      </w:rPr>
    </w:lvl>
    <w:lvl w:ilvl="7" w:tplc="60488E84">
      <w:start w:val="1"/>
      <w:numFmt w:val="bullet"/>
      <w:suff w:val="tab"/>
      <w:lvlText w:val="o"/>
      <w:lvlJc w:val="left"/>
      <w:pPr>
        <w:ind w:hanging="360" w:left="5760"/>
      </w:pPr>
      <w:rPr>
        <w:rFonts w:ascii="Symbol" w:hAnsi="Symbol"/>
      </w:rPr>
    </w:lvl>
    <w:lvl w:ilvl="8" w:tplc="785F7168">
      <w:start w:val="1"/>
      <w:numFmt w:val="bullet"/>
      <w:suff w:val="tab"/>
      <w:lvlText w:val="·"/>
      <w:lvlJc w:val="left"/>
      <w:pPr>
        <w:ind w:hanging="360" w:left="6480"/>
      </w:pPr>
      <w:rPr>
        <w:rFonts w:ascii="Symbol" w:hAnsi="Symbol"/>
      </w:rPr>
    </w:lvl>
  </w:abstractNum>
  <w:abstractNum w:abstractNumId="92">
    <w:nsid w:val="2DF5C19E"/>
    <w:multiLevelType w:val="hybridMultilevel"/>
    <w:lvl w:ilvl="0" w:tplc="68274AC0">
      <w:start w:val="1"/>
      <w:numFmt w:val="bullet"/>
      <w:suff w:val="tab"/>
      <w:lvlText w:val="·"/>
      <w:lvlJc w:val="left"/>
      <w:pPr>
        <w:ind w:hanging="360" w:left="720"/>
      </w:pPr>
      <w:rPr>
        <w:rFonts w:ascii="Symbol" w:hAnsi="Symbol" w:cs="Symbol" w:eastAsia="Symbol"/>
      </w:rPr>
    </w:lvl>
    <w:lvl w:ilvl="1" w:tplc="0277C88C">
      <w:start w:val="1"/>
      <w:numFmt w:val="bullet"/>
      <w:suff w:val="tab"/>
      <w:lvlText w:val="o"/>
      <w:lvlJc w:val="left"/>
      <w:pPr>
        <w:ind w:hanging="360" w:left="1440"/>
      </w:pPr>
      <w:rPr>
        <w:rFonts w:ascii="Symbol" w:hAnsi="Symbol"/>
      </w:rPr>
    </w:lvl>
    <w:lvl w:ilvl="2" w:tplc="50998C99">
      <w:start w:val="1"/>
      <w:numFmt w:val="bullet"/>
      <w:suff w:val="tab"/>
      <w:lvlText w:val="·"/>
      <w:lvlJc w:val="left"/>
      <w:pPr>
        <w:ind w:hanging="360" w:left="2160"/>
      </w:pPr>
      <w:rPr>
        <w:rFonts w:ascii="Symbol" w:hAnsi="Symbol"/>
      </w:rPr>
    </w:lvl>
    <w:lvl w:ilvl="3" w:tplc="2B429A19">
      <w:start w:val="1"/>
      <w:numFmt w:val="bullet"/>
      <w:suff w:val="tab"/>
      <w:lvlText w:val="o"/>
      <w:lvlJc w:val="left"/>
      <w:pPr>
        <w:ind w:hanging="360" w:left="2880"/>
      </w:pPr>
      <w:rPr>
        <w:rFonts w:ascii="Symbol" w:hAnsi="Symbol"/>
      </w:rPr>
    </w:lvl>
    <w:lvl w:ilvl="4" w:tplc="7B44500D">
      <w:start w:val="1"/>
      <w:numFmt w:val="bullet"/>
      <w:suff w:val="tab"/>
      <w:lvlText w:val="·"/>
      <w:lvlJc w:val="left"/>
      <w:pPr>
        <w:ind w:hanging="360" w:left="3600"/>
      </w:pPr>
      <w:rPr>
        <w:rFonts w:ascii="Symbol" w:hAnsi="Symbol"/>
      </w:rPr>
    </w:lvl>
    <w:lvl w:ilvl="5" w:tplc="4E20ED19">
      <w:start w:val="1"/>
      <w:numFmt w:val="bullet"/>
      <w:suff w:val="tab"/>
      <w:lvlText w:val="o"/>
      <w:lvlJc w:val="left"/>
      <w:pPr>
        <w:ind w:hanging="360" w:left="4320"/>
      </w:pPr>
      <w:rPr>
        <w:rFonts w:ascii="Symbol" w:hAnsi="Symbol"/>
      </w:rPr>
    </w:lvl>
    <w:lvl w:ilvl="6" w:tplc="40416597">
      <w:start w:val="1"/>
      <w:numFmt w:val="bullet"/>
      <w:suff w:val="tab"/>
      <w:lvlText w:val="·"/>
      <w:lvlJc w:val="left"/>
      <w:pPr>
        <w:ind w:hanging="360" w:left="5040"/>
      </w:pPr>
      <w:rPr>
        <w:rFonts w:ascii="Symbol" w:hAnsi="Symbol"/>
      </w:rPr>
    </w:lvl>
    <w:lvl w:ilvl="7" w:tplc="0DA67D64">
      <w:start w:val="1"/>
      <w:numFmt w:val="bullet"/>
      <w:suff w:val="tab"/>
      <w:lvlText w:val="o"/>
      <w:lvlJc w:val="left"/>
      <w:pPr>
        <w:ind w:hanging="360" w:left="5760"/>
      </w:pPr>
      <w:rPr>
        <w:rFonts w:ascii="Symbol" w:hAnsi="Symbol"/>
      </w:rPr>
    </w:lvl>
    <w:lvl w:ilvl="8" w:tplc="100BEF47">
      <w:start w:val="1"/>
      <w:numFmt w:val="bullet"/>
      <w:suff w:val="tab"/>
      <w:lvlText w:val="·"/>
      <w:lvlJc w:val="left"/>
      <w:pPr>
        <w:ind w:hanging="360" w:left="6480"/>
      </w:pPr>
      <w:rPr>
        <w:rFonts w:ascii="Symbol" w:hAnsi="Symbol"/>
      </w:rPr>
    </w:lvl>
  </w:abstractNum>
  <w:abstractNum w:abstractNumId="93">
    <w:nsid w:val="7CC84688"/>
    <w:multiLevelType w:val="hybridMultilevel"/>
    <w:lvl w:ilvl="0" w:tplc="651E776C">
      <w:start w:val="1"/>
      <w:numFmt w:val="bullet"/>
      <w:suff w:val="tab"/>
      <w:lvlText w:val="·"/>
      <w:lvlJc w:val="left"/>
      <w:pPr>
        <w:ind w:hanging="360" w:left="720"/>
      </w:pPr>
      <w:rPr>
        <w:rFonts w:ascii="Symbol" w:hAnsi="Symbol" w:cs="Symbol" w:eastAsia="Symbol"/>
      </w:rPr>
    </w:lvl>
    <w:lvl w:ilvl="1" w:tplc="34B26320">
      <w:start w:val="1"/>
      <w:numFmt w:val="bullet"/>
      <w:suff w:val="tab"/>
      <w:lvlText w:val="o"/>
      <w:lvlJc w:val="left"/>
      <w:pPr>
        <w:ind w:hanging="360" w:left="1440"/>
      </w:pPr>
      <w:rPr>
        <w:rFonts w:ascii="Symbol" w:hAnsi="Symbol"/>
      </w:rPr>
    </w:lvl>
    <w:lvl w:ilvl="2" w:tplc="776CFD25">
      <w:start w:val="1"/>
      <w:numFmt w:val="bullet"/>
      <w:suff w:val="tab"/>
      <w:lvlText w:val="·"/>
      <w:lvlJc w:val="left"/>
      <w:pPr>
        <w:ind w:hanging="360" w:left="2160"/>
      </w:pPr>
      <w:rPr>
        <w:rFonts w:ascii="Symbol" w:hAnsi="Symbol"/>
      </w:rPr>
    </w:lvl>
    <w:lvl w:ilvl="3" w:tplc="5DD5E319">
      <w:start w:val="1"/>
      <w:numFmt w:val="bullet"/>
      <w:suff w:val="tab"/>
      <w:lvlText w:val="o"/>
      <w:lvlJc w:val="left"/>
      <w:pPr>
        <w:ind w:hanging="360" w:left="2880"/>
      </w:pPr>
      <w:rPr>
        <w:rFonts w:ascii="Symbol" w:hAnsi="Symbol"/>
      </w:rPr>
    </w:lvl>
    <w:lvl w:ilvl="4" w:tplc="2AC655D7">
      <w:start w:val="1"/>
      <w:numFmt w:val="bullet"/>
      <w:suff w:val="tab"/>
      <w:lvlText w:val="·"/>
      <w:lvlJc w:val="left"/>
      <w:pPr>
        <w:ind w:hanging="360" w:left="3600"/>
      </w:pPr>
      <w:rPr>
        <w:rFonts w:ascii="Symbol" w:hAnsi="Symbol"/>
      </w:rPr>
    </w:lvl>
    <w:lvl w:ilvl="5" w:tplc="25F0C9EA">
      <w:start w:val="1"/>
      <w:numFmt w:val="bullet"/>
      <w:suff w:val="tab"/>
      <w:lvlText w:val="o"/>
      <w:lvlJc w:val="left"/>
      <w:pPr>
        <w:ind w:hanging="360" w:left="4320"/>
      </w:pPr>
      <w:rPr>
        <w:rFonts w:ascii="Symbol" w:hAnsi="Symbol"/>
      </w:rPr>
    </w:lvl>
    <w:lvl w:ilvl="6" w:tplc="496AEFCE">
      <w:start w:val="1"/>
      <w:numFmt w:val="bullet"/>
      <w:suff w:val="tab"/>
      <w:lvlText w:val="·"/>
      <w:lvlJc w:val="left"/>
      <w:pPr>
        <w:ind w:hanging="360" w:left="5040"/>
      </w:pPr>
      <w:rPr>
        <w:rFonts w:ascii="Symbol" w:hAnsi="Symbol"/>
      </w:rPr>
    </w:lvl>
    <w:lvl w:ilvl="7" w:tplc="1D82892A">
      <w:start w:val="1"/>
      <w:numFmt w:val="bullet"/>
      <w:suff w:val="tab"/>
      <w:lvlText w:val="o"/>
      <w:lvlJc w:val="left"/>
      <w:pPr>
        <w:ind w:hanging="360" w:left="5760"/>
      </w:pPr>
      <w:rPr>
        <w:rFonts w:ascii="Symbol" w:hAnsi="Symbol"/>
      </w:rPr>
    </w:lvl>
    <w:lvl w:ilvl="8" w:tplc="2F167226">
      <w:start w:val="1"/>
      <w:numFmt w:val="bullet"/>
      <w:suff w:val="tab"/>
      <w:lvlText w:val="·"/>
      <w:lvlJc w:val="left"/>
      <w:pPr>
        <w:ind w:hanging="360" w:left="6480"/>
      </w:pPr>
      <w:rPr>
        <w:rFonts w:ascii="Symbol" w:hAnsi="Symbol"/>
      </w:rPr>
    </w:lvl>
  </w:abstractNum>
  <w:abstractNum w:abstractNumId="94">
    <w:nsid w:val="22832105"/>
    <w:multiLevelType w:val="hybridMultilevel"/>
    <w:lvl w:ilvl="0" w:tplc="26F1E982">
      <w:start w:val="1"/>
      <w:numFmt w:val="bullet"/>
      <w:suff w:val="tab"/>
      <w:lvlText w:val="·"/>
      <w:lvlJc w:val="left"/>
      <w:pPr>
        <w:ind w:hanging="360" w:left="720"/>
      </w:pPr>
      <w:rPr>
        <w:rFonts w:ascii="Symbol" w:hAnsi="Symbol" w:cs="Symbol" w:eastAsia="Symbol"/>
      </w:rPr>
    </w:lvl>
    <w:lvl w:ilvl="1" w:tplc="2F36B089">
      <w:start w:val="1"/>
      <w:numFmt w:val="bullet"/>
      <w:suff w:val="tab"/>
      <w:lvlText w:val="o"/>
      <w:lvlJc w:val="left"/>
      <w:pPr>
        <w:ind w:hanging="360" w:left="1440"/>
      </w:pPr>
      <w:rPr>
        <w:rFonts w:ascii="Symbol" w:hAnsi="Symbol"/>
      </w:rPr>
    </w:lvl>
    <w:lvl w:ilvl="2" w:tplc="57DDDE69">
      <w:start w:val="1"/>
      <w:numFmt w:val="bullet"/>
      <w:suff w:val="tab"/>
      <w:lvlText w:val="·"/>
      <w:lvlJc w:val="left"/>
      <w:pPr>
        <w:ind w:hanging="360" w:left="2160"/>
      </w:pPr>
      <w:rPr>
        <w:rFonts w:ascii="Symbol" w:hAnsi="Symbol"/>
      </w:rPr>
    </w:lvl>
    <w:lvl w:ilvl="3" w:tplc="24E14039">
      <w:start w:val="1"/>
      <w:numFmt w:val="bullet"/>
      <w:suff w:val="tab"/>
      <w:lvlText w:val="o"/>
      <w:lvlJc w:val="left"/>
      <w:pPr>
        <w:ind w:hanging="360" w:left="2880"/>
      </w:pPr>
      <w:rPr>
        <w:rFonts w:ascii="Symbol" w:hAnsi="Symbol"/>
      </w:rPr>
    </w:lvl>
    <w:lvl w:ilvl="4" w:tplc="639B1BCC">
      <w:start w:val="1"/>
      <w:numFmt w:val="bullet"/>
      <w:suff w:val="tab"/>
      <w:lvlText w:val="·"/>
      <w:lvlJc w:val="left"/>
      <w:pPr>
        <w:ind w:hanging="360" w:left="3600"/>
      </w:pPr>
      <w:rPr>
        <w:rFonts w:ascii="Symbol" w:hAnsi="Symbol"/>
      </w:rPr>
    </w:lvl>
    <w:lvl w:ilvl="5" w:tplc="0067957C">
      <w:start w:val="1"/>
      <w:numFmt w:val="bullet"/>
      <w:suff w:val="tab"/>
      <w:lvlText w:val="o"/>
      <w:lvlJc w:val="left"/>
      <w:pPr>
        <w:ind w:hanging="360" w:left="4320"/>
      </w:pPr>
      <w:rPr>
        <w:rFonts w:ascii="Symbol" w:hAnsi="Symbol"/>
      </w:rPr>
    </w:lvl>
    <w:lvl w:ilvl="6" w:tplc="5CA65A70">
      <w:start w:val="1"/>
      <w:numFmt w:val="bullet"/>
      <w:suff w:val="tab"/>
      <w:lvlText w:val="·"/>
      <w:lvlJc w:val="left"/>
      <w:pPr>
        <w:ind w:hanging="360" w:left="5040"/>
      </w:pPr>
      <w:rPr>
        <w:rFonts w:ascii="Symbol" w:hAnsi="Symbol"/>
      </w:rPr>
    </w:lvl>
    <w:lvl w:ilvl="7" w:tplc="2881EF69">
      <w:start w:val="1"/>
      <w:numFmt w:val="bullet"/>
      <w:suff w:val="tab"/>
      <w:lvlText w:val="o"/>
      <w:lvlJc w:val="left"/>
      <w:pPr>
        <w:ind w:hanging="360" w:left="5760"/>
      </w:pPr>
      <w:rPr>
        <w:rFonts w:ascii="Symbol" w:hAnsi="Symbol"/>
      </w:rPr>
    </w:lvl>
    <w:lvl w:ilvl="8" w:tplc="3C269D59">
      <w:start w:val="1"/>
      <w:numFmt w:val="bullet"/>
      <w:suff w:val="tab"/>
      <w:lvlText w:val="·"/>
      <w:lvlJc w:val="left"/>
      <w:pPr>
        <w:ind w:hanging="360" w:left="6480"/>
      </w:pPr>
      <w:rPr>
        <w:rFonts w:ascii="Symbol" w:hAnsi="Symbol"/>
      </w:rPr>
    </w:lvl>
  </w:abstractNum>
  <w:abstractNum w:abstractNumId="95">
    <w:nsid w:val="2F443FED"/>
    <w:multiLevelType w:val="hybridMultilevel"/>
    <w:lvl w:ilvl="0" w:tplc="75879EC7">
      <w:start w:val="1"/>
      <w:numFmt w:val="bullet"/>
      <w:suff w:val="tab"/>
      <w:lvlText w:val="·"/>
      <w:lvlJc w:val="left"/>
      <w:pPr>
        <w:ind w:hanging="360" w:left="720"/>
      </w:pPr>
      <w:rPr>
        <w:rFonts w:ascii="Symbol" w:hAnsi="Symbol" w:cs="Symbol" w:eastAsia="Symbol"/>
      </w:rPr>
    </w:lvl>
    <w:lvl w:ilvl="1" w:tplc="76342F94">
      <w:start w:val="1"/>
      <w:numFmt w:val="bullet"/>
      <w:suff w:val="tab"/>
      <w:lvlText w:val="o"/>
      <w:lvlJc w:val="left"/>
      <w:pPr>
        <w:ind w:hanging="360" w:left="1440"/>
      </w:pPr>
      <w:rPr>
        <w:rFonts w:ascii="Symbol" w:hAnsi="Symbol"/>
      </w:rPr>
    </w:lvl>
    <w:lvl w:ilvl="2" w:tplc="331803A8">
      <w:start w:val="1"/>
      <w:numFmt w:val="bullet"/>
      <w:suff w:val="tab"/>
      <w:lvlText w:val="·"/>
      <w:lvlJc w:val="left"/>
      <w:pPr>
        <w:ind w:hanging="360" w:left="2160"/>
      </w:pPr>
      <w:rPr>
        <w:rFonts w:ascii="Symbol" w:hAnsi="Symbol"/>
      </w:rPr>
    </w:lvl>
    <w:lvl w:ilvl="3" w:tplc="340A2EC9">
      <w:start w:val="1"/>
      <w:numFmt w:val="bullet"/>
      <w:suff w:val="tab"/>
      <w:lvlText w:val="o"/>
      <w:lvlJc w:val="left"/>
      <w:pPr>
        <w:ind w:hanging="360" w:left="2880"/>
      </w:pPr>
      <w:rPr>
        <w:rFonts w:ascii="Symbol" w:hAnsi="Symbol"/>
      </w:rPr>
    </w:lvl>
    <w:lvl w:ilvl="4" w:tplc="78E99E9D">
      <w:start w:val="1"/>
      <w:numFmt w:val="bullet"/>
      <w:suff w:val="tab"/>
      <w:lvlText w:val="·"/>
      <w:lvlJc w:val="left"/>
      <w:pPr>
        <w:ind w:hanging="360" w:left="3600"/>
      </w:pPr>
      <w:rPr>
        <w:rFonts w:ascii="Symbol" w:hAnsi="Symbol"/>
      </w:rPr>
    </w:lvl>
    <w:lvl w:ilvl="5" w:tplc="308CC938">
      <w:start w:val="1"/>
      <w:numFmt w:val="bullet"/>
      <w:suff w:val="tab"/>
      <w:lvlText w:val="o"/>
      <w:lvlJc w:val="left"/>
      <w:pPr>
        <w:ind w:hanging="360" w:left="4320"/>
      </w:pPr>
      <w:rPr>
        <w:rFonts w:ascii="Symbol" w:hAnsi="Symbol"/>
      </w:rPr>
    </w:lvl>
    <w:lvl w:ilvl="6" w:tplc="43532017">
      <w:start w:val="1"/>
      <w:numFmt w:val="bullet"/>
      <w:suff w:val="tab"/>
      <w:lvlText w:val="·"/>
      <w:lvlJc w:val="left"/>
      <w:pPr>
        <w:ind w:hanging="360" w:left="5040"/>
      </w:pPr>
      <w:rPr>
        <w:rFonts w:ascii="Symbol" w:hAnsi="Symbol"/>
      </w:rPr>
    </w:lvl>
    <w:lvl w:ilvl="7" w:tplc="1DEC9A37">
      <w:start w:val="1"/>
      <w:numFmt w:val="bullet"/>
      <w:suff w:val="tab"/>
      <w:lvlText w:val="o"/>
      <w:lvlJc w:val="left"/>
      <w:pPr>
        <w:ind w:hanging="360" w:left="5760"/>
      </w:pPr>
      <w:rPr>
        <w:rFonts w:ascii="Symbol" w:hAnsi="Symbol"/>
      </w:rPr>
    </w:lvl>
    <w:lvl w:ilvl="8" w:tplc="4819E211">
      <w:start w:val="1"/>
      <w:numFmt w:val="bullet"/>
      <w:suff w:val="tab"/>
      <w:lvlText w:val="·"/>
      <w:lvlJc w:val="left"/>
      <w:pPr>
        <w:ind w:hanging="360" w:left="6480"/>
      </w:pPr>
      <w:rPr>
        <w:rFonts w:ascii="Symbol" w:hAnsi="Symbol"/>
      </w:rPr>
    </w:lvl>
  </w:abstractNum>
  <w:abstractNum w:abstractNumId="96">
    <w:nsid w:val="277B09F8"/>
    <w:multiLevelType w:val="hybridMultilevel"/>
    <w:lvl w:ilvl="0" w:tplc="1ACB2FFA">
      <w:start w:val="1"/>
      <w:numFmt w:val="bullet"/>
      <w:suff w:val="tab"/>
      <w:lvlText w:val="·"/>
      <w:lvlJc w:val="left"/>
      <w:pPr>
        <w:ind w:hanging="360" w:left="720"/>
      </w:pPr>
      <w:rPr>
        <w:rFonts w:ascii="Symbol" w:hAnsi="Symbol" w:cs="Symbol" w:eastAsia="Symbol"/>
      </w:rPr>
    </w:lvl>
    <w:lvl w:ilvl="1" w:tplc="1F4126BA">
      <w:start w:val="1"/>
      <w:numFmt w:val="bullet"/>
      <w:suff w:val="tab"/>
      <w:lvlText w:val="o"/>
      <w:lvlJc w:val="left"/>
      <w:pPr>
        <w:ind w:hanging="360" w:left="1440"/>
      </w:pPr>
      <w:rPr>
        <w:rFonts w:ascii="Symbol" w:hAnsi="Symbol"/>
      </w:rPr>
    </w:lvl>
    <w:lvl w:ilvl="2" w:tplc="7096CDC3">
      <w:start w:val="1"/>
      <w:numFmt w:val="bullet"/>
      <w:suff w:val="tab"/>
      <w:lvlText w:val="·"/>
      <w:lvlJc w:val="left"/>
      <w:pPr>
        <w:ind w:hanging="360" w:left="2160"/>
      </w:pPr>
      <w:rPr>
        <w:rFonts w:ascii="Symbol" w:hAnsi="Symbol"/>
      </w:rPr>
    </w:lvl>
    <w:lvl w:ilvl="3" w:tplc="5918182C">
      <w:start w:val="1"/>
      <w:numFmt w:val="bullet"/>
      <w:suff w:val="tab"/>
      <w:lvlText w:val="o"/>
      <w:lvlJc w:val="left"/>
      <w:pPr>
        <w:ind w:hanging="360" w:left="2880"/>
      </w:pPr>
      <w:rPr>
        <w:rFonts w:ascii="Symbol" w:hAnsi="Symbol"/>
      </w:rPr>
    </w:lvl>
    <w:lvl w:ilvl="4" w:tplc="4BC3595E">
      <w:start w:val="1"/>
      <w:numFmt w:val="bullet"/>
      <w:suff w:val="tab"/>
      <w:lvlText w:val="·"/>
      <w:lvlJc w:val="left"/>
      <w:pPr>
        <w:ind w:hanging="360" w:left="3600"/>
      </w:pPr>
      <w:rPr>
        <w:rFonts w:ascii="Symbol" w:hAnsi="Symbol"/>
      </w:rPr>
    </w:lvl>
    <w:lvl w:ilvl="5" w:tplc="5F50DB74">
      <w:start w:val="1"/>
      <w:numFmt w:val="bullet"/>
      <w:suff w:val="tab"/>
      <w:lvlText w:val="o"/>
      <w:lvlJc w:val="left"/>
      <w:pPr>
        <w:ind w:hanging="360" w:left="4320"/>
      </w:pPr>
      <w:rPr>
        <w:rFonts w:ascii="Symbol" w:hAnsi="Symbol"/>
      </w:rPr>
    </w:lvl>
    <w:lvl w:ilvl="6" w:tplc="1BAABCF9">
      <w:start w:val="1"/>
      <w:numFmt w:val="bullet"/>
      <w:suff w:val="tab"/>
      <w:lvlText w:val="·"/>
      <w:lvlJc w:val="left"/>
      <w:pPr>
        <w:ind w:hanging="360" w:left="5040"/>
      </w:pPr>
      <w:rPr>
        <w:rFonts w:ascii="Symbol" w:hAnsi="Symbol"/>
      </w:rPr>
    </w:lvl>
    <w:lvl w:ilvl="7" w:tplc="531F1385">
      <w:start w:val="1"/>
      <w:numFmt w:val="bullet"/>
      <w:suff w:val="tab"/>
      <w:lvlText w:val="o"/>
      <w:lvlJc w:val="left"/>
      <w:pPr>
        <w:ind w:hanging="360" w:left="5760"/>
      </w:pPr>
      <w:rPr>
        <w:rFonts w:ascii="Symbol" w:hAnsi="Symbol"/>
      </w:rPr>
    </w:lvl>
    <w:lvl w:ilvl="8" w:tplc="1068A613">
      <w:start w:val="1"/>
      <w:numFmt w:val="bullet"/>
      <w:suff w:val="tab"/>
      <w:lvlText w:val="·"/>
      <w:lvlJc w:val="left"/>
      <w:pPr>
        <w:ind w:hanging="360" w:left="6480"/>
      </w:pPr>
      <w:rPr>
        <w:rFonts w:ascii="Symbol" w:hAnsi="Symbol"/>
      </w:rPr>
    </w:lvl>
  </w:abstractNum>
  <w:abstractNum w:abstractNumId="97">
    <w:nsid w:val="3154B297"/>
    <w:multiLevelType w:val="hybridMultilevel"/>
    <w:lvl w:ilvl="0" w:tplc="06D50F22">
      <w:start w:val="1"/>
      <w:numFmt w:val="bullet"/>
      <w:suff w:val="tab"/>
      <w:lvlText w:val="·"/>
      <w:lvlJc w:val="left"/>
      <w:pPr>
        <w:ind w:hanging="360" w:left="720"/>
      </w:pPr>
      <w:rPr>
        <w:rFonts w:ascii="Symbol" w:hAnsi="Symbol" w:cs="Symbol" w:eastAsia="Symbol"/>
      </w:rPr>
    </w:lvl>
    <w:lvl w:ilvl="1" w:tplc="6DAB634B">
      <w:start w:val="1"/>
      <w:numFmt w:val="bullet"/>
      <w:suff w:val="tab"/>
      <w:lvlText w:val="o"/>
      <w:lvlJc w:val="left"/>
      <w:pPr>
        <w:ind w:hanging="360" w:left="1440"/>
      </w:pPr>
      <w:rPr>
        <w:rFonts w:ascii="Symbol" w:hAnsi="Symbol"/>
      </w:rPr>
    </w:lvl>
    <w:lvl w:ilvl="2" w:tplc="69552C79">
      <w:start w:val="1"/>
      <w:numFmt w:val="bullet"/>
      <w:suff w:val="tab"/>
      <w:lvlText w:val="·"/>
      <w:lvlJc w:val="left"/>
      <w:pPr>
        <w:ind w:hanging="360" w:left="2160"/>
      </w:pPr>
      <w:rPr>
        <w:rFonts w:ascii="Symbol" w:hAnsi="Symbol"/>
      </w:rPr>
    </w:lvl>
    <w:lvl w:ilvl="3" w:tplc="0ACE73C2">
      <w:start w:val="1"/>
      <w:numFmt w:val="bullet"/>
      <w:suff w:val="tab"/>
      <w:lvlText w:val="o"/>
      <w:lvlJc w:val="left"/>
      <w:pPr>
        <w:ind w:hanging="360" w:left="2880"/>
      </w:pPr>
      <w:rPr>
        <w:rFonts w:ascii="Symbol" w:hAnsi="Symbol"/>
      </w:rPr>
    </w:lvl>
    <w:lvl w:ilvl="4" w:tplc="26AB41D4">
      <w:start w:val="1"/>
      <w:numFmt w:val="bullet"/>
      <w:suff w:val="tab"/>
      <w:lvlText w:val="·"/>
      <w:lvlJc w:val="left"/>
      <w:pPr>
        <w:ind w:hanging="360" w:left="3600"/>
      </w:pPr>
      <w:rPr>
        <w:rFonts w:ascii="Symbol" w:hAnsi="Symbol"/>
      </w:rPr>
    </w:lvl>
    <w:lvl w:ilvl="5" w:tplc="4A7C50FC">
      <w:start w:val="1"/>
      <w:numFmt w:val="bullet"/>
      <w:suff w:val="tab"/>
      <w:lvlText w:val="o"/>
      <w:lvlJc w:val="left"/>
      <w:pPr>
        <w:ind w:hanging="360" w:left="4320"/>
      </w:pPr>
      <w:rPr>
        <w:rFonts w:ascii="Symbol" w:hAnsi="Symbol"/>
      </w:rPr>
    </w:lvl>
    <w:lvl w:ilvl="6" w:tplc="25DEE881">
      <w:start w:val="1"/>
      <w:numFmt w:val="bullet"/>
      <w:suff w:val="tab"/>
      <w:lvlText w:val="·"/>
      <w:lvlJc w:val="left"/>
      <w:pPr>
        <w:ind w:hanging="360" w:left="5040"/>
      </w:pPr>
      <w:rPr>
        <w:rFonts w:ascii="Symbol" w:hAnsi="Symbol"/>
      </w:rPr>
    </w:lvl>
    <w:lvl w:ilvl="7" w:tplc="3FE53D56">
      <w:start w:val="1"/>
      <w:numFmt w:val="bullet"/>
      <w:suff w:val="tab"/>
      <w:lvlText w:val="o"/>
      <w:lvlJc w:val="left"/>
      <w:pPr>
        <w:ind w:hanging="360" w:left="5760"/>
      </w:pPr>
      <w:rPr>
        <w:rFonts w:ascii="Symbol" w:hAnsi="Symbol"/>
      </w:rPr>
    </w:lvl>
    <w:lvl w:ilvl="8" w:tplc="2EAE6961">
      <w:start w:val="1"/>
      <w:numFmt w:val="bullet"/>
      <w:suff w:val="tab"/>
      <w:lvlText w:val="·"/>
      <w:lvlJc w:val="left"/>
      <w:pPr>
        <w:ind w:hanging="360" w:left="6480"/>
      </w:pPr>
      <w:rPr>
        <w:rFonts w:ascii="Symbol" w:hAnsi="Symbol"/>
      </w:rPr>
    </w:lvl>
  </w:abstractNum>
  <w:abstractNum w:abstractNumId="98">
    <w:nsid w:val="5099B137"/>
    <w:multiLevelType w:val="hybridMultilevel"/>
    <w:lvl w:ilvl="0" w:tplc="2DC0800C">
      <w:start w:val="1"/>
      <w:numFmt w:val="bullet"/>
      <w:suff w:val="tab"/>
      <w:lvlText w:val="·"/>
      <w:lvlJc w:val="left"/>
      <w:pPr>
        <w:ind w:hanging="360" w:left="720"/>
      </w:pPr>
      <w:rPr>
        <w:rFonts w:ascii="Symbol" w:hAnsi="Symbol" w:cs="Symbol" w:eastAsia="Symbol"/>
      </w:rPr>
    </w:lvl>
    <w:lvl w:ilvl="1" w:tplc="4B084BD6">
      <w:start w:val="1"/>
      <w:numFmt w:val="bullet"/>
      <w:suff w:val="tab"/>
      <w:lvlText w:val="o"/>
      <w:lvlJc w:val="left"/>
      <w:pPr>
        <w:ind w:hanging="360" w:left="1440"/>
      </w:pPr>
      <w:rPr>
        <w:rFonts w:ascii="Symbol" w:hAnsi="Symbol"/>
      </w:rPr>
    </w:lvl>
    <w:lvl w:ilvl="2" w:tplc="53977268">
      <w:start w:val="1"/>
      <w:numFmt w:val="bullet"/>
      <w:suff w:val="tab"/>
      <w:lvlText w:val="·"/>
      <w:lvlJc w:val="left"/>
      <w:pPr>
        <w:ind w:hanging="360" w:left="2160"/>
      </w:pPr>
      <w:rPr>
        <w:rFonts w:ascii="Symbol" w:hAnsi="Symbol"/>
      </w:rPr>
    </w:lvl>
    <w:lvl w:ilvl="3" w:tplc="06B3E30A">
      <w:start w:val="1"/>
      <w:numFmt w:val="bullet"/>
      <w:suff w:val="tab"/>
      <w:lvlText w:val="o"/>
      <w:lvlJc w:val="left"/>
      <w:pPr>
        <w:ind w:hanging="360" w:left="2880"/>
      </w:pPr>
      <w:rPr>
        <w:rFonts w:ascii="Symbol" w:hAnsi="Symbol"/>
      </w:rPr>
    </w:lvl>
    <w:lvl w:ilvl="4" w:tplc="42C30DE3">
      <w:start w:val="1"/>
      <w:numFmt w:val="bullet"/>
      <w:suff w:val="tab"/>
      <w:lvlText w:val="·"/>
      <w:lvlJc w:val="left"/>
      <w:pPr>
        <w:ind w:hanging="360" w:left="3600"/>
      </w:pPr>
      <w:rPr>
        <w:rFonts w:ascii="Symbol" w:hAnsi="Symbol"/>
      </w:rPr>
    </w:lvl>
    <w:lvl w:ilvl="5" w:tplc="17154D1E">
      <w:start w:val="1"/>
      <w:numFmt w:val="bullet"/>
      <w:suff w:val="tab"/>
      <w:lvlText w:val="o"/>
      <w:lvlJc w:val="left"/>
      <w:pPr>
        <w:ind w:hanging="360" w:left="4320"/>
      </w:pPr>
      <w:rPr>
        <w:rFonts w:ascii="Symbol" w:hAnsi="Symbol"/>
      </w:rPr>
    </w:lvl>
    <w:lvl w:ilvl="6" w:tplc="4D541806">
      <w:start w:val="1"/>
      <w:numFmt w:val="bullet"/>
      <w:suff w:val="tab"/>
      <w:lvlText w:val="·"/>
      <w:lvlJc w:val="left"/>
      <w:pPr>
        <w:ind w:hanging="360" w:left="5040"/>
      </w:pPr>
      <w:rPr>
        <w:rFonts w:ascii="Symbol" w:hAnsi="Symbol"/>
      </w:rPr>
    </w:lvl>
    <w:lvl w:ilvl="7" w:tplc="0CA48E80">
      <w:start w:val="1"/>
      <w:numFmt w:val="bullet"/>
      <w:suff w:val="tab"/>
      <w:lvlText w:val="o"/>
      <w:lvlJc w:val="left"/>
      <w:pPr>
        <w:ind w:hanging="360" w:left="5760"/>
      </w:pPr>
      <w:rPr>
        <w:rFonts w:ascii="Symbol" w:hAnsi="Symbol"/>
      </w:rPr>
    </w:lvl>
    <w:lvl w:ilvl="8" w:tplc="09AAF45E">
      <w:start w:val="1"/>
      <w:numFmt w:val="bullet"/>
      <w:suff w:val="tab"/>
      <w:lvlText w:val="·"/>
      <w:lvlJc w:val="left"/>
      <w:pPr>
        <w:ind w:hanging="360" w:left="6480"/>
      </w:pPr>
      <w:rPr>
        <w:rFonts w:ascii="Symbol" w:hAnsi="Symbol"/>
      </w:rPr>
    </w:lvl>
  </w:abstractNum>
  <w:abstractNum w:abstractNumId="99">
    <w:nsid w:val="0F35A530"/>
    <w:multiLevelType w:val="hybridMultilevel"/>
    <w:lvl w:ilvl="0" w:tplc="1E66093D">
      <w:start w:val="1"/>
      <w:numFmt w:val="bullet"/>
      <w:suff w:val="tab"/>
      <w:lvlText w:val="·"/>
      <w:lvlJc w:val="left"/>
      <w:pPr>
        <w:ind w:hanging="360" w:left="720"/>
      </w:pPr>
      <w:rPr>
        <w:rFonts w:ascii="Symbol" w:hAnsi="Symbol" w:cs="Symbol" w:eastAsia="Symbol"/>
      </w:rPr>
    </w:lvl>
    <w:lvl w:ilvl="1" w:tplc="73A40B6C">
      <w:start w:val="1"/>
      <w:numFmt w:val="bullet"/>
      <w:suff w:val="tab"/>
      <w:lvlText w:val="o"/>
      <w:lvlJc w:val="left"/>
      <w:pPr>
        <w:ind w:hanging="360" w:left="1440"/>
      </w:pPr>
      <w:rPr>
        <w:rFonts w:ascii="Symbol" w:hAnsi="Symbol"/>
      </w:rPr>
    </w:lvl>
    <w:lvl w:ilvl="2" w:tplc="0024A933">
      <w:start w:val="1"/>
      <w:numFmt w:val="bullet"/>
      <w:suff w:val="tab"/>
      <w:lvlText w:val="·"/>
      <w:lvlJc w:val="left"/>
      <w:pPr>
        <w:ind w:hanging="360" w:left="2160"/>
      </w:pPr>
      <w:rPr>
        <w:rFonts w:ascii="Symbol" w:hAnsi="Symbol"/>
      </w:rPr>
    </w:lvl>
    <w:lvl w:ilvl="3" w:tplc="0E6441DF">
      <w:start w:val="1"/>
      <w:numFmt w:val="bullet"/>
      <w:suff w:val="tab"/>
      <w:lvlText w:val="o"/>
      <w:lvlJc w:val="left"/>
      <w:pPr>
        <w:ind w:hanging="360" w:left="2880"/>
      </w:pPr>
      <w:rPr>
        <w:rFonts w:ascii="Symbol" w:hAnsi="Symbol"/>
      </w:rPr>
    </w:lvl>
    <w:lvl w:ilvl="4" w:tplc="03CCBDD5">
      <w:start w:val="1"/>
      <w:numFmt w:val="bullet"/>
      <w:suff w:val="tab"/>
      <w:lvlText w:val="·"/>
      <w:lvlJc w:val="left"/>
      <w:pPr>
        <w:ind w:hanging="360" w:left="3600"/>
      </w:pPr>
      <w:rPr>
        <w:rFonts w:ascii="Symbol" w:hAnsi="Symbol"/>
      </w:rPr>
    </w:lvl>
    <w:lvl w:ilvl="5" w:tplc="2D60ECB2">
      <w:start w:val="1"/>
      <w:numFmt w:val="bullet"/>
      <w:suff w:val="tab"/>
      <w:lvlText w:val="o"/>
      <w:lvlJc w:val="left"/>
      <w:pPr>
        <w:ind w:hanging="360" w:left="4320"/>
      </w:pPr>
      <w:rPr>
        <w:rFonts w:ascii="Symbol" w:hAnsi="Symbol"/>
      </w:rPr>
    </w:lvl>
    <w:lvl w:ilvl="6" w:tplc="3959B9DB">
      <w:start w:val="1"/>
      <w:numFmt w:val="bullet"/>
      <w:suff w:val="tab"/>
      <w:lvlText w:val="·"/>
      <w:lvlJc w:val="left"/>
      <w:pPr>
        <w:ind w:hanging="360" w:left="5040"/>
      </w:pPr>
      <w:rPr>
        <w:rFonts w:ascii="Symbol" w:hAnsi="Symbol"/>
      </w:rPr>
    </w:lvl>
    <w:lvl w:ilvl="7" w:tplc="4F965F60">
      <w:start w:val="1"/>
      <w:numFmt w:val="bullet"/>
      <w:suff w:val="tab"/>
      <w:lvlText w:val="o"/>
      <w:lvlJc w:val="left"/>
      <w:pPr>
        <w:ind w:hanging="360" w:left="5760"/>
      </w:pPr>
      <w:rPr>
        <w:rFonts w:ascii="Symbol" w:hAnsi="Symbol"/>
      </w:rPr>
    </w:lvl>
    <w:lvl w:ilvl="8" w:tplc="24649E2F">
      <w:start w:val="1"/>
      <w:numFmt w:val="bullet"/>
      <w:suff w:val="tab"/>
      <w:lvlText w:val="·"/>
      <w:lvlJc w:val="left"/>
      <w:pPr>
        <w:ind w:hanging="360" w:left="6480"/>
      </w:pPr>
      <w:rPr>
        <w:rFonts w:ascii="Symbol" w:hAnsi="Symbol"/>
      </w:rPr>
    </w:lvl>
  </w:abstractNum>
  <w:abstractNum w:abstractNumId="100">
    <w:nsid w:val="1D9BF17A"/>
    <w:multiLevelType w:val="hybridMultilevel"/>
    <w:lvl w:ilvl="0" w:tplc="4205A19D">
      <w:start w:val="1"/>
      <w:numFmt w:val="bullet"/>
      <w:suff w:val="tab"/>
      <w:lvlText w:val="·"/>
      <w:lvlJc w:val="left"/>
      <w:pPr>
        <w:ind w:hanging="360" w:left="720"/>
      </w:pPr>
      <w:rPr>
        <w:rFonts w:ascii="Symbol" w:hAnsi="Symbol" w:cs="Symbol" w:eastAsia="Symbol"/>
      </w:rPr>
    </w:lvl>
    <w:lvl w:ilvl="1" w:tplc="657BFB53">
      <w:start w:val="1"/>
      <w:numFmt w:val="bullet"/>
      <w:suff w:val="tab"/>
      <w:lvlText w:val="o"/>
      <w:lvlJc w:val="left"/>
      <w:pPr>
        <w:ind w:hanging="360" w:left="1440"/>
      </w:pPr>
      <w:rPr>
        <w:rFonts w:ascii="Symbol" w:hAnsi="Symbol"/>
      </w:rPr>
    </w:lvl>
    <w:lvl w:ilvl="2" w:tplc="5ACABC0B">
      <w:start w:val="1"/>
      <w:numFmt w:val="bullet"/>
      <w:suff w:val="tab"/>
      <w:lvlText w:val="·"/>
      <w:lvlJc w:val="left"/>
      <w:pPr>
        <w:ind w:hanging="360" w:left="2160"/>
      </w:pPr>
      <w:rPr>
        <w:rFonts w:ascii="Symbol" w:hAnsi="Symbol"/>
      </w:rPr>
    </w:lvl>
    <w:lvl w:ilvl="3" w:tplc="76E9CEB4">
      <w:start w:val="1"/>
      <w:numFmt w:val="bullet"/>
      <w:suff w:val="tab"/>
      <w:lvlText w:val="o"/>
      <w:lvlJc w:val="left"/>
      <w:pPr>
        <w:ind w:hanging="360" w:left="2880"/>
      </w:pPr>
      <w:rPr>
        <w:rFonts w:ascii="Symbol" w:hAnsi="Symbol"/>
      </w:rPr>
    </w:lvl>
    <w:lvl w:ilvl="4" w:tplc="5EB86BBE">
      <w:start w:val="1"/>
      <w:numFmt w:val="bullet"/>
      <w:suff w:val="tab"/>
      <w:lvlText w:val="·"/>
      <w:lvlJc w:val="left"/>
      <w:pPr>
        <w:ind w:hanging="360" w:left="3600"/>
      </w:pPr>
      <w:rPr>
        <w:rFonts w:ascii="Symbol" w:hAnsi="Symbol"/>
      </w:rPr>
    </w:lvl>
    <w:lvl w:ilvl="5" w:tplc="266080BD">
      <w:start w:val="1"/>
      <w:numFmt w:val="bullet"/>
      <w:suff w:val="tab"/>
      <w:lvlText w:val="o"/>
      <w:lvlJc w:val="left"/>
      <w:pPr>
        <w:ind w:hanging="360" w:left="4320"/>
      </w:pPr>
      <w:rPr>
        <w:rFonts w:ascii="Symbol" w:hAnsi="Symbol"/>
      </w:rPr>
    </w:lvl>
    <w:lvl w:ilvl="6" w:tplc="04113F14">
      <w:start w:val="1"/>
      <w:numFmt w:val="bullet"/>
      <w:suff w:val="tab"/>
      <w:lvlText w:val="·"/>
      <w:lvlJc w:val="left"/>
      <w:pPr>
        <w:ind w:hanging="360" w:left="5040"/>
      </w:pPr>
      <w:rPr>
        <w:rFonts w:ascii="Symbol" w:hAnsi="Symbol"/>
      </w:rPr>
    </w:lvl>
    <w:lvl w:ilvl="7" w:tplc="0E479B6A">
      <w:start w:val="1"/>
      <w:numFmt w:val="bullet"/>
      <w:suff w:val="tab"/>
      <w:lvlText w:val="o"/>
      <w:lvlJc w:val="left"/>
      <w:pPr>
        <w:ind w:hanging="360" w:left="5760"/>
      </w:pPr>
      <w:rPr>
        <w:rFonts w:ascii="Symbol" w:hAnsi="Symbol"/>
      </w:rPr>
    </w:lvl>
    <w:lvl w:ilvl="8" w:tplc="17FE0301">
      <w:start w:val="1"/>
      <w:numFmt w:val="bullet"/>
      <w:suff w:val="tab"/>
      <w:lvlText w:val="·"/>
      <w:lvlJc w:val="left"/>
      <w:pPr>
        <w:ind w:hanging="360" w:left="6480"/>
      </w:pPr>
      <w:rPr>
        <w:rFonts w:ascii="Symbol" w:hAnsi="Symbol"/>
      </w:rPr>
    </w:lvl>
  </w:abstractNum>
  <w:abstractNum w:abstractNumId="101">
    <w:nsid w:val="41946362"/>
    <w:multiLevelType w:val="hybridMultilevel"/>
    <w:lvl w:ilvl="0" w:tplc="1C62ACD7">
      <w:start w:val="1"/>
      <w:numFmt w:val="bullet"/>
      <w:suff w:val="tab"/>
      <w:lvlText w:val="·"/>
      <w:lvlJc w:val="left"/>
      <w:pPr>
        <w:ind w:hanging="360" w:left="720"/>
      </w:pPr>
      <w:rPr>
        <w:rFonts w:ascii="Symbol" w:hAnsi="Symbol" w:cs="Symbol" w:eastAsia="Symbol"/>
      </w:rPr>
    </w:lvl>
    <w:lvl w:ilvl="1" w:tplc="70E8EDEA">
      <w:start w:val="1"/>
      <w:numFmt w:val="bullet"/>
      <w:suff w:val="tab"/>
      <w:lvlText w:val="o"/>
      <w:lvlJc w:val="left"/>
      <w:pPr>
        <w:ind w:hanging="360" w:left="1440"/>
      </w:pPr>
      <w:rPr>
        <w:rFonts w:ascii="Symbol" w:hAnsi="Symbol"/>
      </w:rPr>
    </w:lvl>
    <w:lvl w:ilvl="2" w:tplc="3E47DD3D">
      <w:start w:val="1"/>
      <w:numFmt w:val="bullet"/>
      <w:suff w:val="tab"/>
      <w:lvlText w:val="·"/>
      <w:lvlJc w:val="left"/>
      <w:pPr>
        <w:ind w:hanging="360" w:left="2160"/>
      </w:pPr>
      <w:rPr>
        <w:rFonts w:ascii="Symbol" w:hAnsi="Symbol"/>
      </w:rPr>
    </w:lvl>
    <w:lvl w:ilvl="3" w:tplc="7D6D28F7">
      <w:start w:val="1"/>
      <w:numFmt w:val="bullet"/>
      <w:suff w:val="tab"/>
      <w:lvlText w:val="o"/>
      <w:lvlJc w:val="left"/>
      <w:pPr>
        <w:ind w:hanging="360" w:left="2880"/>
      </w:pPr>
      <w:rPr>
        <w:rFonts w:ascii="Symbol" w:hAnsi="Symbol"/>
      </w:rPr>
    </w:lvl>
    <w:lvl w:ilvl="4" w:tplc="61E71369">
      <w:start w:val="1"/>
      <w:numFmt w:val="bullet"/>
      <w:suff w:val="tab"/>
      <w:lvlText w:val="·"/>
      <w:lvlJc w:val="left"/>
      <w:pPr>
        <w:ind w:hanging="360" w:left="3600"/>
      </w:pPr>
      <w:rPr>
        <w:rFonts w:ascii="Symbol" w:hAnsi="Symbol"/>
      </w:rPr>
    </w:lvl>
    <w:lvl w:ilvl="5" w:tplc="23561AA1">
      <w:start w:val="1"/>
      <w:numFmt w:val="bullet"/>
      <w:suff w:val="tab"/>
      <w:lvlText w:val="o"/>
      <w:lvlJc w:val="left"/>
      <w:pPr>
        <w:ind w:hanging="360" w:left="4320"/>
      </w:pPr>
      <w:rPr>
        <w:rFonts w:ascii="Symbol" w:hAnsi="Symbol"/>
      </w:rPr>
    </w:lvl>
    <w:lvl w:ilvl="6" w:tplc="00640F70">
      <w:start w:val="1"/>
      <w:numFmt w:val="bullet"/>
      <w:suff w:val="tab"/>
      <w:lvlText w:val="·"/>
      <w:lvlJc w:val="left"/>
      <w:pPr>
        <w:ind w:hanging="360" w:left="5040"/>
      </w:pPr>
      <w:rPr>
        <w:rFonts w:ascii="Symbol" w:hAnsi="Symbol"/>
      </w:rPr>
    </w:lvl>
    <w:lvl w:ilvl="7" w:tplc="47503F89">
      <w:start w:val="1"/>
      <w:numFmt w:val="bullet"/>
      <w:suff w:val="tab"/>
      <w:lvlText w:val="o"/>
      <w:lvlJc w:val="left"/>
      <w:pPr>
        <w:ind w:hanging="360" w:left="5760"/>
      </w:pPr>
      <w:rPr>
        <w:rFonts w:ascii="Symbol" w:hAnsi="Symbol"/>
      </w:rPr>
    </w:lvl>
    <w:lvl w:ilvl="8" w:tplc="45F573DE">
      <w:start w:val="1"/>
      <w:numFmt w:val="bullet"/>
      <w:suff w:val="tab"/>
      <w:lvlText w:val="·"/>
      <w:lvlJc w:val="left"/>
      <w:pPr>
        <w:ind w:hanging="360" w:left="6480"/>
      </w:pPr>
      <w:rPr>
        <w:rFonts w:ascii="Symbol" w:hAnsi="Symbol"/>
      </w:rPr>
    </w:lvl>
  </w:abstractNum>
  <w:abstractNum w:abstractNumId="102">
    <w:nsid w:val="06994B89"/>
    <w:multiLevelType w:val="hybridMultilevel"/>
    <w:lvl w:ilvl="0" w:tplc="02815513">
      <w:start w:val="1"/>
      <w:numFmt w:val="bullet"/>
      <w:suff w:val="tab"/>
      <w:lvlText w:val="·"/>
      <w:lvlJc w:val="left"/>
      <w:pPr>
        <w:ind w:hanging="360" w:left="720"/>
      </w:pPr>
      <w:rPr>
        <w:rFonts w:ascii="Symbol" w:hAnsi="Symbol" w:cs="Symbol" w:eastAsia="Symbol"/>
      </w:rPr>
    </w:lvl>
    <w:lvl w:ilvl="1" w:tplc="3A6A4C61">
      <w:start w:val="1"/>
      <w:numFmt w:val="bullet"/>
      <w:suff w:val="tab"/>
      <w:lvlText w:val="o"/>
      <w:lvlJc w:val="left"/>
      <w:pPr>
        <w:ind w:hanging="360" w:left="1440"/>
      </w:pPr>
      <w:rPr>
        <w:rFonts w:ascii="Symbol" w:hAnsi="Symbol"/>
      </w:rPr>
    </w:lvl>
    <w:lvl w:ilvl="2" w:tplc="19DB521B">
      <w:start w:val="1"/>
      <w:numFmt w:val="bullet"/>
      <w:suff w:val="tab"/>
      <w:lvlText w:val="·"/>
      <w:lvlJc w:val="left"/>
      <w:pPr>
        <w:ind w:hanging="360" w:left="2160"/>
      </w:pPr>
      <w:rPr>
        <w:rFonts w:ascii="Symbol" w:hAnsi="Symbol"/>
      </w:rPr>
    </w:lvl>
    <w:lvl w:ilvl="3" w:tplc="6CF830B4">
      <w:start w:val="1"/>
      <w:numFmt w:val="bullet"/>
      <w:suff w:val="tab"/>
      <w:lvlText w:val="o"/>
      <w:lvlJc w:val="left"/>
      <w:pPr>
        <w:ind w:hanging="360" w:left="2880"/>
      </w:pPr>
      <w:rPr>
        <w:rFonts w:ascii="Symbol" w:hAnsi="Symbol"/>
      </w:rPr>
    </w:lvl>
    <w:lvl w:ilvl="4" w:tplc="4FBDB70B">
      <w:start w:val="1"/>
      <w:numFmt w:val="bullet"/>
      <w:suff w:val="tab"/>
      <w:lvlText w:val="·"/>
      <w:lvlJc w:val="left"/>
      <w:pPr>
        <w:ind w:hanging="360" w:left="3600"/>
      </w:pPr>
      <w:rPr>
        <w:rFonts w:ascii="Symbol" w:hAnsi="Symbol"/>
      </w:rPr>
    </w:lvl>
    <w:lvl w:ilvl="5" w:tplc="44DA968F">
      <w:start w:val="1"/>
      <w:numFmt w:val="bullet"/>
      <w:suff w:val="tab"/>
      <w:lvlText w:val="o"/>
      <w:lvlJc w:val="left"/>
      <w:pPr>
        <w:ind w:hanging="360" w:left="4320"/>
      </w:pPr>
      <w:rPr>
        <w:rFonts w:ascii="Symbol" w:hAnsi="Symbol"/>
      </w:rPr>
    </w:lvl>
    <w:lvl w:ilvl="6" w:tplc="69964EDB">
      <w:start w:val="1"/>
      <w:numFmt w:val="bullet"/>
      <w:suff w:val="tab"/>
      <w:lvlText w:val="·"/>
      <w:lvlJc w:val="left"/>
      <w:pPr>
        <w:ind w:hanging="360" w:left="5040"/>
      </w:pPr>
      <w:rPr>
        <w:rFonts w:ascii="Symbol" w:hAnsi="Symbol"/>
      </w:rPr>
    </w:lvl>
    <w:lvl w:ilvl="7" w:tplc="3E47559A">
      <w:start w:val="1"/>
      <w:numFmt w:val="bullet"/>
      <w:suff w:val="tab"/>
      <w:lvlText w:val="o"/>
      <w:lvlJc w:val="left"/>
      <w:pPr>
        <w:ind w:hanging="360" w:left="5760"/>
      </w:pPr>
      <w:rPr>
        <w:rFonts w:ascii="Symbol" w:hAnsi="Symbol"/>
      </w:rPr>
    </w:lvl>
    <w:lvl w:ilvl="8" w:tplc="45F6D7EA">
      <w:start w:val="1"/>
      <w:numFmt w:val="bullet"/>
      <w:suff w:val="tab"/>
      <w:lvlText w:val="·"/>
      <w:lvlJc w:val="left"/>
      <w:pPr>
        <w:ind w:hanging="360" w:left="6480"/>
      </w:pPr>
      <w:rPr>
        <w:rFonts w:ascii="Symbol" w:hAnsi="Symbol"/>
      </w:rPr>
    </w:lvl>
  </w:abstractNum>
  <w:abstractNum w:abstractNumId="103">
    <w:nsid w:val="70B5BF92"/>
    <w:multiLevelType w:val="hybridMultilevel"/>
    <w:lvl w:ilvl="0" w:tplc="4F423C26">
      <w:start w:val="1"/>
      <w:numFmt w:val="bullet"/>
      <w:suff w:val="tab"/>
      <w:lvlText w:val="·"/>
      <w:lvlJc w:val="left"/>
      <w:pPr>
        <w:ind w:hanging="360" w:left="720"/>
      </w:pPr>
      <w:rPr>
        <w:rFonts w:ascii="Symbol" w:hAnsi="Symbol" w:cs="Symbol" w:eastAsia="Symbol"/>
      </w:rPr>
    </w:lvl>
    <w:lvl w:ilvl="1" w:tplc="31F397AC">
      <w:start w:val="1"/>
      <w:numFmt w:val="bullet"/>
      <w:suff w:val="tab"/>
      <w:lvlText w:val="o"/>
      <w:lvlJc w:val="left"/>
      <w:pPr>
        <w:ind w:hanging="360" w:left="1440"/>
      </w:pPr>
      <w:rPr>
        <w:rFonts w:ascii="Symbol" w:hAnsi="Symbol"/>
      </w:rPr>
    </w:lvl>
    <w:lvl w:ilvl="2" w:tplc="25B9B27D">
      <w:start w:val="1"/>
      <w:numFmt w:val="bullet"/>
      <w:suff w:val="tab"/>
      <w:lvlText w:val="·"/>
      <w:lvlJc w:val="left"/>
      <w:pPr>
        <w:ind w:hanging="360" w:left="2160"/>
      </w:pPr>
      <w:rPr>
        <w:rFonts w:ascii="Symbol" w:hAnsi="Symbol"/>
      </w:rPr>
    </w:lvl>
    <w:lvl w:ilvl="3" w:tplc="555C579F">
      <w:start w:val="1"/>
      <w:numFmt w:val="bullet"/>
      <w:suff w:val="tab"/>
      <w:lvlText w:val="o"/>
      <w:lvlJc w:val="left"/>
      <w:pPr>
        <w:ind w:hanging="360" w:left="2880"/>
      </w:pPr>
      <w:rPr>
        <w:rFonts w:ascii="Symbol" w:hAnsi="Symbol"/>
      </w:rPr>
    </w:lvl>
    <w:lvl w:ilvl="4" w:tplc="727E6059">
      <w:start w:val="1"/>
      <w:numFmt w:val="bullet"/>
      <w:suff w:val="tab"/>
      <w:lvlText w:val="·"/>
      <w:lvlJc w:val="left"/>
      <w:pPr>
        <w:ind w:hanging="360" w:left="3600"/>
      </w:pPr>
      <w:rPr>
        <w:rFonts w:ascii="Symbol" w:hAnsi="Symbol"/>
      </w:rPr>
    </w:lvl>
    <w:lvl w:ilvl="5" w:tplc="5036E78F">
      <w:start w:val="1"/>
      <w:numFmt w:val="bullet"/>
      <w:suff w:val="tab"/>
      <w:lvlText w:val="o"/>
      <w:lvlJc w:val="left"/>
      <w:pPr>
        <w:ind w:hanging="360" w:left="4320"/>
      </w:pPr>
      <w:rPr>
        <w:rFonts w:ascii="Symbol" w:hAnsi="Symbol"/>
      </w:rPr>
    </w:lvl>
    <w:lvl w:ilvl="6" w:tplc="65257238">
      <w:start w:val="1"/>
      <w:numFmt w:val="bullet"/>
      <w:suff w:val="tab"/>
      <w:lvlText w:val="·"/>
      <w:lvlJc w:val="left"/>
      <w:pPr>
        <w:ind w:hanging="360" w:left="5040"/>
      </w:pPr>
      <w:rPr>
        <w:rFonts w:ascii="Symbol" w:hAnsi="Symbol"/>
      </w:rPr>
    </w:lvl>
    <w:lvl w:ilvl="7" w:tplc="53EC03F6">
      <w:start w:val="1"/>
      <w:numFmt w:val="bullet"/>
      <w:suff w:val="tab"/>
      <w:lvlText w:val="o"/>
      <w:lvlJc w:val="left"/>
      <w:pPr>
        <w:ind w:hanging="360" w:left="5760"/>
      </w:pPr>
      <w:rPr>
        <w:rFonts w:ascii="Symbol" w:hAnsi="Symbol"/>
      </w:rPr>
    </w:lvl>
    <w:lvl w:ilvl="8" w:tplc="29E466ED">
      <w:start w:val="1"/>
      <w:numFmt w:val="bullet"/>
      <w:suff w:val="tab"/>
      <w:lvlText w:val="·"/>
      <w:lvlJc w:val="left"/>
      <w:pPr>
        <w:ind w:hanging="360" w:left="6480"/>
      </w:pPr>
      <w:rPr>
        <w:rFonts w:ascii="Symbol" w:hAnsi="Symbol"/>
      </w:rPr>
    </w:lvl>
  </w:abstractNum>
  <w:abstractNum w:abstractNumId="104">
    <w:nsid w:val="230AF671"/>
    <w:multiLevelType w:val="hybridMultilevel"/>
    <w:lvl w:ilvl="0" w:tplc="07D9945B">
      <w:start w:val="1"/>
      <w:numFmt w:val="bullet"/>
      <w:suff w:val="tab"/>
      <w:lvlText w:val="·"/>
      <w:lvlJc w:val="left"/>
      <w:pPr>
        <w:ind w:hanging="360" w:left="720"/>
      </w:pPr>
      <w:rPr>
        <w:rFonts w:ascii="Symbol" w:hAnsi="Symbol" w:cs="Symbol" w:eastAsia="Symbol"/>
      </w:rPr>
    </w:lvl>
    <w:lvl w:ilvl="1" w:tplc="050B3C9D">
      <w:start w:val="1"/>
      <w:numFmt w:val="bullet"/>
      <w:suff w:val="tab"/>
      <w:lvlText w:val="o"/>
      <w:lvlJc w:val="left"/>
      <w:pPr>
        <w:ind w:hanging="360" w:left="1440"/>
      </w:pPr>
      <w:rPr>
        <w:rFonts w:ascii="Symbol" w:hAnsi="Symbol"/>
      </w:rPr>
    </w:lvl>
    <w:lvl w:ilvl="2" w:tplc="7F2AF0DD">
      <w:start w:val="1"/>
      <w:numFmt w:val="bullet"/>
      <w:suff w:val="tab"/>
      <w:lvlText w:val="·"/>
      <w:lvlJc w:val="left"/>
      <w:pPr>
        <w:ind w:hanging="360" w:left="2160"/>
      </w:pPr>
      <w:rPr>
        <w:rFonts w:ascii="Symbol" w:hAnsi="Symbol"/>
      </w:rPr>
    </w:lvl>
    <w:lvl w:ilvl="3" w:tplc="69A03764">
      <w:start w:val="1"/>
      <w:numFmt w:val="bullet"/>
      <w:suff w:val="tab"/>
      <w:lvlText w:val="o"/>
      <w:lvlJc w:val="left"/>
      <w:pPr>
        <w:ind w:hanging="360" w:left="2880"/>
      </w:pPr>
      <w:rPr>
        <w:rFonts w:ascii="Symbol" w:hAnsi="Symbol"/>
      </w:rPr>
    </w:lvl>
    <w:lvl w:ilvl="4" w:tplc="154BBB50">
      <w:start w:val="1"/>
      <w:numFmt w:val="bullet"/>
      <w:suff w:val="tab"/>
      <w:lvlText w:val="·"/>
      <w:lvlJc w:val="left"/>
      <w:pPr>
        <w:ind w:hanging="360" w:left="3600"/>
      </w:pPr>
      <w:rPr>
        <w:rFonts w:ascii="Symbol" w:hAnsi="Symbol"/>
      </w:rPr>
    </w:lvl>
    <w:lvl w:ilvl="5" w:tplc="7C04FE99">
      <w:start w:val="1"/>
      <w:numFmt w:val="bullet"/>
      <w:suff w:val="tab"/>
      <w:lvlText w:val="o"/>
      <w:lvlJc w:val="left"/>
      <w:pPr>
        <w:ind w:hanging="360" w:left="4320"/>
      </w:pPr>
      <w:rPr>
        <w:rFonts w:ascii="Symbol" w:hAnsi="Symbol"/>
      </w:rPr>
    </w:lvl>
    <w:lvl w:ilvl="6" w:tplc="5E332D33">
      <w:start w:val="1"/>
      <w:numFmt w:val="bullet"/>
      <w:suff w:val="tab"/>
      <w:lvlText w:val="·"/>
      <w:lvlJc w:val="left"/>
      <w:pPr>
        <w:ind w:hanging="360" w:left="5040"/>
      </w:pPr>
      <w:rPr>
        <w:rFonts w:ascii="Symbol" w:hAnsi="Symbol"/>
      </w:rPr>
    </w:lvl>
    <w:lvl w:ilvl="7" w:tplc="5E70C5B3">
      <w:start w:val="1"/>
      <w:numFmt w:val="bullet"/>
      <w:suff w:val="tab"/>
      <w:lvlText w:val="o"/>
      <w:lvlJc w:val="left"/>
      <w:pPr>
        <w:ind w:hanging="360" w:left="5760"/>
      </w:pPr>
      <w:rPr>
        <w:rFonts w:ascii="Symbol" w:hAnsi="Symbol"/>
      </w:rPr>
    </w:lvl>
    <w:lvl w:ilvl="8" w:tplc="7C242D46">
      <w:start w:val="1"/>
      <w:numFmt w:val="bullet"/>
      <w:suff w:val="tab"/>
      <w:lvlText w:val="·"/>
      <w:lvlJc w:val="left"/>
      <w:pPr>
        <w:ind w:hanging="360" w:left="6480"/>
      </w:pPr>
      <w:rPr>
        <w:rFonts w:ascii="Symbol" w:hAnsi="Symbol"/>
      </w:rPr>
    </w:lvl>
  </w:abstractNum>
  <w:abstractNum w:abstractNumId="105">
    <w:nsid w:val="0C30F35D"/>
    <w:multiLevelType w:val="hybridMultilevel"/>
    <w:lvl w:ilvl="0" w:tplc="7B40F4BA">
      <w:start w:val="1"/>
      <w:numFmt w:val="bullet"/>
      <w:suff w:val="tab"/>
      <w:lvlText w:val="·"/>
      <w:lvlJc w:val="left"/>
      <w:pPr>
        <w:ind w:hanging="360" w:left="720"/>
      </w:pPr>
      <w:rPr>
        <w:rFonts w:ascii="Symbol" w:hAnsi="Symbol" w:cs="Symbol" w:eastAsia="Symbol"/>
      </w:rPr>
    </w:lvl>
    <w:lvl w:ilvl="1" w:tplc="1F652A97">
      <w:start w:val="1"/>
      <w:numFmt w:val="bullet"/>
      <w:suff w:val="tab"/>
      <w:lvlText w:val="o"/>
      <w:lvlJc w:val="left"/>
      <w:pPr>
        <w:ind w:hanging="360" w:left="1440"/>
      </w:pPr>
      <w:rPr>
        <w:rFonts w:ascii="Symbol" w:hAnsi="Symbol"/>
      </w:rPr>
    </w:lvl>
    <w:lvl w:ilvl="2" w:tplc="0889B8D0">
      <w:start w:val="1"/>
      <w:numFmt w:val="bullet"/>
      <w:suff w:val="tab"/>
      <w:lvlText w:val="·"/>
      <w:lvlJc w:val="left"/>
      <w:pPr>
        <w:ind w:hanging="360" w:left="2160"/>
      </w:pPr>
      <w:rPr>
        <w:rFonts w:ascii="Symbol" w:hAnsi="Symbol"/>
      </w:rPr>
    </w:lvl>
    <w:lvl w:ilvl="3" w:tplc="76983CDB">
      <w:start w:val="1"/>
      <w:numFmt w:val="bullet"/>
      <w:suff w:val="tab"/>
      <w:lvlText w:val="o"/>
      <w:lvlJc w:val="left"/>
      <w:pPr>
        <w:ind w:hanging="360" w:left="2880"/>
      </w:pPr>
      <w:rPr>
        <w:rFonts w:ascii="Symbol" w:hAnsi="Symbol"/>
      </w:rPr>
    </w:lvl>
    <w:lvl w:ilvl="4" w:tplc="36D8FD07">
      <w:start w:val="1"/>
      <w:numFmt w:val="bullet"/>
      <w:suff w:val="tab"/>
      <w:lvlText w:val="·"/>
      <w:lvlJc w:val="left"/>
      <w:pPr>
        <w:ind w:hanging="360" w:left="3600"/>
      </w:pPr>
      <w:rPr>
        <w:rFonts w:ascii="Symbol" w:hAnsi="Symbol"/>
      </w:rPr>
    </w:lvl>
    <w:lvl w:ilvl="5" w:tplc="7AC5C0E5">
      <w:start w:val="1"/>
      <w:numFmt w:val="bullet"/>
      <w:suff w:val="tab"/>
      <w:lvlText w:val="o"/>
      <w:lvlJc w:val="left"/>
      <w:pPr>
        <w:ind w:hanging="360" w:left="4320"/>
      </w:pPr>
      <w:rPr>
        <w:rFonts w:ascii="Symbol" w:hAnsi="Symbol"/>
      </w:rPr>
    </w:lvl>
    <w:lvl w:ilvl="6" w:tplc="3ED308CB">
      <w:start w:val="1"/>
      <w:numFmt w:val="bullet"/>
      <w:suff w:val="tab"/>
      <w:lvlText w:val="·"/>
      <w:lvlJc w:val="left"/>
      <w:pPr>
        <w:ind w:hanging="360" w:left="5040"/>
      </w:pPr>
      <w:rPr>
        <w:rFonts w:ascii="Symbol" w:hAnsi="Symbol"/>
      </w:rPr>
    </w:lvl>
    <w:lvl w:ilvl="7" w:tplc="6ABC266B">
      <w:start w:val="1"/>
      <w:numFmt w:val="bullet"/>
      <w:suff w:val="tab"/>
      <w:lvlText w:val="o"/>
      <w:lvlJc w:val="left"/>
      <w:pPr>
        <w:ind w:hanging="360" w:left="5760"/>
      </w:pPr>
      <w:rPr>
        <w:rFonts w:ascii="Symbol" w:hAnsi="Symbol"/>
      </w:rPr>
    </w:lvl>
    <w:lvl w:ilvl="8" w:tplc="4DB14A86">
      <w:start w:val="1"/>
      <w:numFmt w:val="bullet"/>
      <w:suff w:val="tab"/>
      <w:lvlText w:val="·"/>
      <w:lvlJc w:val="left"/>
      <w:pPr>
        <w:ind w:hanging="360" w:left="6480"/>
      </w:pPr>
      <w:rPr>
        <w:rFonts w:ascii="Symbol" w:hAnsi="Symbol"/>
      </w:rPr>
    </w:lvl>
  </w:abstractNum>
  <w:abstractNum w:abstractNumId="106">
    <w:nsid w:val="63BC6B81"/>
    <w:multiLevelType w:val="hybridMultilevel"/>
    <w:lvl w:ilvl="0" w:tplc="2B62A8F0">
      <w:start w:val="1"/>
      <w:numFmt w:val="bullet"/>
      <w:suff w:val="tab"/>
      <w:lvlText w:val="·"/>
      <w:lvlJc w:val="left"/>
      <w:pPr>
        <w:ind w:hanging="360" w:left="720"/>
      </w:pPr>
      <w:rPr>
        <w:rFonts w:ascii="Symbol" w:hAnsi="Symbol" w:cs="Symbol" w:eastAsia="Symbol"/>
      </w:rPr>
    </w:lvl>
    <w:lvl w:ilvl="1" w:tplc="44168583">
      <w:start w:val="1"/>
      <w:numFmt w:val="bullet"/>
      <w:suff w:val="tab"/>
      <w:lvlText w:val="o"/>
      <w:lvlJc w:val="left"/>
      <w:pPr>
        <w:ind w:hanging="360" w:left="1440"/>
      </w:pPr>
      <w:rPr>
        <w:rFonts w:ascii="Symbol" w:hAnsi="Symbol"/>
      </w:rPr>
    </w:lvl>
    <w:lvl w:ilvl="2" w:tplc="5D9FF49F">
      <w:start w:val="1"/>
      <w:numFmt w:val="bullet"/>
      <w:suff w:val="tab"/>
      <w:lvlText w:val="·"/>
      <w:lvlJc w:val="left"/>
      <w:pPr>
        <w:ind w:hanging="360" w:left="2160"/>
      </w:pPr>
      <w:rPr>
        <w:rFonts w:ascii="Symbol" w:hAnsi="Symbol"/>
      </w:rPr>
    </w:lvl>
    <w:lvl w:ilvl="3" w:tplc="4332ED19">
      <w:start w:val="1"/>
      <w:numFmt w:val="bullet"/>
      <w:suff w:val="tab"/>
      <w:lvlText w:val="o"/>
      <w:lvlJc w:val="left"/>
      <w:pPr>
        <w:ind w:hanging="360" w:left="2880"/>
      </w:pPr>
      <w:rPr>
        <w:rFonts w:ascii="Symbol" w:hAnsi="Symbol"/>
      </w:rPr>
    </w:lvl>
    <w:lvl w:ilvl="4" w:tplc="43C4552C">
      <w:start w:val="1"/>
      <w:numFmt w:val="bullet"/>
      <w:suff w:val="tab"/>
      <w:lvlText w:val="·"/>
      <w:lvlJc w:val="left"/>
      <w:pPr>
        <w:ind w:hanging="360" w:left="3600"/>
      </w:pPr>
      <w:rPr>
        <w:rFonts w:ascii="Symbol" w:hAnsi="Symbol"/>
      </w:rPr>
    </w:lvl>
    <w:lvl w:ilvl="5" w:tplc="7FEC3E4A">
      <w:start w:val="1"/>
      <w:numFmt w:val="bullet"/>
      <w:suff w:val="tab"/>
      <w:lvlText w:val="o"/>
      <w:lvlJc w:val="left"/>
      <w:pPr>
        <w:ind w:hanging="360" w:left="4320"/>
      </w:pPr>
      <w:rPr>
        <w:rFonts w:ascii="Symbol" w:hAnsi="Symbol"/>
      </w:rPr>
    </w:lvl>
    <w:lvl w:ilvl="6" w:tplc="28E726A5">
      <w:start w:val="1"/>
      <w:numFmt w:val="bullet"/>
      <w:suff w:val="tab"/>
      <w:lvlText w:val="·"/>
      <w:lvlJc w:val="left"/>
      <w:pPr>
        <w:ind w:hanging="360" w:left="5040"/>
      </w:pPr>
      <w:rPr>
        <w:rFonts w:ascii="Symbol" w:hAnsi="Symbol"/>
      </w:rPr>
    </w:lvl>
    <w:lvl w:ilvl="7" w:tplc="1D3F54DA">
      <w:start w:val="1"/>
      <w:numFmt w:val="bullet"/>
      <w:suff w:val="tab"/>
      <w:lvlText w:val="o"/>
      <w:lvlJc w:val="left"/>
      <w:pPr>
        <w:ind w:hanging="360" w:left="5760"/>
      </w:pPr>
      <w:rPr>
        <w:rFonts w:ascii="Symbol" w:hAnsi="Symbol"/>
      </w:rPr>
    </w:lvl>
    <w:lvl w:ilvl="8" w:tplc="3630B4B1">
      <w:start w:val="1"/>
      <w:numFmt w:val="bullet"/>
      <w:suff w:val="tab"/>
      <w:lvlText w:val="·"/>
      <w:lvlJc w:val="left"/>
      <w:pPr>
        <w:ind w:hanging="360" w:left="6480"/>
      </w:pPr>
      <w:rPr>
        <w:rFonts w:ascii="Symbol" w:hAnsi="Symbol"/>
      </w:rPr>
    </w:lvl>
  </w:abstractNum>
  <w:abstractNum w:abstractNumId="107">
    <w:nsid w:val="38494A68"/>
    <w:multiLevelType w:val="hybridMultilevel"/>
    <w:lvl w:ilvl="0" w:tplc="5E5CA9D6">
      <w:start w:val="1"/>
      <w:numFmt w:val="bullet"/>
      <w:suff w:val="tab"/>
      <w:lvlText w:val="·"/>
      <w:lvlJc w:val="left"/>
      <w:pPr>
        <w:ind w:hanging="360" w:left="720"/>
      </w:pPr>
      <w:rPr>
        <w:rFonts w:ascii="Symbol" w:hAnsi="Symbol" w:cs="Symbol" w:eastAsia="Symbol"/>
      </w:rPr>
    </w:lvl>
    <w:lvl w:ilvl="1" w:tplc="7A24B083">
      <w:start w:val="1"/>
      <w:numFmt w:val="bullet"/>
      <w:suff w:val="tab"/>
      <w:lvlText w:val="o"/>
      <w:lvlJc w:val="left"/>
      <w:pPr>
        <w:ind w:hanging="360" w:left="1440"/>
      </w:pPr>
      <w:rPr>
        <w:rFonts w:ascii="Symbol" w:hAnsi="Symbol"/>
      </w:rPr>
    </w:lvl>
    <w:lvl w:ilvl="2" w:tplc="00CEEE8B">
      <w:start w:val="1"/>
      <w:numFmt w:val="bullet"/>
      <w:suff w:val="tab"/>
      <w:lvlText w:val="·"/>
      <w:lvlJc w:val="left"/>
      <w:pPr>
        <w:ind w:hanging="360" w:left="2160"/>
      </w:pPr>
      <w:rPr>
        <w:rFonts w:ascii="Symbol" w:hAnsi="Symbol"/>
      </w:rPr>
    </w:lvl>
    <w:lvl w:ilvl="3" w:tplc="37AD78D5">
      <w:start w:val="1"/>
      <w:numFmt w:val="bullet"/>
      <w:suff w:val="tab"/>
      <w:lvlText w:val="o"/>
      <w:lvlJc w:val="left"/>
      <w:pPr>
        <w:ind w:hanging="360" w:left="2880"/>
      </w:pPr>
      <w:rPr>
        <w:rFonts w:ascii="Symbol" w:hAnsi="Symbol"/>
      </w:rPr>
    </w:lvl>
    <w:lvl w:ilvl="4" w:tplc="6AAAD334">
      <w:start w:val="1"/>
      <w:numFmt w:val="bullet"/>
      <w:suff w:val="tab"/>
      <w:lvlText w:val="·"/>
      <w:lvlJc w:val="left"/>
      <w:pPr>
        <w:ind w:hanging="360" w:left="3600"/>
      </w:pPr>
      <w:rPr>
        <w:rFonts w:ascii="Symbol" w:hAnsi="Symbol"/>
      </w:rPr>
    </w:lvl>
    <w:lvl w:ilvl="5" w:tplc="063ED64B">
      <w:start w:val="1"/>
      <w:numFmt w:val="bullet"/>
      <w:suff w:val="tab"/>
      <w:lvlText w:val="o"/>
      <w:lvlJc w:val="left"/>
      <w:pPr>
        <w:ind w:hanging="360" w:left="4320"/>
      </w:pPr>
      <w:rPr>
        <w:rFonts w:ascii="Symbol" w:hAnsi="Symbol"/>
      </w:rPr>
    </w:lvl>
    <w:lvl w:ilvl="6" w:tplc="1A9AA18D">
      <w:start w:val="1"/>
      <w:numFmt w:val="bullet"/>
      <w:suff w:val="tab"/>
      <w:lvlText w:val="·"/>
      <w:lvlJc w:val="left"/>
      <w:pPr>
        <w:ind w:hanging="360" w:left="5040"/>
      </w:pPr>
      <w:rPr>
        <w:rFonts w:ascii="Symbol" w:hAnsi="Symbol"/>
      </w:rPr>
    </w:lvl>
    <w:lvl w:ilvl="7" w:tplc="2809CD4D">
      <w:start w:val="1"/>
      <w:numFmt w:val="bullet"/>
      <w:suff w:val="tab"/>
      <w:lvlText w:val="o"/>
      <w:lvlJc w:val="left"/>
      <w:pPr>
        <w:ind w:hanging="360" w:left="5760"/>
      </w:pPr>
      <w:rPr>
        <w:rFonts w:ascii="Symbol" w:hAnsi="Symbol"/>
      </w:rPr>
    </w:lvl>
    <w:lvl w:ilvl="8" w:tplc="37921641">
      <w:start w:val="1"/>
      <w:numFmt w:val="bullet"/>
      <w:suff w:val="tab"/>
      <w:lvlText w:val="·"/>
      <w:lvlJc w:val="left"/>
      <w:pPr>
        <w:ind w:hanging="360" w:left="6480"/>
      </w:pPr>
      <w:rPr>
        <w:rFonts w:ascii="Symbol" w:hAnsi="Symbol"/>
      </w:rPr>
    </w:lvl>
  </w:abstractNum>
  <w:abstractNum w:abstractNumId="108">
    <w:nsid w:val="2E48D016"/>
    <w:multiLevelType w:val="hybridMultilevel"/>
    <w:lvl w:ilvl="0" w:tplc="38FCDC8B">
      <w:start w:val="1"/>
      <w:numFmt w:val="bullet"/>
      <w:suff w:val="tab"/>
      <w:lvlText w:val="·"/>
      <w:lvlJc w:val="left"/>
      <w:pPr>
        <w:ind w:hanging="360" w:left="720"/>
      </w:pPr>
      <w:rPr>
        <w:rFonts w:ascii="Symbol" w:hAnsi="Symbol" w:cs="Symbol" w:eastAsia="Symbol"/>
      </w:rPr>
    </w:lvl>
    <w:lvl w:ilvl="1" w:tplc="49BA3344">
      <w:start w:val="1"/>
      <w:numFmt w:val="bullet"/>
      <w:suff w:val="tab"/>
      <w:lvlText w:val="o"/>
      <w:lvlJc w:val="left"/>
      <w:pPr>
        <w:ind w:hanging="360" w:left="1440"/>
      </w:pPr>
      <w:rPr>
        <w:rFonts w:ascii="Symbol" w:hAnsi="Symbol"/>
      </w:rPr>
    </w:lvl>
    <w:lvl w:ilvl="2" w:tplc="40867D27">
      <w:start w:val="1"/>
      <w:numFmt w:val="bullet"/>
      <w:suff w:val="tab"/>
      <w:lvlText w:val="·"/>
      <w:lvlJc w:val="left"/>
      <w:pPr>
        <w:ind w:hanging="360" w:left="2160"/>
      </w:pPr>
      <w:rPr>
        <w:rFonts w:ascii="Symbol" w:hAnsi="Symbol"/>
      </w:rPr>
    </w:lvl>
    <w:lvl w:ilvl="3" w:tplc="734C8114">
      <w:start w:val="1"/>
      <w:numFmt w:val="bullet"/>
      <w:suff w:val="tab"/>
      <w:lvlText w:val="o"/>
      <w:lvlJc w:val="left"/>
      <w:pPr>
        <w:ind w:hanging="360" w:left="2880"/>
      </w:pPr>
      <w:rPr>
        <w:rFonts w:ascii="Symbol" w:hAnsi="Symbol"/>
      </w:rPr>
    </w:lvl>
    <w:lvl w:ilvl="4" w:tplc="249245E1">
      <w:start w:val="1"/>
      <w:numFmt w:val="bullet"/>
      <w:suff w:val="tab"/>
      <w:lvlText w:val="·"/>
      <w:lvlJc w:val="left"/>
      <w:pPr>
        <w:ind w:hanging="360" w:left="3600"/>
      </w:pPr>
      <w:rPr>
        <w:rFonts w:ascii="Symbol" w:hAnsi="Symbol"/>
      </w:rPr>
    </w:lvl>
    <w:lvl w:ilvl="5" w:tplc="1ACF25AD">
      <w:start w:val="1"/>
      <w:numFmt w:val="bullet"/>
      <w:suff w:val="tab"/>
      <w:lvlText w:val="o"/>
      <w:lvlJc w:val="left"/>
      <w:pPr>
        <w:ind w:hanging="360" w:left="4320"/>
      </w:pPr>
      <w:rPr>
        <w:rFonts w:ascii="Symbol" w:hAnsi="Symbol"/>
      </w:rPr>
    </w:lvl>
    <w:lvl w:ilvl="6" w:tplc="06DB950D">
      <w:start w:val="1"/>
      <w:numFmt w:val="bullet"/>
      <w:suff w:val="tab"/>
      <w:lvlText w:val="·"/>
      <w:lvlJc w:val="left"/>
      <w:pPr>
        <w:ind w:hanging="360" w:left="5040"/>
      </w:pPr>
      <w:rPr>
        <w:rFonts w:ascii="Symbol" w:hAnsi="Symbol"/>
      </w:rPr>
    </w:lvl>
    <w:lvl w:ilvl="7" w:tplc="7E66FAB9">
      <w:start w:val="1"/>
      <w:numFmt w:val="bullet"/>
      <w:suff w:val="tab"/>
      <w:lvlText w:val="o"/>
      <w:lvlJc w:val="left"/>
      <w:pPr>
        <w:ind w:hanging="360" w:left="5760"/>
      </w:pPr>
      <w:rPr>
        <w:rFonts w:ascii="Symbol" w:hAnsi="Symbol"/>
      </w:rPr>
    </w:lvl>
    <w:lvl w:ilvl="8" w:tplc="226A3F3A">
      <w:start w:val="1"/>
      <w:numFmt w:val="bullet"/>
      <w:suff w:val="tab"/>
      <w:lvlText w:val="·"/>
      <w:lvlJc w:val="left"/>
      <w:pPr>
        <w:ind w:hanging="360" w:left="6480"/>
      </w:pPr>
      <w:rPr>
        <w:rFonts w:ascii="Symbol" w:hAnsi="Symbol"/>
      </w:rPr>
    </w:lvl>
  </w:abstractNum>
  <w:abstractNum w:abstractNumId="109">
    <w:nsid w:val="3A11F515"/>
    <w:multiLevelType w:val="hybridMultilevel"/>
    <w:lvl w:ilvl="0" w:tplc="516942C5">
      <w:start w:val="1"/>
      <w:numFmt w:val="bullet"/>
      <w:suff w:val="tab"/>
      <w:lvlText w:val="·"/>
      <w:lvlJc w:val="left"/>
      <w:pPr>
        <w:ind w:hanging="360" w:left="720"/>
      </w:pPr>
      <w:rPr>
        <w:rFonts w:ascii="Symbol" w:hAnsi="Symbol" w:cs="Symbol" w:eastAsia="Symbol"/>
      </w:rPr>
    </w:lvl>
    <w:lvl w:ilvl="1" w:tplc="7FE083DD">
      <w:start w:val="1"/>
      <w:numFmt w:val="bullet"/>
      <w:suff w:val="tab"/>
      <w:lvlText w:val="o"/>
      <w:lvlJc w:val="left"/>
      <w:pPr>
        <w:ind w:hanging="360" w:left="1440"/>
      </w:pPr>
      <w:rPr>
        <w:rFonts w:ascii="Symbol" w:hAnsi="Symbol"/>
      </w:rPr>
    </w:lvl>
    <w:lvl w:ilvl="2" w:tplc="41DBABA5">
      <w:start w:val="1"/>
      <w:numFmt w:val="bullet"/>
      <w:suff w:val="tab"/>
      <w:lvlText w:val="·"/>
      <w:lvlJc w:val="left"/>
      <w:pPr>
        <w:ind w:hanging="360" w:left="2160"/>
      </w:pPr>
      <w:rPr>
        <w:rFonts w:ascii="Symbol" w:hAnsi="Symbol"/>
      </w:rPr>
    </w:lvl>
    <w:lvl w:ilvl="3" w:tplc="428BC041">
      <w:start w:val="1"/>
      <w:numFmt w:val="bullet"/>
      <w:suff w:val="tab"/>
      <w:lvlText w:val="o"/>
      <w:lvlJc w:val="left"/>
      <w:pPr>
        <w:ind w:hanging="360" w:left="2880"/>
      </w:pPr>
      <w:rPr>
        <w:rFonts w:ascii="Symbol" w:hAnsi="Symbol"/>
      </w:rPr>
    </w:lvl>
    <w:lvl w:ilvl="4" w:tplc="1CA230BE">
      <w:start w:val="1"/>
      <w:numFmt w:val="bullet"/>
      <w:suff w:val="tab"/>
      <w:lvlText w:val="·"/>
      <w:lvlJc w:val="left"/>
      <w:pPr>
        <w:ind w:hanging="360" w:left="3600"/>
      </w:pPr>
      <w:rPr>
        <w:rFonts w:ascii="Symbol" w:hAnsi="Symbol"/>
      </w:rPr>
    </w:lvl>
    <w:lvl w:ilvl="5" w:tplc="66EE35B2">
      <w:start w:val="1"/>
      <w:numFmt w:val="bullet"/>
      <w:suff w:val="tab"/>
      <w:lvlText w:val="o"/>
      <w:lvlJc w:val="left"/>
      <w:pPr>
        <w:ind w:hanging="360" w:left="4320"/>
      </w:pPr>
      <w:rPr>
        <w:rFonts w:ascii="Symbol" w:hAnsi="Symbol"/>
      </w:rPr>
    </w:lvl>
    <w:lvl w:ilvl="6" w:tplc="60AA856C">
      <w:start w:val="1"/>
      <w:numFmt w:val="bullet"/>
      <w:suff w:val="tab"/>
      <w:lvlText w:val="·"/>
      <w:lvlJc w:val="left"/>
      <w:pPr>
        <w:ind w:hanging="360" w:left="5040"/>
      </w:pPr>
      <w:rPr>
        <w:rFonts w:ascii="Symbol" w:hAnsi="Symbol"/>
      </w:rPr>
    </w:lvl>
    <w:lvl w:ilvl="7" w:tplc="58A59A55">
      <w:start w:val="1"/>
      <w:numFmt w:val="bullet"/>
      <w:suff w:val="tab"/>
      <w:lvlText w:val="o"/>
      <w:lvlJc w:val="left"/>
      <w:pPr>
        <w:ind w:hanging="360" w:left="5760"/>
      </w:pPr>
      <w:rPr>
        <w:rFonts w:ascii="Symbol" w:hAnsi="Symbol"/>
      </w:rPr>
    </w:lvl>
    <w:lvl w:ilvl="8" w:tplc="00A89F08">
      <w:start w:val="1"/>
      <w:numFmt w:val="bullet"/>
      <w:suff w:val="tab"/>
      <w:lvlText w:val="·"/>
      <w:lvlJc w:val="left"/>
      <w:pPr>
        <w:ind w:hanging="360" w:left="6480"/>
      </w:pPr>
      <w:rPr>
        <w:rFonts w:ascii="Symbol" w:hAnsi="Symbol"/>
      </w:rPr>
    </w:lvl>
  </w:abstractNum>
  <w:abstractNum w:abstractNumId="110">
    <w:nsid w:val="60F81813"/>
    <w:multiLevelType w:val="hybridMultilevel"/>
    <w:lvl w:ilvl="0" w:tplc="43F3095F">
      <w:start w:val="1"/>
      <w:numFmt w:val="bullet"/>
      <w:suff w:val="tab"/>
      <w:lvlText w:val="·"/>
      <w:lvlJc w:val="left"/>
      <w:pPr>
        <w:ind w:hanging="360" w:left="720"/>
      </w:pPr>
      <w:rPr>
        <w:rFonts w:ascii="Symbol" w:hAnsi="Symbol" w:cs="Symbol" w:eastAsia="Symbol"/>
      </w:rPr>
    </w:lvl>
    <w:lvl w:ilvl="1" w:tplc="3BD8E6EC">
      <w:start w:val="1"/>
      <w:numFmt w:val="bullet"/>
      <w:suff w:val="tab"/>
      <w:lvlText w:val="o"/>
      <w:lvlJc w:val="left"/>
      <w:pPr>
        <w:ind w:hanging="360" w:left="1440"/>
      </w:pPr>
      <w:rPr>
        <w:rFonts w:ascii="Symbol" w:hAnsi="Symbol"/>
      </w:rPr>
    </w:lvl>
    <w:lvl w:ilvl="2" w:tplc="204B83BC">
      <w:start w:val="1"/>
      <w:numFmt w:val="bullet"/>
      <w:suff w:val="tab"/>
      <w:lvlText w:val="·"/>
      <w:lvlJc w:val="left"/>
      <w:pPr>
        <w:ind w:hanging="360" w:left="2160"/>
      </w:pPr>
      <w:rPr>
        <w:rFonts w:ascii="Symbol" w:hAnsi="Symbol"/>
      </w:rPr>
    </w:lvl>
    <w:lvl w:ilvl="3" w:tplc="7F027AAB">
      <w:start w:val="1"/>
      <w:numFmt w:val="bullet"/>
      <w:suff w:val="tab"/>
      <w:lvlText w:val="o"/>
      <w:lvlJc w:val="left"/>
      <w:pPr>
        <w:ind w:hanging="360" w:left="2880"/>
      </w:pPr>
      <w:rPr>
        <w:rFonts w:ascii="Symbol" w:hAnsi="Symbol"/>
      </w:rPr>
    </w:lvl>
    <w:lvl w:ilvl="4" w:tplc="0B7C71DB">
      <w:start w:val="1"/>
      <w:numFmt w:val="bullet"/>
      <w:suff w:val="tab"/>
      <w:lvlText w:val="·"/>
      <w:lvlJc w:val="left"/>
      <w:pPr>
        <w:ind w:hanging="360" w:left="3600"/>
      </w:pPr>
      <w:rPr>
        <w:rFonts w:ascii="Symbol" w:hAnsi="Symbol"/>
      </w:rPr>
    </w:lvl>
    <w:lvl w:ilvl="5" w:tplc="69162866">
      <w:start w:val="1"/>
      <w:numFmt w:val="bullet"/>
      <w:suff w:val="tab"/>
      <w:lvlText w:val="o"/>
      <w:lvlJc w:val="left"/>
      <w:pPr>
        <w:ind w:hanging="360" w:left="4320"/>
      </w:pPr>
      <w:rPr>
        <w:rFonts w:ascii="Symbol" w:hAnsi="Symbol"/>
      </w:rPr>
    </w:lvl>
    <w:lvl w:ilvl="6" w:tplc="376B2308">
      <w:start w:val="1"/>
      <w:numFmt w:val="bullet"/>
      <w:suff w:val="tab"/>
      <w:lvlText w:val="·"/>
      <w:lvlJc w:val="left"/>
      <w:pPr>
        <w:ind w:hanging="360" w:left="5040"/>
      </w:pPr>
      <w:rPr>
        <w:rFonts w:ascii="Symbol" w:hAnsi="Symbol"/>
      </w:rPr>
    </w:lvl>
    <w:lvl w:ilvl="7" w:tplc="08954BA3">
      <w:start w:val="1"/>
      <w:numFmt w:val="bullet"/>
      <w:suff w:val="tab"/>
      <w:lvlText w:val="o"/>
      <w:lvlJc w:val="left"/>
      <w:pPr>
        <w:ind w:hanging="360" w:left="5760"/>
      </w:pPr>
      <w:rPr>
        <w:rFonts w:ascii="Symbol" w:hAnsi="Symbol"/>
      </w:rPr>
    </w:lvl>
    <w:lvl w:ilvl="8" w:tplc="02A94969">
      <w:start w:val="1"/>
      <w:numFmt w:val="bullet"/>
      <w:suff w:val="tab"/>
      <w:lvlText w:val="·"/>
      <w:lvlJc w:val="left"/>
      <w:pPr>
        <w:ind w:hanging="360" w:left="6480"/>
      </w:pPr>
      <w:rPr>
        <w:rFonts w:ascii="Symbol" w:hAnsi="Symbol"/>
      </w:rPr>
    </w:lvl>
  </w:abstractNum>
  <w:abstractNum w:abstractNumId="111">
    <w:nsid w:val="19C00694"/>
    <w:multiLevelType w:val="hybridMultilevel"/>
    <w:lvl w:ilvl="0" w:tplc="497147E0">
      <w:start w:val="1"/>
      <w:numFmt w:val="bullet"/>
      <w:suff w:val="tab"/>
      <w:lvlText w:val="·"/>
      <w:lvlJc w:val="left"/>
      <w:pPr>
        <w:ind w:hanging="360" w:left="720"/>
      </w:pPr>
      <w:rPr>
        <w:rFonts w:ascii="Symbol" w:hAnsi="Symbol" w:cs="Symbol" w:eastAsia="Symbol"/>
      </w:rPr>
    </w:lvl>
    <w:lvl w:ilvl="1" w:tplc="63B77EBB">
      <w:start w:val="1"/>
      <w:numFmt w:val="bullet"/>
      <w:suff w:val="tab"/>
      <w:lvlText w:val="o"/>
      <w:lvlJc w:val="left"/>
      <w:pPr>
        <w:ind w:hanging="360" w:left="1440"/>
      </w:pPr>
      <w:rPr>
        <w:rFonts w:ascii="Symbol" w:hAnsi="Symbol"/>
      </w:rPr>
    </w:lvl>
    <w:lvl w:ilvl="2" w:tplc="02913C97">
      <w:start w:val="1"/>
      <w:numFmt w:val="bullet"/>
      <w:suff w:val="tab"/>
      <w:lvlText w:val="·"/>
      <w:lvlJc w:val="left"/>
      <w:pPr>
        <w:ind w:hanging="360" w:left="2160"/>
      </w:pPr>
      <w:rPr>
        <w:rFonts w:ascii="Symbol" w:hAnsi="Symbol"/>
      </w:rPr>
    </w:lvl>
    <w:lvl w:ilvl="3" w:tplc="187E159C">
      <w:start w:val="1"/>
      <w:numFmt w:val="bullet"/>
      <w:suff w:val="tab"/>
      <w:lvlText w:val="o"/>
      <w:lvlJc w:val="left"/>
      <w:pPr>
        <w:ind w:hanging="360" w:left="2880"/>
      </w:pPr>
      <w:rPr>
        <w:rFonts w:ascii="Symbol" w:hAnsi="Symbol"/>
      </w:rPr>
    </w:lvl>
    <w:lvl w:ilvl="4" w:tplc="6429CA8E">
      <w:start w:val="1"/>
      <w:numFmt w:val="bullet"/>
      <w:suff w:val="tab"/>
      <w:lvlText w:val="·"/>
      <w:lvlJc w:val="left"/>
      <w:pPr>
        <w:ind w:hanging="360" w:left="3600"/>
      </w:pPr>
      <w:rPr>
        <w:rFonts w:ascii="Symbol" w:hAnsi="Symbol"/>
      </w:rPr>
    </w:lvl>
    <w:lvl w:ilvl="5" w:tplc="7E3FD16D">
      <w:start w:val="1"/>
      <w:numFmt w:val="bullet"/>
      <w:suff w:val="tab"/>
      <w:lvlText w:val="o"/>
      <w:lvlJc w:val="left"/>
      <w:pPr>
        <w:ind w:hanging="360" w:left="4320"/>
      </w:pPr>
      <w:rPr>
        <w:rFonts w:ascii="Symbol" w:hAnsi="Symbol"/>
      </w:rPr>
    </w:lvl>
    <w:lvl w:ilvl="6" w:tplc="39658866">
      <w:start w:val="1"/>
      <w:numFmt w:val="bullet"/>
      <w:suff w:val="tab"/>
      <w:lvlText w:val="·"/>
      <w:lvlJc w:val="left"/>
      <w:pPr>
        <w:ind w:hanging="360" w:left="5040"/>
      </w:pPr>
      <w:rPr>
        <w:rFonts w:ascii="Symbol" w:hAnsi="Symbol"/>
      </w:rPr>
    </w:lvl>
    <w:lvl w:ilvl="7" w:tplc="117DC0D4">
      <w:start w:val="1"/>
      <w:numFmt w:val="bullet"/>
      <w:suff w:val="tab"/>
      <w:lvlText w:val="o"/>
      <w:lvlJc w:val="left"/>
      <w:pPr>
        <w:ind w:hanging="360" w:left="5760"/>
      </w:pPr>
      <w:rPr>
        <w:rFonts w:ascii="Symbol" w:hAnsi="Symbol"/>
      </w:rPr>
    </w:lvl>
    <w:lvl w:ilvl="8" w:tplc="65040AB3">
      <w:start w:val="1"/>
      <w:numFmt w:val="bullet"/>
      <w:suff w:val="tab"/>
      <w:lvlText w:val="·"/>
      <w:lvlJc w:val="left"/>
      <w:pPr>
        <w:ind w:hanging="360" w:left="6480"/>
      </w:pPr>
      <w:rPr>
        <w:rFonts w:ascii="Symbol" w:hAnsi="Symbol"/>
      </w:rPr>
    </w:lvl>
  </w:abstractNum>
  <w:abstractNum w:abstractNumId="112">
    <w:nsid w:val="4B3FC150"/>
    <w:multiLevelType w:val="hybridMultilevel"/>
    <w:lvl w:ilvl="0" w:tplc="6BAAB4DE">
      <w:start w:val="1"/>
      <w:numFmt w:val="bullet"/>
      <w:suff w:val="tab"/>
      <w:lvlText w:val="·"/>
      <w:lvlJc w:val="left"/>
      <w:pPr>
        <w:ind w:hanging="360" w:left="720"/>
      </w:pPr>
      <w:rPr>
        <w:rFonts w:ascii="Symbol" w:hAnsi="Symbol" w:cs="Symbol" w:eastAsia="Symbol"/>
      </w:rPr>
    </w:lvl>
    <w:lvl w:ilvl="1" w:tplc="04BA1CB1">
      <w:start w:val="1"/>
      <w:numFmt w:val="bullet"/>
      <w:suff w:val="tab"/>
      <w:lvlText w:val="o"/>
      <w:lvlJc w:val="left"/>
      <w:pPr>
        <w:ind w:hanging="360" w:left="1440"/>
      </w:pPr>
      <w:rPr>
        <w:rFonts w:ascii="Symbol" w:hAnsi="Symbol"/>
      </w:rPr>
    </w:lvl>
    <w:lvl w:ilvl="2" w:tplc="7950E4EE">
      <w:start w:val="1"/>
      <w:numFmt w:val="bullet"/>
      <w:suff w:val="tab"/>
      <w:lvlText w:val="·"/>
      <w:lvlJc w:val="left"/>
      <w:pPr>
        <w:ind w:hanging="360" w:left="2160"/>
      </w:pPr>
      <w:rPr>
        <w:rFonts w:ascii="Symbol" w:hAnsi="Symbol"/>
      </w:rPr>
    </w:lvl>
    <w:lvl w:ilvl="3" w:tplc="47A26762">
      <w:start w:val="1"/>
      <w:numFmt w:val="bullet"/>
      <w:suff w:val="tab"/>
      <w:lvlText w:val="o"/>
      <w:lvlJc w:val="left"/>
      <w:pPr>
        <w:ind w:hanging="360" w:left="2880"/>
      </w:pPr>
      <w:rPr>
        <w:rFonts w:ascii="Symbol" w:hAnsi="Symbol"/>
      </w:rPr>
    </w:lvl>
    <w:lvl w:ilvl="4" w:tplc="7A9F5EDD">
      <w:start w:val="1"/>
      <w:numFmt w:val="bullet"/>
      <w:suff w:val="tab"/>
      <w:lvlText w:val="·"/>
      <w:lvlJc w:val="left"/>
      <w:pPr>
        <w:ind w:hanging="360" w:left="3600"/>
      </w:pPr>
      <w:rPr>
        <w:rFonts w:ascii="Symbol" w:hAnsi="Symbol"/>
      </w:rPr>
    </w:lvl>
    <w:lvl w:ilvl="5" w:tplc="68AAF86C">
      <w:start w:val="1"/>
      <w:numFmt w:val="bullet"/>
      <w:suff w:val="tab"/>
      <w:lvlText w:val="o"/>
      <w:lvlJc w:val="left"/>
      <w:pPr>
        <w:ind w:hanging="360" w:left="4320"/>
      </w:pPr>
      <w:rPr>
        <w:rFonts w:ascii="Symbol" w:hAnsi="Symbol"/>
      </w:rPr>
    </w:lvl>
    <w:lvl w:ilvl="6" w:tplc="1B4D4B84">
      <w:start w:val="1"/>
      <w:numFmt w:val="bullet"/>
      <w:suff w:val="tab"/>
      <w:lvlText w:val="·"/>
      <w:lvlJc w:val="left"/>
      <w:pPr>
        <w:ind w:hanging="360" w:left="5040"/>
      </w:pPr>
      <w:rPr>
        <w:rFonts w:ascii="Symbol" w:hAnsi="Symbol"/>
      </w:rPr>
    </w:lvl>
    <w:lvl w:ilvl="7" w:tplc="1ECA476A">
      <w:start w:val="1"/>
      <w:numFmt w:val="bullet"/>
      <w:suff w:val="tab"/>
      <w:lvlText w:val="o"/>
      <w:lvlJc w:val="left"/>
      <w:pPr>
        <w:ind w:hanging="360" w:left="5760"/>
      </w:pPr>
      <w:rPr>
        <w:rFonts w:ascii="Symbol" w:hAnsi="Symbol"/>
      </w:rPr>
    </w:lvl>
    <w:lvl w:ilvl="8" w:tplc="050EA66D">
      <w:start w:val="1"/>
      <w:numFmt w:val="bullet"/>
      <w:suff w:val="tab"/>
      <w:lvlText w:val="·"/>
      <w:lvlJc w:val="left"/>
      <w:pPr>
        <w:ind w:hanging="360" w:left="6480"/>
      </w:pPr>
      <w:rPr>
        <w:rFonts w:ascii="Symbol" w:hAnsi="Symbol"/>
      </w:rPr>
    </w:lvl>
  </w:abstractNum>
  <w:abstractNum w:abstractNumId="113">
    <w:nsid w:val="65E89A39"/>
    <w:multiLevelType w:val="hybridMultilevel"/>
    <w:lvl w:ilvl="0" w:tplc="6D0FBCE4">
      <w:start w:val="1"/>
      <w:numFmt w:val="bullet"/>
      <w:suff w:val="tab"/>
      <w:lvlText w:val="·"/>
      <w:lvlJc w:val="left"/>
      <w:pPr>
        <w:ind w:hanging="360" w:left="720"/>
      </w:pPr>
      <w:rPr>
        <w:rFonts w:ascii="Symbol" w:hAnsi="Symbol" w:cs="Symbol" w:eastAsia="Symbol"/>
      </w:rPr>
    </w:lvl>
    <w:lvl w:ilvl="1" w:tplc="0E9B5690">
      <w:start w:val="1"/>
      <w:numFmt w:val="bullet"/>
      <w:suff w:val="tab"/>
      <w:lvlText w:val="o"/>
      <w:lvlJc w:val="left"/>
      <w:pPr>
        <w:ind w:hanging="360" w:left="1440"/>
      </w:pPr>
      <w:rPr>
        <w:rFonts w:ascii="Symbol" w:hAnsi="Symbol"/>
      </w:rPr>
    </w:lvl>
    <w:lvl w:ilvl="2" w:tplc="637DECAD">
      <w:start w:val="1"/>
      <w:numFmt w:val="bullet"/>
      <w:suff w:val="tab"/>
      <w:lvlText w:val="·"/>
      <w:lvlJc w:val="left"/>
      <w:pPr>
        <w:ind w:hanging="360" w:left="2160"/>
      </w:pPr>
      <w:rPr>
        <w:rFonts w:ascii="Symbol" w:hAnsi="Symbol"/>
      </w:rPr>
    </w:lvl>
    <w:lvl w:ilvl="3" w:tplc="71B3D0D3">
      <w:start w:val="1"/>
      <w:numFmt w:val="bullet"/>
      <w:suff w:val="tab"/>
      <w:lvlText w:val="o"/>
      <w:lvlJc w:val="left"/>
      <w:pPr>
        <w:ind w:hanging="360" w:left="2880"/>
      </w:pPr>
      <w:rPr>
        <w:rFonts w:ascii="Symbol" w:hAnsi="Symbol"/>
      </w:rPr>
    </w:lvl>
    <w:lvl w:ilvl="4" w:tplc="61B53FAC">
      <w:start w:val="1"/>
      <w:numFmt w:val="bullet"/>
      <w:suff w:val="tab"/>
      <w:lvlText w:val="·"/>
      <w:lvlJc w:val="left"/>
      <w:pPr>
        <w:ind w:hanging="360" w:left="3600"/>
      </w:pPr>
      <w:rPr>
        <w:rFonts w:ascii="Symbol" w:hAnsi="Symbol"/>
      </w:rPr>
    </w:lvl>
    <w:lvl w:ilvl="5" w:tplc="6D3EF451">
      <w:start w:val="1"/>
      <w:numFmt w:val="bullet"/>
      <w:suff w:val="tab"/>
      <w:lvlText w:val="o"/>
      <w:lvlJc w:val="left"/>
      <w:pPr>
        <w:ind w:hanging="360" w:left="4320"/>
      </w:pPr>
      <w:rPr>
        <w:rFonts w:ascii="Symbol" w:hAnsi="Symbol"/>
      </w:rPr>
    </w:lvl>
    <w:lvl w:ilvl="6" w:tplc="7219C2C0">
      <w:start w:val="1"/>
      <w:numFmt w:val="bullet"/>
      <w:suff w:val="tab"/>
      <w:lvlText w:val="·"/>
      <w:lvlJc w:val="left"/>
      <w:pPr>
        <w:ind w:hanging="360" w:left="5040"/>
      </w:pPr>
      <w:rPr>
        <w:rFonts w:ascii="Symbol" w:hAnsi="Symbol"/>
      </w:rPr>
    </w:lvl>
    <w:lvl w:ilvl="7" w:tplc="700BB7B5">
      <w:start w:val="1"/>
      <w:numFmt w:val="bullet"/>
      <w:suff w:val="tab"/>
      <w:lvlText w:val="o"/>
      <w:lvlJc w:val="left"/>
      <w:pPr>
        <w:ind w:hanging="360" w:left="5760"/>
      </w:pPr>
      <w:rPr>
        <w:rFonts w:ascii="Symbol" w:hAnsi="Symbol"/>
      </w:rPr>
    </w:lvl>
    <w:lvl w:ilvl="8" w:tplc="65FE93EA">
      <w:start w:val="1"/>
      <w:numFmt w:val="bullet"/>
      <w:suff w:val="tab"/>
      <w:lvlText w:val="·"/>
      <w:lvlJc w:val="left"/>
      <w:pPr>
        <w:ind w:hanging="360" w:left="6480"/>
      </w:pPr>
      <w:rPr>
        <w:rFonts w:ascii="Symbol" w:hAnsi="Symbol"/>
      </w:rPr>
    </w:lvl>
  </w:abstractNum>
  <w:abstractNum w:abstractNumId="114">
    <w:nsid w:val="24256F1D"/>
    <w:multiLevelType w:val="hybridMultilevel"/>
    <w:lvl w:ilvl="0" w:tplc="4320F7D1">
      <w:start w:val="1"/>
      <w:numFmt w:val="bullet"/>
      <w:suff w:val="tab"/>
      <w:lvlText w:val="·"/>
      <w:lvlJc w:val="left"/>
      <w:pPr>
        <w:ind w:hanging="360" w:left="720"/>
      </w:pPr>
      <w:rPr>
        <w:rFonts w:ascii="Symbol" w:hAnsi="Symbol" w:cs="Symbol" w:eastAsia="Symbol"/>
      </w:rPr>
    </w:lvl>
    <w:lvl w:ilvl="1" w:tplc="18B502B2">
      <w:start w:val="1"/>
      <w:numFmt w:val="bullet"/>
      <w:suff w:val="tab"/>
      <w:lvlText w:val="o"/>
      <w:lvlJc w:val="left"/>
      <w:pPr>
        <w:ind w:hanging="360" w:left="1440"/>
      </w:pPr>
      <w:rPr>
        <w:rFonts w:ascii="Symbol" w:hAnsi="Symbol"/>
      </w:rPr>
    </w:lvl>
    <w:lvl w:ilvl="2" w:tplc="796C84D6">
      <w:start w:val="1"/>
      <w:numFmt w:val="bullet"/>
      <w:suff w:val="tab"/>
      <w:lvlText w:val="·"/>
      <w:lvlJc w:val="left"/>
      <w:pPr>
        <w:ind w:hanging="360" w:left="2160"/>
      </w:pPr>
      <w:rPr>
        <w:rFonts w:ascii="Symbol" w:hAnsi="Symbol"/>
      </w:rPr>
    </w:lvl>
    <w:lvl w:ilvl="3" w:tplc="06074D8C">
      <w:start w:val="1"/>
      <w:numFmt w:val="bullet"/>
      <w:suff w:val="tab"/>
      <w:lvlText w:val="o"/>
      <w:lvlJc w:val="left"/>
      <w:pPr>
        <w:ind w:hanging="360" w:left="2880"/>
      </w:pPr>
      <w:rPr>
        <w:rFonts w:ascii="Symbol" w:hAnsi="Symbol"/>
      </w:rPr>
    </w:lvl>
    <w:lvl w:ilvl="4" w:tplc="078502A1">
      <w:start w:val="1"/>
      <w:numFmt w:val="bullet"/>
      <w:suff w:val="tab"/>
      <w:lvlText w:val="·"/>
      <w:lvlJc w:val="left"/>
      <w:pPr>
        <w:ind w:hanging="360" w:left="3600"/>
      </w:pPr>
      <w:rPr>
        <w:rFonts w:ascii="Symbol" w:hAnsi="Symbol"/>
      </w:rPr>
    </w:lvl>
    <w:lvl w:ilvl="5" w:tplc="3A0C557B">
      <w:start w:val="1"/>
      <w:numFmt w:val="bullet"/>
      <w:suff w:val="tab"/>
      <w:lvlText w:val="o"/>
      <w:lvlJc w:val="left"/>
      <w:pPr>
        <w:ind w:hanging="360" w:left="4320"/>
      </w:pPr>
      <w:rPr>
        <w:rFonts w:ascii="Symbol" w:hAnsi="Symbol"/>
      </w:rPr>
    </w:lvl>
    <w:lvl w:ilvl="6" w:tplc="2C63506D">
      <w:start w:val="1"/>
      <w:numFmt w:val="bullet"/>
      <w:suff w:val="tab"/>
      <w:lvlText w:val="·"/>
      <w:lvlJc w:val="left"/>
      <w:pPr>
        <w:ind w:hanging="360" w:left="5040"/>
      </w:pPr>
      <w:rPr>
        <w:rFonts w:ascii="Symbol" w:hAnsi="Symbol"/>
      </w:rPr>
    </w:lvl>
    <w:lvl w:ilvl="7" w:tplc="01EFE4DA">
      <w:start w:val="1"/>
      <w:numFmt w:val="bullet"/>
      <w:suff w:val="tab"/>
      <w:lvlText w:val="o"/>
      <w:lvlJc w:val="left"/>
      <w:pPr>
        <w:ind w:hanging="360" w:left="5760"/>
      </w:pPr>
      <w:rPr>
        <w:rFonts w:ascii="Symbol" w:hAnsi="Symbol"/>
      </w:rPr>
    </w:lvl>
    <w:lvl w:ilvl="8" w:tplc="1C861BB0">
      <w:start w:val="1"/>
      <w:numFmt w:val="bullet"/>
      <w:suff w:val="tab"/>
      <w:lvlText w:val="·"/>
      <w:lvlJc w:val="left"/>
      <w:pPr>
        <w:ind w:hanging="360" w:left="6480"/>
      </w:pPr>
      <w:rPr>
        <w:rFonts w:ascii="Symbol" w:hAnsi="Symbol"/>
      </w:rPr>
    </w:lvl>
  </w:abstractNum>
  <w:abstractNum w:abstractNumId="115">
    <w:nsid w:val="4C498AD7"/>
    <w:multiLevelType w:val="hybridMultilevel"/>
    <w:lvl w:ilvl="0" w:tplc="215224BF">
      <w:start w:val="1"/>
      <w:numFmt w:val="bullet"/>
      <w:suff w:val="tab"/>
      <w:lvlText w:val="·"/>
      <w:lvlJc w:val="left"/>
      <w:pPr>
        <w:ind w:hanging="360" w:left="720"/>
      </w:pPr>
      <w:rPr>
        <w:rFonts w:ascii="Symbol" w:hAnsi="Symbol" w:cs="Symbol" w:eastAsia="Symbol"/>
      </w:rPr>
    </w:lvl>
    <w:lvl w:ilvl="1" w:tplc="73060D85">
      <w:start w:val="1"/>
      <w:numFmt w:val="bullet"/>
      <w:suff w:val="tab"/>
      <w:lvlText w:val="o"/>
      <w:lvlJc w:val="left"/>
      <w:pPr>
        <w:ind w:hanging="360" w:left="1440"/>
      </w:pPr>
      <w:rPr>
        <w:rFonts w:ascii="Symbol" w:hAnsi="Symbol"/>
      </w:rPr>
    </w:lvl>
    <w:lvl w:ilvl="2" w:tplc="4E02FEE5">
      <w:start w:val="1"/>
      <w:numFmt w:val="bullet"/>
      <w:suff w:val="tab"/>
      <w:lvlText w:val="·"/>
      <w:lvlJc w:val="left"/>
      <w:pPr>
        <w:ind w:hanging="360" w:left="2160"/>
      </w:pPr>
      <w:rPr>
        <w:rFonts w:ascii="Symbol" w:hAnsi="Symbol"/>
      </w:rPr>
    </w:lvl>
    <w:lvl w:ilvl="3" w:tplc="34006658">
      <w:start w:val="1"/>
      <w:numFmt w:val="bullet"/>
      <w:suff w:val="tab"/>
      <w:lvlText w:val="o"/>
      <w:lvlJc w:val="left"/>
      <w:pPr>
        <w:ind w:hanging="360" w:left="2880"/>
      </w:pPr>
      <w:rPr>
        <w:rFonts w:ascii="Symbol" w:hAnsi="Symbol"/>
      </w:rPr>
    </w:lvl>
    <w:lvl w:ilvl="4" w:tplc="0D325EF8">
      <w:start w:val="1"/>
      <w:numFmt w:val="bullet"/>
      <w:suff w:val="tab"/>
      <w:lvlText w:val="·"/>
      <w:lvlJc w:val="left"/>
      <w:pPr>
        <w:ind w:hanging="360" w:left="3600"/>
      </w:pPr>
      <w:rPr>
        <w:rFonts w:ascii="Symbol" w:hAnsi="Symbol"/>
      </w:rPr>
    </w:lvl>
    <w:lvl w:ilvl="5" w:tplc="06FC005A">
      <w:start w:val="1"/>
      <w:numFmt w:val="bullet"/>
      <w:suff w:val="tab"/>
      <w:lvlText w:val="o"/>
      <w:lvlJc w:val="left"/>
      <w:pPr>
        <w:ind w:hanging="360" w:left="4320"/>
      </w:pPr>
      <w:rPr>
        <w:rFonts w:ascii="Symbol" w:hAnsi="Symbol"/>
      </w:rPr>
    </w:lvl>
    <w:lvl w:ilvl="6" w:tplc="30E0A80E">
      <w:start w:val="1"/>
      <w:numFmt w:val="bullet"/>
      <w:suff w:val="tab"/>
      <w:lvlText w:val="·"/>
      <w:lvlJc w:val="left"/>
      <w:pPr>
        <w:ind w:hanging="360" w:left="5040"/>
      </w:pPr>
      <w:rPr>
        <w:rFonts w:ascii="Symbol" w:hAnsi="Symbol"/>
      </w:rPr>
    </w:lvl>
    <w:lvl w:ilvl="7" w:tplc="3F5834C2">
      <w:start w:val="1"/>
      <w:numFmt w:val="bullet"/>
      <w:suff w:val="tab"/>
      <w:lvlText w:val="o"/>
      <w:lvlJc w:val="left"/>
      <w:pPr>
        <w:ind w:hanging="360" w:left="5760"/>
      </w:pPr>
      <w:rPr>
        <w:rFonts w:ascii="Symbol" w:hAnsi="Symbol"/>
      </w:rPr>
    </w:lvl>
    <w:lvl w:ilvl="8" w:tplc="3EC59D8A">
      <w:start w:val="1"/>
      <w:numFmt w:val="bullet"/>
      <w:suff w:val="tab"/>
      <w:lvlText w:val="·"/>
      <w:lvlJc w:val="left"/>
      <w:pPr>
        <w:ind w:hanging="360" w:left="6480"/>
      </w:pPr>
      <w:rPr>
        <w:rFonts w:ascii="Symbol" w:hAnsi="Symbol"/>
      </w:rPr>
    </w:lvl>
  </w:abstractNum>
  <w:abstractNum w:abstractNumId="116">
    <w:nsid w:val="703391B8"/>
    <w:multiLevelType w:val="hybridMultilevel"/>
    <w:lvl w:ilvl="0" w:tplc="19DF96A7">
      <w:start w:val="1"/>
      <w:numFmt w:val="bullet"/>
      <w:suff w:val="tab"/>
      <w:lvlText w:val="·"/>
      <w:lvlJc w:val="left"/>
      <w:pPr>
        <w:ind w:hanging="360" w:left="720"/>
      </w:pPr>
      <w:rPr>
        <w:rFonts w:ascii="Symbol" w:hAnsi="Symbol" w:cs="Symbol" w:eastAsia="Symbol"/>
      </w:rPr>
    </w:lvl>
    <w:lvl w:ilvl="1" w:tplc="54399682">
      <w:start w:val="1"/>
      <w:numFmt w:val="bullet"/>
      <w:suff w:val="tab"/>
      <w:lvlText w:val="o"/>
      <w:lvlJc w:val="left"/>
      <w:pPr>
        <w:ind w:hanging="360" w:left="1440"/>
      </w:pPr>
      <w:rPr>
        <w:rFonts w:ascii="Symbol" w:hAnsi="Symbol"/>
      </w:rPr>
    </w:lvl>
    <w:lvl w:ilvl="2" w:tplc="7B9B6477">
      <w:start w:val="1"/>
      <w:numFmt w:val="bullet"/>
      <w:suff w:val="tab"/>
      <w:lvlText w:val="·"/>
      <w:lvlJc w:val="left"/>
      <w:pPr>
        <w:ind w:hanging="360" w:left="2160"/>
      </w:pPr>
      <w:rPr>
        <w:rFonts w:ascii="Symbol" w:hAnsi="Symbol"/>
      </w:rPr>
    </w:lvl>
    <w:lvl w:ilvl="3" w:tplc="429F3455">
      <w:start w:val="1"/>
      <w:numFmt w:val="bullet"/>
      <w:suff w:val="tab"/>
      <w:lvlText w:val="o"/>
      <w:lvlJc w:val="left"/>
      <w:pPr>
        <w:ind w:hanging="360" w:left="2880"/>
      </w:pPr>
      <w:rPr>
        <w:rFonts w:ascii="Symbol" w:hAnsi="Symbol"/>
      </w:rPr>
    </w:lvl>
    <w:lvl w:ilvl="4" w:tplc="550CF946">
      <w:start w:val="1"/>
      <w:numFmt w:val="bullet"/>
      <w:suff w:val="tab"/>
      <w:lvlText w:val="·"/>
      <w:lvlJc w:val="left"/>
      <w:pPr>
        <w:ind w:hanging="360" w:left="3600"/>
      </w:pPr>
      <w:rPr>
        <w:rFonts w:ascii="Symbol" w:hAnsi="Symbol"/>
      </w:rPr>
    </w:lvl>
    <w:lvl w:ilvl="5" w:tplc="1934C745">
      <w:start w:val="1"/>
      <w:numFmt w:val="bullet"/>
      <w:suff w:val="tab"/>
      <w:lvlText w:val="o"/>
      <w:lvlJc w:val="left"/>
      <w:pPr>
        <w:ind w:hanging="360" w:left="4320"/>
      </w:pPr>
      <w:rPr>
        <w:rFonts w:ascii="Symbol" w:hAnsi="Symbol"/>
      </w:rPr>
    </w:lvl>
    <w:lvl w:ilvl="6" w:tplc="6A01D28E">
      <w:start w:val="1"/>
      <w:numFmt w:val="bullet"/>
      <w:suff w:val="tab"/>
      <w:lvlText w:val="·"/>
      <w:lvlJc w:val="left"/>
      <w:pPr>
        <w:ind w:hanging="360" w:left="5040"/>
      </w:pPr>
      <w:rPr>
        <w:rFonts w:ascii="Symbol" w:hAnsi="Symbol"/>
      </w:rPr>
    </w:lvl>
    <w:lvl w:ilvl="7" w:tplc="7E1A5CF9">
      <w:start w:val="1"/>
      <w:numFmt w:val="bullet"/>
      <w:suff w:val="tab"/>
      <w:lvlText w:val="o"/>
      <w:lvlJc w:val="left"/>
      <w:pPr>
        <w:ind w:hanging="360" w:left="5760"/>
      </w:pPr>
      <w:rPr>
        <w:rFonts w:ascii="Symbol" w:hAnsi="Symbol"/>
      </w:rPr>
    </w:lvl>
    <w:lvl w:ilvl="8" w:tplc="17D9B801">
      <w:start w:val="1"/>
      <w:numFmt w:val="bullet"/>
      <w:suff w:val="tab"/>
      <w:lvlText w:val="·"/>
      <w:lvlJc w:val="left"/>
      <w:pPr>
        <w:ind w:hanging="360" w:left="6480"/>
      </w:pPr>
      <w:rPr>
        <w:rFonts w:ascii="Symbol" w:hAnsi="Symbol"/>
      </w:rPr>
    </w:lvl>
  </w:abstractNum>
  <w:abstractNum w:abstractNumId="117">
    <w:nsid w:val="69A0935E"/>
    <w:multiLevelType w:val="hybridMultilevel"/>
    <w:lvl w:ilvl="0" w:tplc="55A3996B">
      <w:start w:val="1"/>
      <w:numFmt w:val="bullet"/>
      <w:suff w:val="tab"/>
      <w:lvlText w:val="·"/>
      <w:lvlJc w:val="left"/>
      <w:pPr>
        <w:ind w:hanging="360" w:left="720"/>
      </w:pPr>
      <w:rPr>
        <w:rFonts w:ascii="Symbol" w:hAnsi="Symbol" w:cs="Symbol" w:eastAsia="Symbol"/>
      </w:rPr>
    </w:lvl>
    <w:lvl w:ilvl="1" w:tplc="0F79862E">
      <w:start w:val="1"/>
      <w:numFmt w:val="bullet"/>
      <w:suff w:val="tab"/>
      <w:lvlText w:val="o"/>
      <w:lvlJc w:val="left"/>
      <w:pPr>
        <w:ind w:hanging="360" w:left="1440"/>
      </w:pPr>
      <w:rPr>
        <w:rFonts w:ascii="Symbol" w:hAnsi="Symbol"/>
      </w:rPr>
    </w:lvl>
    <w:lvl w:ilvl="2" w:tplc="6DD11B5E">
      <w:start w:val="1"/>
      <w:numFmt w:val="bullet"/>
      <w:suff w:val="tab"/>
      <w:lvlText w:val="·"/>
      <w:lvlJc w:val="left"/>
      <w:pPr>
        <w:ind w:hanging="360" w:left="2160"/>
      </w:pPr>
      <w:rPr>
        <w:rFonts w:ascii="Symbol" w:hAnsi="Symbol"/>
      </w:rPr>
    </w:lvl>
    <w:lvl w:ilvl="3" w:tplc="740588AE">
      <w:start w:val="1"/>
      <w:numFmt w:val="bullet"/>
      <w:suff w:val="tab"/>
      <w:lvlText w:val="o"/>
      <w:lvlJc w:val="left"/>
      <w:pPr>
        <w:ind w:hanging="360" w:left="2880"/>
      </w:pPr>
      <w:rPr>
        <w:rFonts w:ascii="Symbol" w:hAnsi="Symbol"/>
      </w:rPr>
    </w:lvl>
    <w:lvl w:ilvl="4" w:tplc="7091FD71">
      <w:start w:val="1"/>
      <w:numFmt w:val="bullet"/>
      <w:suff w:val="tab"/>
      <w:lvlText w:val="·"/>
      <w:lvlJc w:val="left"/>
      <w:pPr>
        <w:ind w:hanging="360" w:left="3600"/>
      </w:pPr>
      <w:rPr>
        <w:rFonts w:ascii="Symbol" w:hAnsi="Symbol"/>
      </w:rPr>
    </w:lvl>
    <w:lvl w:ilvl="5" w:tplc="04F5952C">
      <w:start w:val="1"/>
      <w:numFmt w:val="bullet"/>
      <w:suff w:val="tab"/>
      <w:lvlText w:val="o"/>
      <w:lvlJc w:val="left"/>
      <w:pPr>
        <w:ind w:hanging="360" w:left="4320"/>
      </w:pPr>
      <w:rPr>
        <w:rFonts w:ascii="Symbol" w:hAnsi="Symbol"/>
      </w:rPr>
    </w:lvl>
    <w:lvl w:ilvl="6" w:tplc="3D672A6A">
      <w:start w:val="1"/>
      <w:numFmt w:val="bullet"/>
      <w:suff w:val="tab"/>
      <w:lvlText w:val="·"/>
      <w:lvlJc w:val="left"/>
      <w:pPr>
        <w:ind w:hanging="360" w:left="5040"/>
      </w:pPr>
      <w:rPr>
        <w:rFonts w:ascii="Symbol" w:hAnsi="Symbol"/>
      </w:rPr>
    </w:lvl>
    <w:lvl w:ilvl="7" w:tplc="1974E18B">
      <w:start w:val="1"/>
      <w:numFmt w:val="bullet"/>
      <w:suff w:val="tab"/>
      <w:lvlText w:val="o"/>
      <w:lvlJc w:val="left"/>
      <w:pPr>
        <w:ind w:hanging="360" w:left="5760"/>
      </w:pPr>
      <w:rPr>
        <w:rFonts w:ascii="Symbol" w:hAnsi="Symbol"/>
      </w:rPr>
    </w:lvl>
    <w:lvl w:ilvl="8" w:tplc="1DA2A701">
      <w:start w:val="1"/>
      <w:numFmt w:val="bullet"/>
      <w:suff w:val="tab"/>
      <w:lvlText w:val="·"/>
      <w:lvlJc w:val="left"/>
      <w:pPr>
        <w:ind w:hanging="360" w:left="6480"/>
      </w:pPr>
      <w:rPr>
        <w:rFonts w:ascii="Symbol" w:hAnsi="Symbol"/>
      </w:rPr>
    </w:lvl>
  </w:abstractNum>
  <w:abstractNum w:abstractNumId="118">
    <w:nsid w:val="20879F3E"/>
    <w:multiLevelType w:val="hybridMultilevel"/>
    <w:lvl w:ilvl="0" w:tplc="58D847A2">
      <w:start w:val="1"/>
      <w:numFmt w:val="bullet"/>
      <w:suff w:val="tab"/>
      <w:lvlText w:val="·"/>
      <w:lvlJc w:val="left"/>
      <w:pPr>
        <w:ind w:hanging="360" w:left="720"/>
      </w:pPr>
      <w:rPr>
        <w:rFonts w:ascii="Symbol" w:hAnsi="Symbol" w:cs="Symbol" w:eastAsia="Symbol"/>
      </w:rPr>
    </w:lvl>
    <w:lvl w:ilvl="1" w:tplc="1BFA7150">
      <w:start w:val="1"/>
      <w:numFmt w:val="bullet"/>
      <w:suff w:val="tab"/>
      <w:lvlText w:val="o"/>
      <w:lvlJc w:val="left"/>
      <w:pPr>
        <w:ind w:hanging="360" w:left="1440"/>
      </w:pPr>
      <w:rPr>
        <w:rFonts w:ascii="Symbol" w:hAnsi="Symbol"/>
      </w:rPr>
    </w:lvl>
    <w:lvl w:ilvl="2" w:tplc="1DEFC88C">
      <w:start w:val="1"/>
      <w:numFmt w:val="bullet"/>
      <w:suff w:val="tab"/>
      <w:lvlText w:val="·"/>
      <w:lvlJc w:val="left"/>
      <w:pPr>
        <w:ind w:hanging="360" w:left="2160"/>
      </w:pPr>
      <w:rPr>
        <w:rFonts w:ascii="Symbol" w:hAnsi="Symbol"/>
      </w:rPr>
    </w:lvl>
    <w:lvl w:ilvl="3" w:tplc="6B28D556">
      <w:start w:val="1"/>
      <w:numFmt w:val="bullet"/>
      <w:suff w:val="tab"/>
      <w:lvlText w:val="o"/>
      <w:lvlJc w:val="left"/>
      <w:pPr>
        <w:ind w:hanging="360" w:left="2880"/>
      </w:pPr>
      <w:rPr>
        <w:rFonts w:ascii="Symbol" w:hAnsi="Symbol"/>
      </w:rPr>
    </w:lvl>
    <w:lvl w:ilvl="4" w:tplc="1B40E352">
      <w:start w:val="1"/>
      <w:numFmt w:val="bullet"/>
      <w:suff w:val="tab"/>
      <w:lvlText w:val="·"/>
      <w:lvlJc w:val="left"/>
      <w:pPr>
        <w:ind w:hanging="360" w:left="3600"/>
      </w:pPr>
      <w:rPr>
        <w:rFonts w:ascii="Symbol" w:hAnsi="Symbol"/>
      </w:rPr>
    </w:lvl>
    <w:lvl w:ilvl="5" w:tplc="4FD4FCEA">
      <w:start w:val="1"/>
      <w:numFmt w:val="bullet"/>
      <w:suff w:val="tab"/>
      <w:lvlText w:val="o"/>
      <w:lvlJc w:val="left"/>
      <w:pPr>
        <w:ind w:hanging="360" w:left="4320"/>
      </w:pPr>
      <w:rPr>
        <w:rFonts w:ascii="Symbol" w:hAnsi="Symbol"/>
      </w:rPr>
    </w:lvl>
    <w:lvl w:ilvl="6" w:tplc="03F6FA97">
      <w:start w:val="1"/>
      <w:numFmt w:val="bullet"/>
      <w:suff w:val="tab"/>
      <w:lvlText w:val="·"/>
      <w:lvlJc w:val="left"/>
      <w:pPr>
        <w:ind w:hanging="360" w:left="5040"/>
      </w:pPr>
      <w:rPr>
        <w:rFonts w:ascii="Symbol" w:hAnsi="Symbol"/>
      </w:rPr>
    </w:lvl>
    <w:lvl w:ilvl="7" w:tplc="30205C7F">
      <w:start w:val="1"/>
      <w:numFmt w:val="bullet"/>
      <w:suff w:val="tab"/>
      <w:lvlText w:val="o"/>
      <w:lvlJc w:val="left"/>
      <w:pPr>
        <w:ind w:hanging="360" w:left="5760"/>
      </w:pPr>
      <w:rPr>
        <w:rFonts w:ascii="Symbol" w:hAnsi="Symbol"/>
      </w:rPr>
    </w:lvl>
    <w:lvl w:ilvl="8" w:tplc="13FCDCC3">
      <w:start w:val="1"/>
      <w:numFmt w:val="bullet"/>
      <w:suff w:val="tab"/>
      <w:lvlText w:val="·"/>
      <w:lvlJc w:val="left"/>
      <w:pPr>
        <w:ind w:hanging="360" w:left="6480"/>
      </w:pPr>
      <w:rPr>
        <w:rFonts w:ascii="Symbol" w:hAnsi="Symbol"/>
      </w:rPr>
    </w:lvl>
  </w:abstractNum>
  <w:abstractNum w:abstractNumId="119">
    <w:nsid w:val="1ACA156D"/>
    <w:multiLevelType w:val="hybridMultilevel"/>
    <w:lvl w:ilvl="0" w:tplc="03EC2A80">
      <w:start w:val="1"/>
      <w:numFmt w:val="bullet"/>
      <w:suff w:val="tab"/>
      <w:lvlText w:val="·"/>
      <w:lvlJc w:val="left"/>
      <w:pPr>
        <w:ind w:hanging="360" w:left="720"/>
      </w:pPr>
      <w:rPr>
        <w:rFonts w:ascii="Symbol" w:hAnsi="Symbol" w:cs="Symbol" w:eastAsia="Symbol"/>
      </w:rPr>
    </w:lvl>
    <w:lvl w:ilvl="1" w:tplc="77051CE5">
      <w:start w:val="1"/>
      <w:numFmt w:val="bullet"/>
      <w:suff w:val="tab"/>
      <w:lvlText w:val="o"/>
      <w:lvlJc w:val="left"/>
      <w:pPr>
        <w:ind w:hanging="360" w:left="1440"/>
      </w:pPr>
      <w:rPr>
        <w:rFonts w:ascii="Symbol" w:hAnsi="Symbol"/>
      </w:rPr>
    </w:lvl>
    <w:lvl w:ilvl="2" w:tplc="7FD4F0AA">
      <w:start w:val="1"/>
      <w:numFmt w:val="bullet"/>
      <w:suff w:val="tab"/>
      <w:lvlText w:val="·"/>
      <w:lvlJc w:val="left"/>
      <w:pPr>
        <w:ind w:hanging="360" w:left="2160"/>
      </w:pPr>
      <w:rPr>
        <w:rFonts w:ascii="Symbol" w:hAnsi="Symbol"/>
      </w:rPr>
    </w:lvl>
    <w:lvl w:ilvl="3" w:tplc="0D49E2C2">
      <w:start w:val="1"/>
      <w:numFmt w:val="bullet"/>
      <w:suff w:val="tab"/>
      <w:lvlText w:val="o"/>
      <w:lvlJc w:val="left"/>
      <w:pPr>
        <w:ind w:hanging="360" w:left="2880"/>
      </w:pPr>
      <w:rPr>
        <w:rFonts w:ascii="Symbol" w:hAnsi="Symbol"/>
      </w:rPr>
    </w:lvl>
    <w:lvl w:ilvl="4" w:tplc="633EA858">
      <w:start w:val="1"/>
      <w:numFmt w:val="bullet"/>
      <w:suff w:val="tab"/>
      <w:lvlText w:val="·"/>
      <w:lvlJc w:val="left"/>
      <w:pPr>
        <w:ind w:hanging="360" w:left="3600"/>
      </w:pPr>
      <w:rPr>
        <w:rFonts w:ascii="Symbol" w:hAnsi="Symbol"/>
      </w:rPr>
    </w:lvl>
    <w:lvl w:ilvl="5" w:tplc="28D6F517">
      <w:start w:val="1"/>
      <w:numFmt w:val="bullet"/>
      <w:suff w:val="tab"/>
      <w:lvlText w:val="o"/>
      <w:lvlJc w:val="left"/>
      <w:pPr>
        <w:ind w:hanging="360" w:left="4320"/>
      </w:pPr>
      <w:rPr>
        <w:rFonts w:ascii="Symbol" w:hAnsi="Symbol"/>
      </w:rPr>
    </w:lvl>
    <w:lvl w:ilvl="6" w:tplc="46641986">
      <w:start w:val="1"/>
      <w:numFmt w:val="bullet"/>
      <w:suff w:val="tab"/>
      <w:lvlText w:val="·"/>
      <w:lvlJc w:val="left"/>
      <w:pPr>
        <w:ind w:hanging="360" w:left="5040"/>
      </w:pPr>
      <w:rPr>
        <w:rFonts w:ascii="Symbol" w:hAnsi="Symbol"/>
      </w:rPr>
    </w:lvl>
    <w:lvl w:ilvl="7" w:tplc="621B45B2">
      <w:start w:val="1"/>
      <w:numFmt w:val="bullet"/>
      <w:suff w:val="tab"/>
      <w:lvlText w:val="o"/>
      <w:lvlJc w:val="left"/>
      <w:pPr>
        <w:ind w:hanging="360" w:left="5760"/>
      </w:pPr>
      <w:rPr>
        <w:rFonts w:ascii="Symbol" w:hAnsi="Symbol"/>
      </w:rPr>
    </w:lvl>
    <w:lvl w:ilvl="8" w:tplc="6CBDD438">
      <w:start w:val="1"/>
      <w:numFmt w:val="bullet"/>
      <w:suff w:val="tab"/>
      <w:lvlText w:val="·"/>
      <w:lvlJc w:val="left"/>
      <w:pPr>
        <w:ind w:hanging="360" w:left="6480"/>
      </w:pPr>
      <w:rPr>
        <w:rFonts w:ascii="Symbol" w:hAnsi="Symbol"/>
      </w:rPr>
    </w:lvl>
  </w:abstractNum>
  <w:abstractNum w:abstractNumId="120">
    <w:nsid w:val="4FD29CD0"/>
    <w:multiLevelType w:val="hybridMultilevel"/>
    <w:lvl w:ilvl="0" w:tplc="5EADCBB6">
      <w:start w:val="1"/>
      <w:numFmt w:val="bullet"/>
      <w:suff w:val="tab"/>
      <w:lvlText w:val="·"/>
      <w:lvlJc w:val="left"/>
      <w:pPr>
        <w:ind w:hanging="360" w:left="720"/>
      </w:pPr>
      <w:rPr>
        <w:rFonts w:ascii="Symbol" w:hAnsi="Symbol" w:cs="Symbol" w:eastAsia="Symbol"/>
      </w:rPr>
    </w:lvl>
    <w:lvl w:ilvl="1" w:tplc="16786138">
      <w:start w:val="1"/>
      <w:numFmt w:val="bullet"/>
      <w:suff w:val="tab"/>
      <w:lvlText w:val="o"/>
      <w:lvlJc w:val="left"/>
      <w:pPr>
        <w:ind w:hanging="360" w:left="1440"/>
      </w:pPr>
      <w:rPr>
        <w:rFonts w:ascii="Symbol" w:hAnsi="Symbol"/>
      </w:rPr>
    </w:lvl>
    <w:lvl w:ilvl="2" w:tplc="063F985D">
      <w:start w:val="1"/>
      <w:numFmt w:val="bullet"/>
      <w:suff w:val="tab"/>
      <w:lvlText w:val="·"/>
      <w:lvlJc w:val="left"/>
      <w:pPr>
        <w:ind w:hanging="360" w:left="2160"/>
      </w:pPr>
      <w:rPr>
        <w:rFonts w:ascii="Symbol" w:hAnsi="Symbol"/>
      </w:rPr>
    </w:lvl>
    <w:lvl w:ilvl="3" w:tplc="249F9AB5">
      <w:start w:val="1"/>
      <w:numFmt w:val="bullet"/>
      <w:suff w:val="tab"/>
      <w:lvlText w:val="o"/>
      <w:lvlJc w:val="left"/>
      <w:pPr>
        <w:ind w:hanging="360" w:left="2880"/>
      </w:pPr>
      <w:rPr>
        <w:rFonts w:ascii="Symbol" w:hAnsi="Symbol"/>
      </w:rPr>
    </w:lvl>
    <w:lvl w:ilvl="4" w:tplc="7DECA84E">
      <w:start w:val="1"/>
      <w:numFmt w:val="bullet"/>
      <w:suff w:val="tab"/>
      <w:lvlText w:val="·"/>
      <w:lvlJc w:val="left"/>
      <w:pPr>
        <w:ind w:hanging="360" w:left="3600"/>
      </w:pPr>
      <w:rPr>
        <w:rFonts w:ascii="Symbol" w:hAnsi="Symbol"/>
      </w:rPr>
    </w:lvl>
    <w:lvl w:ilvl="5" w:tplc="58B659C6">
      <w:start w:val="1"/>
      <w:numFmt w:val="bullet"/>
      <w:suff w:val="tab"/>
      <w:lvlText w:val="o"/>
      <w:lvlJc w:val="left"/>
      <w:pPr>
        <w:ind w:hanging="360" w:left="4320"/>
      </w:pPr>
      <w:rPr>
        <w:rFonts w:ascii="Symbol" w:hAnsi="Symbol"/>
      </w:rPr>
    </w:lvl>
    <w:lvl w:ilvl="6" w:tplc="3354D084">
      <w:start w:val="1"/>
      <w:numFmt w:val="bullet"/>
      <w:suff w:val="tab"/>
      <w:lvlText w:val="·"/>
      <w:lvlJc w:val="left"/>
      <w:pPr>
        <w:ind w:hanging="360" w:left="5040"/>
      </w:pPr>
      <w:rPr>
        <w:rFonts w:ascii="Symbol" w:hAnsi="Symbol"/>
      </w:rPr>
    </w:lvl>
    <w:lvl w:ilvl="7" w:tplc="59D9DA1A">
      <w:start w:val="1"/>
      <w:numFmt w:val="bullet"/>
      <w:suff w:val="tab"/>
      <w:lvlText w:val="o"/>
      <w:lvlJc w:val="left"/>
      <w:pPr>
        <w:ind w:hanging="360" w:left="5760"/>
      </w:pPr>
      <w:rPr>
        <w:rFonts w:ascii="Symbol" w:hAnsi="Symbol"/>
      </w:rPr>
    </w:lvl>
    <w:lvl w:ilvl="8" w:tplc="7F0D51E9">
      <w:start w:val="1"/>
      <w:numFmt w:val="bullet"/>
      <w:suff w:val="tab"/>
      <w:lvlText w:val="·"/>
      <w:lvlJc w:val="left"/>
      <w:pPr>
        <w:ind w:hanging="360" w:left="6480"/>
      </w:pPr>
      <w:rPr>
        <w:rFonts w:ascii="Symbol" w:hAnsi="Symbol"/>
      </w:rPr>
    </w:lvl>
  </w:abstractNum>
  <w:abstractNum w:abstractNumId="121">
    <w:nsid w:val="13B0DB9B"/>
    <w:multiLevelType w:val="hybridMultilevel"/>
    <w:lvl w:ilvl="0" w:tplc="54092959">
      <w:start w:val="1"/>
      <w:numFmt w:val="bullet"/>
      <w:suff w:val="tab"/>
      <w:lvlText w:val="·"/>
      <w:lvlJc w:val="left"/>
      <w:pPr>
        <w:ind w:hanging="360" w:left="720"/>
      </w:pPr>
      <w:rPr>
        <w:rFonts w:ascii="Symbol" w:hAnsi="Symbol" w:cs="Symbol" w:eastAsia="Symbol"/>
      </w:rPr>
    </w:lvl>
    <w:lvl w:ilvl="1" w:tplc="7D463CE7">
      <w:start w:val="1"/>
      <w:numFmt w:val="bullet"/>
      <w:suff w:val="tab"/>
      <w:lvlText w:val="o"/>
      <w:lvlJc w:val="left"/>
      <w:pPr>
        <w:ind w:hanging="360" w:left="1440"/>
      </w:pPr>
      <w:rPr>
        <w:rFonts w:ascii="Symbol" w:hAnsi="Symbol"/>
      </w:rPr>
    </w:lvl>
    <w:lvl w:ilvl="2" w:tplc="2F65C498">
      <w:start w:val="1"/>
      <w:numFmt w:val="bullet"/>
      <w:suff w:val="tab"/>
      <w:lvlText w:val="·"/>
      <w:lvlJc w:val="left"/>
      <w:pPr>
        <w:ind w:hanging="360" w:left="2160"/>
      </w:pPr>
      <w:rPr>
        <w:rFonts w:ascii="Symbol" w:hAnsi="Symbol"/>
      </w:rPr>
    </w:lvl>
    <w:lvl w:ilvl="3" w:tplc="3044A793">
      <w:start w:val="1"/>
      <w:numFmt w:val="bullet"/>
      <w:suff w:val="tab"/>
      <w:lvlText w:val="o"/>
      <w:lvlJc w:val="left"/>
      <w:pPr>
        <w:ind w:hanging="360" w:left="2880"/>
      </w:pPr>
      <w:rPr>
        <w:rFonts w:ascii="Symbol" w:hAnsi="Symbol"/>
      </w:rPr>
    </w:lvl>
    <w:lvl w:ilvl="4" w:tplc="51EB7764">
      <w:start w:val="1"/>
      <w:numFmt w:val="bullet"/>
      <w:suff w:val="tab"/>
      <w:lvlText w:val="·"/>
      <w:lvlJc w:val="left"/>
      <w:pPr>
        <w:ind w:hanging="360" w:left="3600"/>
      </w:pPr>
      <w:rPr>
        <w:rFonts w:ascii="Symbol" w:hAnsi="Symbol"/>
      </w:rPr>
    </w:lvl>
    <w:lvl w:ilvl="5" w:tplc="5088C6C4">
      <w:start w:val="1"/>
      <w:numFmt w:val="bullet"/>
      <w:suff w:val="tab"/>
      <w:lvlText w:val="o"/>
      <w:lvlJc w:val="left"/>
      <w:pPr>
        <w:ind w:hanging="360" w:left="4320"/>
      </w:pPr>
      <w:rPr>
        <w:rFonts w:ascii="Symbol" w:hAnsi="Symbol"/>
      </w:rPr>
    </w:lvl>
    <w:lvl w:ilvl="6" w:tplc="3E7FFF96">
      <w:start w:val="1"/>
      <w:numFmt w:val="bullet"/>
      <w:suff w:val="tab"/>
      <w:lvlText w:val="·"/>
      <w:lvlJc w:val="left"/>
      <w:pPr>
        <w:ind w:hanging="360" w:left="5040"/>
      </w:pPr>
      <w:rPr>
        <w:rFonts w:ascii="Symbol" w:hAnsi="Symbol"/>
      </w:rPr>
    </w:lvl>
    <w:lvl w:ilvl="7" w:tplc="45801FD7">
      <w:start w:val="1"/>
      <w:numFmt w:val="bullet"/>
      <w:suff w:val="tab"/>
      <w:lvlText w:val="o"/>
      <w:lvlJc w:val="left"/>
      <w:pPr>
        <w:ind w:hanging="360" w:left="5760"/>
      </w:pPr>
      <w:rPr>
        <w:rFonts w:ascii="Symbol" w:hAnsi="Symbol"/>
      </w:rPr>
    </w:lvl>
    <w:lvl w:ilvl="8" w:tplc="6B200202">
      <w:start w:val="1"/>
      <w:numFmt w:val="bullet"/>
      <w:suff w:val="tab"/>
      <w:lvlText w:val="·"/>
      <w:lvlJc w:val="left"/>
      <w:pPr>
        <w:ind w:hanging="360" w:left="6480"/>
      </w:pPr>
      <w:rPr>
        <w:rFonts w:ascii="Symbol" w:hAnsi="Symbol"/>
      </w:rPr>
    </w:lvl>
  </w:abstractNum>
  <w:abstractNum w:abstractNumId="122">
    <w:nsid w:val="4D14C3BE"/>
    <w:multiLevelType w:val="hybridMultilevel"/>
    <w:lvl w:ilvl="0" w:tplc="5E476F11">
      <w:start w:val="1"/>
      <w:numFmt w:val="bullet"/>
      <w:suff w:val="tab"/>
      <w:lvlText w:val="·"/>
      <w:lvlJc w:val="left"/>
      <w:pPr>
        <w:ind w:hanging="360" w:left="720"/>
      </w:pPr>
      <w:rPr>
        <w:rFonts w:ascii="Symbol" w:hAnsi="Symbol" w:cs="Symbol" w:eastAsia="Symbol"/>
      </w:rPr>
    </w:lvl>
    <w:lvl w:ilvl="1" w:tplc="30CD4BD3">
      <w:start w:val="1"/>
      <w:numFmt w:val="bullet"/>
      <w:suff w:val="tab"/>
      <w:lvlText w:val="o"/>
      <w:lvlJc w:val="left"/>
      <w:pPr>
        <w:ind w:hanging="360" w:left="1440"/>
      </w:pPr>
      <w:rPr>
        <w:rFonts w:ascii="Symbol" w:hAnsi="Symbol"/>
      </w:rPr>
    </w:lvl>
    <w:lvl w:ilvl="2" w:tplc="69E13980">
      <w:start w:val="1"/>
      <w:numFmt w:val="bullet"/>
      <w:suff w:val="tab"/>
      <w:lvlText w:val="·"/>
      <w:lvlJc w:val="left"/>
      <w:pPr>
        <w:ind w:hanging="360" w:left="2160"/>
      </w:pPr>
      <w:rPr>
        <w:rFonts w:ascii="Symbol" w:hAnsi="Symbol"/>
      </w:rPr>
    </w:lvl>
    <w:lvl w:ilvl="3" w:tplc="36B39156">
      <w:start w:val="1"/>
      <w:numFmt w:val="bullet"/>
      <w:suff w:val="tab"/>
      <w:lvlText w:val="o"/>
      <w:lvlJc w:val="left"/>
      <w:pPr>
        <w:ind w:hanging="360" w:left="2880"/>
      </w:pPr>
      <w:rPr>
        <w:rFonts w:ascii="Symbol" w:hAnsi="Symbol"/>
      </w:rPr>
    </w:lvl>
    <w:lvl w:ilvl="4" w:tplc="7E00519E">
      <w:start w:val="1"/>
      <w:numFmt w:val="bullet"/>
      <w:suff w:val="tab"/>
      <w:lvlText w:val="·"/>
      <w:lvlJc w:val="left"/>
      <w:pPr>
        <w:ind w:hanging="360" w:left="3600"/>
      </w:pPr>
      <w:rPr>
        <w:rFonts w:ascii="Symbol" w:hAnsi="Symbol"/>
      </w:rPr>
    </w:lvl>
    <w:lvl w:ilvl="5" w:tplc="4E46511F">
      <w:start w:val="1"/>
      <w:numFmt w:val="bullet"/>
      <w:suff w:val="tab"/>
      <w:lvlText w:val="o"/>
      <w:lvlJc w:val="left"/>
      <w:pPr>
        <w:ind w:hanging="360" w:left="4320"/>
      </w:pPr>
      <w:rPr>
        <w:rFonts w:ascii="Symbol" w:hAnsi="Symbol"/>
      </w:rPr>
    </w:lvl>
    <w:lvl w:ilvl="6" w:tplc="6F70EB31">
      <w:start w:val="1"/>
      <w:numFmt w:val="bullet"/>
      <w:suff w:val="tab"/>
      <w:lvlText w:val="·"/>
      <w:lvlJc w:val="left"/>
      <w:pPr>
        <w:ind w:hanging="360" w:left="5040"/>
      </w:pPr>
      <w:rPr>
        <w:rFonts w:ascii="Symbol" w:hAnsi="Symbol"/>
      </w:rPr>
    </w:lvl>
    <w:lvl w:ilvl="7" w:tplc="46FFA064">
      <w:start w:val="1"/>
      <w:numFmt w:val="bullet"/>
      <w:suff w:val="tab"/>
      <w:lvlText w:val="o"/>
      <w:lvlJc w:val="left"/>
      <w:pPr>
        <w:ind w:hanging="360" w:left="5760"/>
      </w:pPr>
      <w:rPr>
        <w:rFonts w:ascii="Symbol" w:hAnsi="Symbol"/>
      </w:rPr>
    </w:lvl>
    <w:lvl w:ilvl="8" w:tplc="026C2984">
      <w:start w:val="1"/>
      <w:numFmt w:val="bullet"/>
      <w:suff w:val="tab"/>
      <w:lvlText w:val="·"/>
      <w:lvlJc w:val="left"/>
      <w:pPr>
        <w:ind w:hanging="360" w:left="6480"/>
      </w:pPr>
      <w:rPr>
        <w:rFonts w:ascii="Symbol" w:hAnsi="Symbol"/>
      </w:rPr>
    </w:lvl>
  </w:abstractNum>
  <w:abstractNum w:abstractNumId="123">
    <w:nsid w:val="555002F4"/>
    <w:multiLevelType w:val="hybridMultilevel"/>
    <w:lvl w:ilvl="0" w:tplc="1EB72677">
      <w:start w:val="1"/>
      <w:numFmt w:val="bullet"/>
      <w:suff w:val="tab"/>
      <w:lvlText w:val="·"/>
      <w:lvlJc w:val="left"/>
      <w:pPr>
        <w:ind w:hanging="360" w:left="720"/>
      </w:pPr>
      <w:rPr>
        <w:rFonts w:ascii="Symbol" w:hAnsi="Symbol" w:cs="Symbol" w:eastAsia="Symbol"/>
      </w:rPr>
    </w:lvl>
    <w:lvl w:ilvl="1" w:tplc="3C8A62E4">
      <w:start w:val="1"/>
      <w:numFmt w:val="bullet"/>
      <w:suff w:val="tab"/>
      <w:lvlText w:val="o"/>
      <w:lvlJc w:val="left"/>
      <w:pPr>
        <w:ind w:hanging="360" w:left="1440"/>
      </w:pPr>
      <w:rPr>
        <w:rFonts w:ascii="Symbol" w:hAnsi="Symbol"/>
      </w:rPr>
    </w:lvl>
    <w:lvl w:ilvl="2" w:tplc="54A33FD4">
      <w:start w:val="1"/>
      <w:numFmt w:val="bullet"/>
      <w:suff w:val="tab"/>
      <w:lvlText w:val="·"/>
      <w:lvlJc w:val="left"/>
      <w:pPr>
        <w:ind w:hanging="360" w:left="2160"/>
      </w:pPr>
      <w:rPr>
        <w:rFonts w:ascii="Symbol" w:hAnsi="Symbol"/>
      </w:rPr>
    </w:lvl>
    <w:lvl w:ilvl="3" w:tplc="278F62C3">
      <w:start w:val="1"/>
      <w:numFmt w:val="bullet"/>
      <w:suff w:val="tab"/>
      <w:lvlText w:val="o"/>
      <w:lvlJc w:val="left"/>
      <w:pPr>
        <w:ind w:hanging="360" w:left="2880"/>
      </w:pPr>
      <w:rPr>
        <w:rFonts w:ascii="Symbol" w:hAnsi="Symbol"/>
      </w:rPr>
    </w:lvl>
    <w:lvl w:ilvl="4" w:tplc="46913D96">
      <w:start w:val="1"/>
      <w:numFmt w:val="bullet"/>
      <w:suff w:val="tab"/>
      <w:lvlText w:val="·"/>
      <w:lvlJc w:val="left"/>
      <w:pPr>
        <w:ind w:hanging="360" w:left="3600"/>
      </w:pPr>
      <w:rPr>
        <w:rFonts w:ascii="Symbol" w:hAnsi="Symbol"/>
      </w:rPr>
    </w:lvl>
    <w:lvl w:ilvl="5" w:tplc="5E80A232">
      <w:start w:val="1"/>
      <w:numFmt w:val="bullet"/>
      <w:suff w:val="tab"/>
      <w:lvlText w:val="o"/>
      <w:lvlJc w:val="left"/>
      <w:pPr>
        <w:ind w:hanging="360" w:left="4320"/>
      </w:pPr>
      <w:rPr>
        <w:rFonts w:ascii="Symbol" w:hAnsi="Symbol"/>
      </w:rPr>
    </w:lvl>
    <w:lvl w:ilvl="6" w:tplc="36448B31">
      <w:start w:val="1"/>
      <w:numFmt w:val="bullet"/>
      <w:suff w:val="tab"/>
      <w:lvlText w:val="·"/>
      <w:lvlJc w:val="left"/>
      <w:pPr>
        <w:ind w:hanging="360" w:left="5040"/>
      </w:pPr>
      <w:rPr>
        <w:rFonts w:ascii="Symbol" w:hAnsi="Symbol"/>
      </w:rPr>
    </w:lvl>
    <w:lvl w:ilvl="7" w:tplc="567B799B">
      <w:start w:val="1"/>
      <w:numFmt w:val="bullet"/>
      <w:suff w:val="tab"/>
      <w:lvlText w:val="o"/>
      <w:lvlJc w:val="left"/>
      <w:pPr>
        <w:ind w:hanging="360" w:left="5760"/>
      </w:pPr>
      <w:rPr>
        <w:rFonts w:ascii="Symbol" w:hAnsi="Symbol"/>
      </w:rPr>
    </w:lvl>
    <w:lvl w:ilvl="8" w:tplc="61B50278">
      <w:start w:val="1"/>
      <w:numFmt w:val="bullet"/>
      <w:suff w:val="tab"/>
      <w:lvlText w:val="·"/>
      <w:lvlJc w:val="left"/>
      <w:pPr>
        <w:ind w:hanging="360" w:left="6480"/>
      </w:pPr>
      <w:rPr>
        <w:rFonts w:ascii="Symbol" w:hAnsi="Symbol"/>
      </w:rPr>
    </w:lvl>
  </w:abstractNum>
  <w:abstractNum w:abstractNumId="124">
    <w:nsid w:val="2DD6732C"/>
    <w:multiLevelType w:val="hybridMultilevel"/>
    <w:lvl w:ilvl="0" w:tplc="0748DF09">
      <w:start w:val="1"/>
      <w:numFmt w:val="bullet"/>
      <w:suff w:val="tab"/>
      <w:lvlText w:val="·"/>
      <w:lvlJc w:val="left"/>
      <w:pPr>
        <w:ind w:hanging="360" w:left="720"/>
      </w:pPr>
      <w:rPr>
        <w:rFonts w:ascii="Symbol" w:hAnsi="Symbol" w:cs="Symbol" w:eastAsia="Symbol"/>
      </w:rPr>
    </w:lvl>
    <w:lvl w:ilvl="1" w:tplc="57E2306B">
      <w:start w:val="1"/>
      <w:numFmt w:val="bullet"/>
      <w:suff w:val="tab"/>
      <w:lvlText w:val="o"/>
      <w:lvlJc w:val="left"/>
      <w:pPr>
        <w:ind w:hanging="360" w:left="1440"/>
      </w:pPr>
      <w:rPr>
        <w:rFonts w:ascii="Symbol" w:hAnsi="Symbol"/>
      </w:rPr>
    </w:lvl>
    <w:lvl w:ilvl="2" w:tplc="1243B337">
      <w:start w:val="1"/>
      <w:numFmt w:val="bullet"/>
      <w:suff w:val="tab"/>
      <w:lvlText w:val="·"/>
      <w:lvlJc w:val="left"/>
      <w:pPr>
        <w:ind w:hanging="360" w:left="2160"/>
      </w:pPr>
      <w:rPr>
        <w:rFonts w:ascii="Symbol" w:hAnsi="Symbol"/>
      </w:rPr>
    </w:lvl>
    <w:lvl w:ilvl="3" w:tplc="1DD6F476">
      <w:start w:val="1"/>
      <w:numFmt w:val="bullet"/>
      <w:suff w:val="tab"/>
      <w:lvlText w:val="o"/>
      <w:lvlJc w:val="left"/>
      <w:pPr>
        <w:ind w:hanging="360" w:left="2880"/>
      </w:pPr>
      <w:rPr>
        <w:rFonts w:ascii="Symbol" w:hAnsi="Symbol"/>
      </w:rPr>
    </w:lvl>
    <w:lvl w:ilvl="4" w:tplc="7ABF8D04">
      <w:start w:val="1"/>
      <w:numFmt w:val="bullet"/>
      <w:suff w:val="tab"/>
      <w:lvlText w:val="·"/>
      <w:lvlJc w:val="left"/>
      <w:pPr>
        <w:ind w:hanging="360" w:left="3600"/>
      </w:pPr>
      <w:rPr>
        <w:rFonts w:ascii="Symbol" w:hAnsi="Symbol"/>
      </w:rPr>
    </w:lvl>
    <w:lvl w:ilvl="5" w:tplc="50C6218A">
      <w:start w:val="1"/>
      <w:numFmt w:val="bullet"/>
      <w:suff w:val="tab"/>
      <w:lvlText w:val="o"/>
      <w:lvlJc w:val="left"/>
      <w:pPr>
        <w:ind w:hanging="360" w:left="4320"/>
      </w:pPr>
      <w:rPr>
        <w:rFonts w:ascii="Symbol" w:hAnsi="Symbol"/>
      </w:rPr>
    </w:lvl>
    <w:lvl w:ilvl="6" w:tplc="123E6800">
      <w:start w:val="1"/>
      <w:numFmt w:val="bullet"/>
      <w:suff w:val="tab"/>
      <w:lvlText w:val="·"/>
      <w:lvlJc w:val="left"/>
      <w:pPr>
        <w:ind w:hanging="360" w:left="5040"/>
      </w:pPr>
      <w:rPr>
        <w:rFonts w:ascii="Symbol" w:hAnsi="Symbol"/>
      </w:rPr>
    </w:lvl>
    <w:lvl w:ilvl="7" w:tplc="52F72BE1">
      <w:start w:val="1"/>
      <w:numFmt w:val="bullet"/>
      <w:suff w:val="tab"/>
      <w:lvlText w:val="o"/>
      <w:lvlJc w:val="left"/>
      <w:pPr>
        <w:ind w:hanging="360" w:left="5760"/>
      </w:pPr>
      <w:rPr>
        <w:rFonts w:ascii="Symbol" w:hAnsi="Symbol"/>
      </w:rPr>
    </w:lvl>
    <w:lvl w:ilvl="8" w:tplc="4E8E310F">
      <w:start w:val="1"/>
      <w:numFmt w:val="bullet"/>
      <w:suff w:val="tab"/>
      <w:lvlText w:val="·"/>
      <w:lvlJc w:val="left"/>
      <w:pPr>
        <w:ind w:hanging="360" w:left="6480"/>
      </w:pPr>
      <w:rPr>
        <w:rFonts w:ascii="Symbol" w:hAnsi="Symbol"/>
      </w:rPr>
    </w:lvl>
  </w:abstractNum>
  <w:abstractNum w:abstractNumId="125">
    <w:nsid w:val="16EE76FA"/>
    <w:multiLevelType w:val="hybridMultilevel"/>
    <w:lvl w:ilvl="0" w:tplc="72F94AB8">
      <w:start w:val="1"/>
      <w:numFmt w:val="bullet"/>
      <w:suff w:val="tab"/>
      <w:lvlText w:val="·"/>
      <w:lvlJc w:val="left"/>
      <w:pPr>
        <w:ind w:hanging="360" w:left="720"/>
      </w:pPr>
      <w:rPr>
        <w:rFonts w:ascii="Symbol" w:hAnsi="Symbol" w:cs="Symbol" w:eastAsia="Symbol"/>
      </w:rPr>
    </w:lvl>
    <w:lvl w:ilvl="1" w:tplc="6983C06F">
      <w:start w:val="1"/>
      <w:numFmt w:val="bullet"/>
      <w:suff w:val="tab"/>
      <w:lvlText w:val="o"/>
      <w:lvlJc w:val="left"/>
      <w:pPr>
        <w:ind w:hanging="360" w:left="1440"/>
      </w:pPr>
      <w:rPr>
        <w:rFonts w:ascii="Symbol" w:hAnsi="Symbol"/>
      </w:rPr>
    </w:lvl>
    <w:lvl w:ilvl="2" w:tplc="773C93CE">
      <w:start w:val="1"/>
      <w:numFmt w:val="bullet"/>
      <w:suff w:val="tab"/>
      <w:lvlText w:val="·"/>
      <w:lvlJc w:val="left"/>
      <w:pPr>
        <w:ind w:hanging="360" w:left="2160"/>
      </w:pPr>
      <w:rPr>
        <w:rFonts w:ascii="Symbol" w:hAnsi="Symbol"/>
      </w:rPr>
    </w:lvl>
    <w:lvl w:ilvl="3" w:tplc="35A98622">
      <w:start w:val="1"/>
      <w:numFmt w:val="bullet"/>
      <w:suff w:val="tab"/>
      <w:lvlText w:val="o"/>
      <w:lvlJc w:val="left"/>
      <w:pPr>
        <w:ind w:hanging="360" w:left="2880"/>
      </w:pPr>
      <w:rPr>
        <w:rFonts w:ascii="Symbol" w:hAnsi="Symbol"/>
      </w:rPr>
    </w:lvl>
    <w:lvl w:ilvl="4" w:tplc="563140F0">
      <w:start w:val="1"/>
      <w:numFmt w:val="bullet"/>
      <w:suff w:val="tab"/>
      <w:lvlText w:val="·"/>
      <w:lvlJc w:val="left"/>
      <w:pPr>
        <w:ind w:hanging="360" w:left="3600"/>
      </w:pPr>
      <w:rPr>
        <w:rFonts w:ascii="Symbol" w:hAnsi="Symbol"/>
      </w:rPr>
    </w:lvl>
    <w:lvl w:ilvl="5" w:tplc="63A7302C">
      <w:start w:val="1"/>
      <w:numFmt w:val="bullet"/>
      <w:suff w:val="tab"/>
      <w:lvlText w:val="o"/>
      <w:lvlJc w:val="left"/>
      <w:pPr>
        <w:ind w:hanging="360" w:left="4320"/>
      </w:pPr>
      <w:rPr>
        <w:rFonts w:ascii="Symbol" w:hAnsi="Symbol"/>
      </w:rPr>
    </w:lvl>
    <w:lvl w:ilvl="6" w:tplc="3E412FB1">
      <w:start w:val="1"/>
      <w:numFmt w:val="bullet"/>
      <w:suff w:val="tab"/>
      <w:lvlText w:val="·"/>
      <w:lvlJc w:val="left"/>
      <w:pPr>
        <w:ind w:hanging="360" w:left="5040"/>
      </w:pPr>
      <w:rPr>
        <w:rFonts w:ascii="Symbol" w:hAnsi="Symbol"/>
      </w:rPr>
    </w:lvl>
    <w:lvl w:ilvl="7" w:tplc="4950D727">
      <w:start w:val="1"/>
      <w:numFmt w:val="bullet"/>
      <w:suff w:val="tab"/>
      <w:lvlText w:val="o"/>
      <w:lvlJc w:val="left"/>
      <w:pPr>
        <w:ind w:hanging="360" w:left="5760"/>
      </w:pPr>
      <w:rPr>
        <w:rFonts w:ascii="Symbol" w:hAnsi="Symbol"/>
      </w:rPr>
    </w:lvl>
    <w:lvl w:ilvl="8" w:tplc="74B15E05">
      <w:start w:val="1"/>
      <w:numFmt w:val="bullet"/>
      <w:suff w:val="tab"/>
      <w:lvlText w:val="·"/>
      <w:lvlJc w:val="left"/>
      <w:pPr>
        <w:ind w:hanging="360" w:left="6480"/>
      </w:pPr>
      <w:rPr>
        <w:rFonts w:ascii="Symbol" w:hAnsi="Symbol"/>
      </w:rPr>
    </w:lvl>
  </w:abstractNum>
  <w:abstractNum w:abstractNumId="126">
    <w:nsid w:val="2DC98345"/>
    <w:multiLevelType w:val="hybridMultilevel"/>
    <w:lvl w:ilvl="0" w:tplc="07A23A70">
      <w:start w:val="1"/>
      <w:numFmt w:val="bullet"/>
      <w:suff w:val="tab"/>
      <w:lvlText w:val="·"/>
      <w:lvlJc w:val="left"/>
      <w:pPr>
        <w:ind w:hanging="360" w:left="720"/>
      </w:pPr>
      <w:rPr>
        <w:rFonts w:ascii="Symbol" w:hAnsi="Symbol" w:cs="Symbol" w:eastAsia="Symbol"/>
      </w:rPr>
    </w:lvl>
    <w:lvl w:ilvl="1" w:tplc="4DA3055B">
      <w:start w:val="1"/>
      <w:numFmt w:val="bullet"/>
      <w:suff w:val="tab"/>
      <w:lvlText w:val="o"/>
      <w:lvlJc w:val="left"/>
      <w:pPr>
        <w:ind w:hanging="360" w:left="1440"/>
      </w:pPr>
      <w:rPr>
        <w:rFonts w:ascii="Symbol" w:hAnsi="Symbol"/>
      </w:rPr>
    </w:lvl>
    <w:lvl w:ilvl="2" w:tplc="3E5D53F0">
      <w:start w:val="1"/>
      <w:numFmt w:val="bullet"/>
      <w:suff w:val="tab"/>
      <w:lvlText w:val="·"/>
      <w:lvlJc w:val="left"/>
      <w:pPr>
        <w:ind w:hanging="360" w:left="2160"/>
      </w:pPr>
      <w:rPr>
        <w:rFonts w:ascii="Symbol" w:hAnsi="Symbol"/>
      </w:rPr>
    </w:lvl>
    <w:lvl w:ilvl="3" w:tplc="39A5D11A">
      <w:start w:val="1"/>
      <w:numFmt w:val="bullet"/>
      <w:suff w:val="tab"/>
      <w:lvlText w:val="o"/>
      <w:lvlJc w:val="left"/>
      <w:pPr>
        <w:ind w:hanging="360" w:left="2880"/>
      </w:pPr>
      <w:rPr>
        <w:rFonts w:ascii="Symbol" w:hAnsi="Symbol"/>
      </w:rPr>
    </w:lvl>
    <w:lvl w:ilvl="4" w:tplc="0ED6D044">
      <w:start w:val="1"/>
      <w:numFmt w:val="bullet"/>
      <w:suff w:val="tab"/>
      <w:lvlText w:val="·"/>
      <w:lvlJc w:val="left"/>
      <w:pPr>
        <w:ind w:hanging="360" w:left="3600"/>
      </w:pPr>
      <w:rPr>
        <w:rFonts w:ascii="Symbol" w:hAnsi="Symbol"/>
      </w:rPr>
    </w:lvl>
    <w:lvl w:ilvl="5" w:tplc="61F4E622">
      <w:start w:val="1"/>
      <w:numFmt w:val="bullet"/>
      <w:suff w:val="tab"/>
      <w:lvlText w:val="o"/>
      <w:lvlJc w:val="left"/>
      <w:pPr>
        <w:ind w:hanging="360" w:left="4320"/>
      </w:pPr>
      <w:rPr>
        <w:rFonts w:ascii="Symbol" w:hAnsi="Symbol"/>
      </w:rPr>
    </w:lvl>
    <w:lvl w:ilvl="6" w:tplc="1819B30E">
      <w:start w:val="1"/>
      <w:numFmt w:val="bullet"/>
      <w:suff w:val="tab"/>
      <w:lvlText w:val="·"/>
      <w:lvlJc w:val="left"/>
      <w:pPr>
        <w:ind w:hanging="360" w:left="5040"/>
      </w:pPr>
      <w:rPr>
        <w:rFonts w:ascii="Symbol" w:hAnsi="Symbol"/>
      </w:rPr>
    </w:lvl>
    <w:lvl w:ilvl="7" w:tplc="7D3A9B4B">
      <w:start w:val="1"/>
      <w:numFmt w:val="bullet"/>
      <w:suff w:val="tab"/>
      <w:lvlText w:val="o"/>
      <w:lvlJc w:val="left"/>
      <w:pPr>
        <w:ind w:hanging="360" w:left="5760"/>
      </w:pPr>
      <w:rPr>
        <w:rFonts w:ascii="Symbol" w:hAnsi="Symbol"/>
      </w:rPr>
    </w:lvl>
    <w:lvl w:ilvl="8" w:tplc="1782603F">
      <w:start w:val="1"/>
      <w:numFmt w:val="bullet"/>
      <w:suff w:val="tab"/>
      <w:lvlText w:val="·"/>
      <w:lvlJc w:val="left"/>
      <w:pPr>
        <w:ind w:hanging="360" w:left="6480"/>
      </w:pPr>
      <w:rPr>
        <w:rFonts w:ascii="Symbol" w:hAnsi="Symbol"/>
      </w:rPr>
    </w:lvl>
  </w:abstractNum>
  <w:abstractNum w:abstractNumId="127">
    <w:nsid w:val="6D2795E8"/>
    <w:multiLevelType w:val="hybridMultilevel"/>
    <w:lvl w:ilvl="0" w:tplc="3AC33AE5">
      <w:start w:val="1"/>
      <w:numFmt w:val="bullet"/>
      <w:suff w:val="tab"/>
      <w:lvlText w:val="·"/>
      <w:lvlJc w:val="left"/>
      <w:pPr>
        <w:ind w:hanging="360" w:left="720"/>
      </w:pPr>
      <w:rPr>
        <w:rFonts w:ascii="Symbol" w:hAnsi="Symbol" w:cs="Symbol" w:eastAsia="Symbol"/>
      </w:rPr>
    </w:lvl>
    <w:lvl w:ilvl="1" w:tplc="20EF5A4D">
      <w:start w:val="1"/>
      <w:numFmt w:val="bullet"/>
      <w:suff w:val="tab"/>
      <w:lvlText w:val="o"/>
      <w:lvlJc w:val="left"/>
      <w:pPr>
        <w:ind w:hanging="360" w:left="1440"/>
      </w:pPr>
      <w:rPr>
        <w:rFonts w:ascii="Symbol" w:hAnsi="Symbol"/>
      </w:rPr>
    </w:lvl>
    <w:lvl w:ilvl="2" w:tplc="1615C877">
      <w:start w:val="1"/>
      <w:numFmt w:val="bullet"/>
      <w:suff w:val="tab"/>
      <w:lvlText w:val="·"/>
      <w:lvlJc w:val="left"/>
      <w:pPr>
        <w:ind w:hanging="360" w:left="2160"/>
      </w:pPr>
      <w:rPr>
        <w:rFonts w:ascii="Symbol" w:hAnsi="Symbol"/>
      </w:rPr>
    </w:lvl>
    <w:lvl w:ilvl="3" w:tplc="51C1017A">
      <w:start w:val="1"/>
      <w:numFmt w:val="bullet"/>
      <w:suff w:val="tab"/>
      <w:lvlText w:val="o"/>
      <w:lvlJc w:val="left"/>
      <w:pPr>
        <w:ind w:hanging="360" w:left="2880"/>
      </w:pPr>
      <w:rPr>
        <w:rFonts w:ascii="Symbol" w:hAnsi="Symbol"/>
      </w:rPr>
    </w:lvl>
    <w:lvl w:ilvl="4" w:tplc="27A600E6">
      <w:start w:val="1"/>
      <w:numFmt w:val="bullet"/>
      <w:suff w:val="tab"/>
      <w:lvlText w:val="·"/>
      <w:lvlJc w:val="left"/>
      <w:pPr>
        <w:ind w:hanging="360" w:left="3600"/>
      </w:pPr>
      <w:rPr>
        <w:rFonts w:ascii="Symbol" w:hAnsi="Symbol"/>
      </w:rPr>
    </w:lvl>
    <w:lvl w:ilvl="5" w:tplc="4C464F29">
      <w:start w:val="1"/>
      <w:numFmt w:val="bullet"/>
      <w:suff w:val="tab"/>
      <w:lvlText w:val="o"/>
      <w:lvlJc w:val="left"/>
      <w:pPr>
        <w:ind w:hanging="360" w:left="4320"/>
      </w:pPr>
      <w:rPr>
        <w:rFonts w:ascii="Symbol" w:hAnsi="Symbol"/>
      </w:rPr>
    </w:lvl>
    <w:lvl w:ilvl="6" w:tplc="15E0933D">
      <w:start w:val="1"/>
      <w:numFmt w:val="bullet"/>
      <w:suff w:val="tab"/>
      <w:lvlText w:val="·"/>
      <w:lvlJc w:val="left"/>
      <w:pPr>
        <w:ind w:hanging="360" w:left="5040"/>
      </w:pPr>
      <w:rPr>
        <w:rFonts w:ascii="Symbol" w:hAnsi="Symbol"/>
      </w:rPr>
    </w:lvl>
    <w:lvl w:ilvl="7" w:tplc="76FE10D2">
      <w:start w:val="1"/>
      <w:numFmt w:val="bullet"/>
      <w:suff w:val="tab"/>
      <w:lvlText w:val="o"/>
      <w:lvlJc w:val="left"/>
      <w:pPr>
        <w:ind w:hanging="360" w:left="5760"/>
      </w:pPr>
      <w:rPr>
        <w:rFonts w:ascii="Symbol" w:hAnsi="Symbol"/>
      </w:rPr>
    </w:lvl>
    <w:lvl w:ilvl="8" w:tplc="5C2C568C">
      <w:start w:val="1"/>
      <w:numFmt w:val="bullet"/>
      <w:suff w:val="tab"/>
      <w:lvlText w:val="·"/>
      <w:lvlJc w:val="left"/>
      <w:pPr>
        <w:ind w:hanging="360" w:left="6480"/>
      </w:pPr>
      <w:rPr>
        <w:rFonts w:ascii="Symbol" w:hAnsi="Symbol"/>
      </w:rPr>
    </w:lvl>
  </w:abstractNum>
  <w:abstractNum w:abstractNumId="128">
    <w:nsid w:val="5A409B74"/>
    <w:multiLevelType w:val="hybridMultilevel"/>
    <w:lvl w:ilvl="0" w:tplc="39728AB9">
      <w:start w:val="1"/>
      <w:numFmt w:val="bullet"/>
      <w:suff w:val="tab"/>
      <w:lvlText w:val="·"/>
      <w:lvlJc w:val="left"/>
      <w:pPr>
        <w:ind w:hanging="360" w:left="720"/>
      </w:pPr>
      <w:rPr>
        <w:rFonts w:ascii="Symbol" w:hAnsi="Symbol" w:cs="Symbol" w:eastAsia="Symbol"/>
      </w:rPr>
    </w:lvl>
    <w:lvl w:ilvl="1" w:tplc="1765A10B">
      <w:start w:val="1"/>
      <w:numFmt w:val="bullet"/>
      <w:suff w:val="tab"/>
      <w:lvlText w:val="o"/>
      <w:lvlJc w:val="left"/>
      <w:pPr>
        <w:ind w:hanging="360" w:left="1440"/>
      </w:pPr>
      <w:rPr>
        <w:rFonts w:ascii="Symbol" w:hAnsi="Symbol"/>
      </w:rPr>
    </w:lvl>
    <w:lvl w:ilvl="2" w:tplc="3828FC49">
      <w:start w:val="1"/>
      <w:numFmt w:val="bullet"/>
      <w:suff w:val="tab"/>
      <w:lvlText w:val="·"/>
      <w:lvlJc w:val="left"/>
      <w:pPr>
        <w:ind w:hanging="360" w:left="2160"/>
      </w:pPr>
      <w:rPr>
        <w:rFonts w:ascii="Symbol" w:hAnsi="Symbol"/>
      </w:rPr>
    </w:lvl>
    <w:lvl w:ilvl="3" w:tplc="6C99D148">
      <w:start w:val="1"/>
      <w:numFmt w:val="bullet"/>
      <w:suff w:val="tab"/>
      <w:lvlText w:val="o"/>
      <w:lvlJc w:val="left"/>
      <w:pPr>
        <w:ind w:hanging="360" w:left="2880"/>
      </w:pPr>
      <w:rPr>
        <w:rFonts w:ascii="Symbol" w:hAnsi="Symbol"/>
      </w:rPr>
    </w:lvl>
    <w:lvl w:ilvl="4" w:tplc="1C62807D">
      <w:start w:val="1"/>
      <w:numFmt w:val="bullet"/>
      <w:suff w:val="tab"/>
      <w:lvlText w:val="·"/>
      <w:lvlJc w:val="left"/>
      <w:pPr>
        <w:ind w:hanging="360" w:left="3600"/>
      </w:pPr>
      <w:rPr>
        <w:rFonts w:ascii="Symbol" w:hAnsi="Symbol"/>
      </w:rPr>
    </w:lvl>
    <w:lvl w:ilvl="5" w:tplc="0D3D360B">
      <w:start w:val="1"/>
      <w:numFmt w:val="bullet"/>
      <w:suff w:val="tab"/>
      <w:lvlText w:val="o"/>
      <w:lvlJc w:val="left"/>
      <w:pPr>
        <w:ind w:hanging="360" w:left="4320"/>
      </w:pPr>
      <w:rPr>
        <w:rFonts w:ascii="Symbol" w:hAnsi="Symbol"/>
      </w:rPr>
    </w:lvl>
    <w:lvl w:ilvl="6" w:tplc="31D4D911">
      <w:start w:val="1"/>
      <w:numFmt w:val="bullet"/>
      <w:suff w:val="tab"/>
      <w:lvlText w:val="·"/>
      <w:lvlJc w:val="left"/>
      <w:pPr>
        <w:ind w:hanging="360" w:left="5040"/>
      </w:pPr>
      <w:rPr>
        <w:rFonts w:ascii="Symbol" w:hAnsi="Symbol"/>
      </w:rPr>
    </w:lvl>
    <w:lvl w:ilvl="7" w:tplc="0F7518EE">
      <w:start w:val="1"/>
      <w:numFmt w:val="bullet"/>
      <w:suff w:val="tab"/>
      <w:lvlText w:val="o"/>
      <w:lvlJc w:val="left"/>
      <w:pPr>
        <w:ind w:hanging="360" w:left="5760"/>
      </w:pPr>
      <w:rPr>
        <w:rFonts w:ascii="Symbol" w:hAnsi="Symbol"/>
      </w:rPr>
    </w:lvl>
    <w:lvl w:ilvl="8" w:tplc="551DB8E0">
      <w:start w:val="1"/>
      <w:numFmt w:val="bullet"/>
      <w:suff w:val="tab"/>
      <w:lvlText w:val="·"/>
      <w:lvlJc w:val="left"/>
      <w:pPr>
        <w:ind w:hanging="360" w:left="6480"/>
      </w:pPr>
      <w:rPr>
        <w:rFonts w:ascii="Symbol" w:hAnsi="Symbol"/>
      </w:rPr>
    </w:lvl>
  </w:abstractNum>
  <w:abstractNum w:abstractNumId="129">
    <w:nsid w:val="41994D97"/>
    <w:multiLevelType w:val="hybridMultilevel"/>
    <w:lvl w:ilvl="0" w:tplc="25818DF9">
      <w:start w:val="1"/>
      <w:numFmt w:val="bullet"/>
      <w:suff w:val="tab"/>
      <w:lvlText w:val="·"/>
      <w:lvlJc w:val="left"/>
      <w:pPr>
        <w:ind w:hanging="360" w:left="720"/>
      </w:pPr>
      <w:rPr>
        <w:rFonts w:ascii="Symbol" w:hAnsi="Symbol" w:cs="Symbol" w:eastAsia="Symbol"/>
      </w:rPr>
    </w:lvl>
    <w:lvl w:ilvl="1" w:tplc="7AFC2A44">
      <w:start w:val="1"/>
      <w:numFmt w:val="bullet"/>
      <w:suff w:val="tab"/>
      <w:lvlText w:val="o"/>
      <w:lvlJc w:val="left"/>
      <w:pPr>
        <w:ind w:hanging="360" w:left="1440"/>
      </w:pPr>
      <w:rPr>
        <w:rFonts w:ascii="Symbol" w:hAnsi="Symbol"/>
      </w:rPr>
    </w:lvl>
    <w:lvl w:ilvl="2" w:tplc="4679752B">
      <w:start w:val="1"/>
      <w:numFmt w:val="bullet"/>
      <w:suff w:val="tab"/>
      <w:lvlText w:val="·"/>
      <w:lvlJc w:val="left"/>
      <w:pPr>
        <w:ind w:hanging="360" w:left="2160"/>
      </w:pPr>
      <w:rPr>
        <w:rFonts w:ascii="Symbol" w:hAnsi="Symbol"/>
      </w:rPr>
    </w:lvl>
    <w:lvl w:ilvl="3" w:tplc="598FAFDD">
      <w:start w:val="1"/>
      <w:numFmt w:val="bullet"/>
      <w:suff w:val="tab"/>
      <w:lvlText w:val="o"/>
      <w:lvlJc w:val="left"/>
      <w:pPr>
        <w:ind w:hanging="360" w:left="2880"/>
      </w:pPr>
      <w:rPr>
        <w:rFonts w:ascii="Symbol" w:hAnsi="Symbol"/>
      </w:rPr>
    </w:lvl>
    <w:lvl w:ilvl="4" w:tplc="49CF32B0">
      <w:start w:val="1"/>
      <w:numFmt w:val="bullet"/>
      <w:suff w:val="tab"/>
      <w:lvlText w:val="·"/>
      <w:lvlJc w:val="left"/>
      <w:pPr>
        <w:ind w:hanging="360" w:left="3600"/>
      </w:pPr>
      <w:rPr>
        <w:rFonts w:ascii="Symbol" w:hAnsi="Symbol"/>
      </w:rPr>
    </w:lvl>
    <w:lvl w:ilvl="5" w:tplc="45CC68D5">
      <w:start w:val="1"/>
      <w:numFmt w:val="bullet"/>
      <w:suff w:val="tab"/>
      <w:lvlText w:val="o"/>
      <w:lvlJc w:val="left"/>
      <w:pPr>
        <w:ind w:hanging="360" w:left="4320"/>
      </w:pPr>
      <w:rPr>
        <w:rFonts w:ascii="Symbol" w:hAnsi="Symbol"/>
      </w:rPr>
    </w:lvl>
    <w:lvl w:ilvl="6" w:tplc="4978BCE5">
      <w:start w:val="1"/>
      <w:numFmt w:val="bullet"/>
      <w:suff w:val="tab"/>
      <w:lvlText w:val="·"/>
      <w:lvlJc w:val="left"/>
      <w:pPr>
        <w:ind w:hanging="360" w:left="5040"/>
      </w:pPr>
      <w:rPr>
        <w:rFonts w:ascii="Symbol" w:hAnsi="Symbol"/>
      </w:rPr>
    </w:lvl>
    <w:lvl w:ilvl="7" w:tplc="7AF2ADA7">
      <w:start w:val="1"/>
      <w:numFmt w:val="bullet"/>
      <w:suff w:val="tab"/>
      <w:lvlText w:val="o"/>
      <w:lvlJc w:val="left"/>
      <w:pPr>
        <w:ind w:hanging="360" w:left="5760"/>
      </w:pPr>
      <w:rPr>
        <w:rFonts w:ascii="Symbol" w:hAnsi="Symbol"/>
      </w:rPr>
    </w:lvl>
    <w:lvl w:ilvl="8" w:tplc="28274913">
      <w:start w:val="1"/>
      <w:numFmt w:val="bullet"/>
      <w:suff w:val="tab"/>
      <w:lvlText w:val="·"/>
      <w:lvlJc w:val="left"/>
      <w:pPr>
        <w:ind w:hanging="360" w:left="6480"/>
      </w:pPr>
      <w:rPr>
        <w:rFonts w:ascii="Symbol" w:hAnsi="Symbol"/>
      </w:rPr>
    </w:lvl>
  </w:abstractNum>
  <w:abstractNum w:abstractNumId="130">
    <w:nsid w:val="61A50461"/>
    <w:multiLevelType w:val="hybridMultilevel"/>
    <w:lvl w:ilvl="0" w:tplc="172F1EDC">
      <w:start w:val="1"/>
      <w:numFmt w:val="bullet"/>
      <w:suff w:val="tab"/>
      <w:lvlText w:val="·"/>
      <w:lvlJc w:val="left"/>
      <w:pPr>
        <w:ind w:hanging="360" w:left="720"/>
      </w:pPr>
      <w:rPr>
        <w:rFonts w:ascii="Symbol" w:hAnsi="Symbol" w:cs="Symbol" w:eastAsia="Symbol"/>
      </w:rPr>
    </w:lvl>
    <w:lvl w:ilvl="1" w:tplc="2F837D43">
      <w:start w:val="1"/>
      <w:numFmt w:val="bullet"/>
      <w:suff w:val="tab"/>
      <w:lvlText w:val="o"/>
      <w:lvlJc w:val="left"/>
      <w:pPr>
        <w:ind w:hanging="360" w:left="1440"/>
      </w:pPr>
      <w:rPr>
        <w:rFonts w:ascii="Symbol" w:hAnsi="Symbol"/>
      </w:rPr>
    </w:lvl>
    <w:lvl w:ilvl="2" w:tplc="4819B434">
      <w:start w:val="1"/>
      <w:numFmt w:val="bullet"/>
      <w:suff w:val="tab"/>
      <w:lvlText w:val="·"/>
      <w:lvlJc w:val="left"/>
      <w:pPr>
        <w:ind w:hanging="360" w:left="2160"/>
      </w:pPr>
      <w:rPr>
        <w:rFonts w:ascii="Symbol" w:hAnsi="Symbol"/>
      </w:rPr>
    </w:lvl>
    <w:lvl w:ilvl="3" w:tplc="4456EEFD">
      <w:start w:val="1"/>
      <w:numFmt w:val="bullet"/>
      <w:suff w:val="tab"/>
      <w:lvlText w:val="o"/>
      <w:lvlJc w:val="left"/>
      <w:pPr>
        <w:ind w:hanging="360" w:left="2880"/>
      </w:pPr>
      <w:rPr>
        <w:rFonts w:ascii="Symbol" w:hAnsi="Symbol"/>
      </w:rPr>
    </w:lvl>
    <w:lvl w:ilvl="4" w:tplc="5AB61A3A">
      <w:start w:val="1"/>
      <w:numFmt w:val="bullet"/>
      <w:suff w:val="tab"/>
      <w:lvlText w:val="·"/>
      <w:lvlJc w:val="left"/>
      <w:pPr>
        <w:ind w:hanging="360" w:left="3600"/>
      </w:pPr>
      <w:rPr>
        <w:rFonts w:ascii="Symbol" w:hAnsi="Symbol"/>
      </w:rPr>
    </w:lvl>
    <w:lvl w:ilvl="5" w:tplc="435B6F75">
      <w:start w:val="1"/>
      <w:numFmt w:val="bullet"/>
      <w:suff w:val="tab"/>
      <w:lvlText w:val="o"/>
      <w:lvlJc w:val="left"/>
      <w:pPr>
        <w:ind w:hanging="360" w:left="4320"/>
      </w:pPr>
      <w:rPr>
        <w:rFonts w:ascii="Symbol" w:hAnsi="Symbol"/>
      </w:rPr>
    </w:lvl>
    <w:lvl w:ilvl="6" w:tplc="2B88757E">
      <w:start w:val="1"/>
      <w:numFmt w:val="bullet"/>
      <w:suff w:val="tab"/>
      <w:lvlText w:val="·"/>
      <w:lvlJc w:val="left"/>
      <w:pPr>
        <w:ind w:hanging="360" w:left="5040"/>
      </w:pPr>
      <w:rPr>
        <w:rFonts w:ascii="Symbol" w:hAnsi="Symbol"/>
      </w:rPr>
    </w:lvl>
    <w:lvl w:ilvl="7" w:tplc="4A0901EC">
      <w:start w:val="1"/>
      <w:numFmt w:val="bullet"/>
      <w:suff w:val="tab"/>
      <w:lvlText w:val="o"/>
      <w:lvlJc w:val="left"/>
      <w:pPr>
        <w:ind w:hanging="360" w:left="5760"/>
      </w:pPr>
      <w:rPr>
        <w:rFonts w:ascii="Symbol" w:hAnsi="Symbol"/>
      </w:rPr>
    </w:lvl>
    <w:lvl w:ilvl="8" w:tplc="39B5DED1">
      <w:start w:val="1"/>
      <w:numFmt w:val="bullet"/>
      <w:suff w:val="tab"/>
      <w:lvlText w:val="·"/>
      <w:lvlJc w:val="left"/>
      <w:pPr>
        <w:ind w:hanging="360" w:left="6480"/>
      </w:pPr>
      <w:rPr>
        <w:rFonts w:ascii="Symbol" w:hAnsi="Symbol"/>
      </w:rPr>
    </w:lvl>
  </w:abstractNum>
  <w:abstractNum w:abstractNumId="131">
    <w:nsid w:val="24738C30"/>
    <w:multiLevelType w:val="hybridMultilevel"/>
    <w:lvl w:ilvl="0" w:tplc="544B5C73">
      <w:start w:val="1"/>
      <w:numFmt w:val="bullet"/>
      <w:suff w:val="tab"/>
      <w:lvlText w:val="·"/>
      <w:lvlJc w:val="left"/>
      <w:pPr>
        <w:ind w:hanging="360" w:left="720"/>
      </w:pPr>
      <w:rPr>
        <w:rFonts w:ascii="Symbol" w:hAnsi="Symbol" w:cs="Symbol" w:eastAsia="Symbol"/>
      </w:rPr>
    </w:lvl>
    <w:lvl w:ilvl="1" w:tplc="239BCD56">
      <w:start w:val="1"/>
      <w:numFmt w:val="bullet"/>
      <w:suff w:val="tab"/>
      <w:lvlText w:val="o"/>
      <w:lvlJc w:val="left"/>
      <w:pPr>
        <w:ind w:hanging="360" w:left="1440"/>
      </w:pPr>
      <w:rPr>
        <w:rFonts w:ascii="Symbol" w:hAnsi="Symbol"/>
      </w:rPr>
    </w:lvl>
    <w:lvl w:ilvl="2" w:tplc="5CB68012">
      <w:start w:val="1"/>
      <w:numFmt w:val="bullet"/>
      <w:suff w:val="tab"/>
      <w:lvlText w:val="·"/>
      <w:lvlJc w:val="left"/>
      <w:pPr>
        <w:ind w:hanging="360" w:left="2160"/>
      </w:pPr>
      <w:rPr>
        <w:rFonts w:ascii="Symbol" w:hAnsi="Symbol"/>
      </w:rPr>
    </w:lvl>
    <w:lvl w:ilvl="3" w:tplc="120D797B">
      <w:start w:val="1"/>
      <w:numFmt w:val="bullet"/>
      <w:suff w:val="tab"/>
      <w:lvlText w:val="o"/>
      <w:lvlJc w:val="left"/>
      <w:pPr>
        <w:ind w:hanging="360" w:left="2880"/>
      </w:pPr>
      <w:rPr>
        <w:rFonts w:ascii="Symbol" w:hAnsi="Symbol"/>
      </w:rPr>
    </w:lvl>
    <w:lvl w:ilvl="4" w:tplc="6486E7F3">
      <w:start w:val="1"/>
      <w:numFmt w:val="bullet"/>
      <w:suff w:val="tab"/>
      <w:lvlText w:val="·"/>
      <w:lvlJc w:val="left"/>
      <w:pPr>
        <w:ind w:hanging="360" w:left="3600"/>
      </w:pPr>
      <w:rPr>
        <w:rFonts w:ascii="Symbol" w:hAnsi="Symbol"/>
      </w:rPr>
    </w:lvl>
    <w:lvl w:ilvl="5" w:tplc="61584694">
      <w:start w:val="1"/>
      <w:numFmt w:val="bullet"/>
      <w:suff w:val="tab"/>
      <w:lvlText w:val="o"/>
      <w:lvlJc w:val="left"/>
      <w:pPr>
        <w:ind w:hanging="360" w:left="4320"/>
      </w:pPr>
      <w:rPr>
        <w:rFonts w:ascii="Symbol" w:hAnsi="Symbol"/>
      </w:rPr>
    </w:lvl>
    <w:lvl w:ilvl="6" w:tplc="369D5FCB">
      <w:start w:val="1"/>
      <w:numFmt w:val="bullet"/>
      <w:suff w:val="tab"/>
      <w:lvlText w:val="·"/>
      <w:lvlJc w:val="left"/>
      <w:pPr>
        <w:ind w:hanging="360" w:left="5040"/>
      </w:pPr>
      <w:rPr>
        <w:rFonts w:ascii="Symbol" w:hAnsi="Symbol"/>
      </w:rPr>
    </w:lvl>
    <w:lvl w:ilvl="7" w:tplc="30D82111">
      <w:start w:val="1"/>
      <w:numFmt w:val="bullet"/>
      <w:suff w:val="tab"/>
      <w:lvlText w:val="o"/>
      <w:lvlJc w:val="left"/>
      <w:pPr>
        <w:ind w:hanging="360" w:left="5760"/>
      </w:pPr>
      <w:rPr>
        <w:rFonts w:ascii="Symbol" w:hAnsi="Symbol"/>
      </w:rPr>
    </w:lvl>
    <w:lvl w:ilvl="8" w:tplc="1A1DCB4A">
      <w:start w:val="1"/>
      <w:numFmt w:val="bullet"/>
      <w:suff w:val="tab"/>
      <w:lvlText w:val="·"/>
      <w:lvlJc w:val="left"/>
      <w:pPr>
        <w:ind w:hanging="360" w:left="6480"/>
      </w:pPr>
      <w:rPr>
        <w:rFonts w:ascii="Symbol" w:hAnsi="Symbol"/>
      </w:rPr>
    </w:lvl>
  </w:abstractNum>
  <w:abstractNum w:abstractNumId="132">
    <w:nsid w:val="260B85F0"/>
    <w:multiLevelType w:val="hybridMultilevel"/>
    <w:lvl w:ilvl="0" w:tplc="538B3377">
      <w:start w:val="1"/>
      <w:numFmt w:val="bullet"/>
      <w:suff w:val="tab"/>
      <w:lvlText w:val="·"/>
      <w:lvlJc w:val="left"/>
      <w:pPr>
        <w:ind w:hanging="360" w:left="720"/>
      </w:pPr>
      <w:rPr>
        <w:rFonts w:ascii="Symbol" w:hAnsi="Symbol" w:cs="Symbol" w:eastAsia="Symbol"/>
      </w:rPr>
    </w:lvl>
    <w:lvl w:ilvl="1" w:tplc="7A8DE09C">
      <w:start w:val="1"/>
      <w:numFmt w:val="bullet"/>
      <w:suff w:val="tab"/>
      <w:lvlText w:val="o"/>
      <w:lvlJc w:val="left"/>
      <w:pPr>
        <w:ind w:hanging="360" w:left="1440"/>
      </w:pPr>
      <w:rPr>
        <w:rFonts w:ascii="Symbol" w:hAnsi="Symbol"/>
      </w:rPr>
    </w:lvl>
    <w:lvl w:ilvl="2" w:tplc="50CBC8A3">
      <w:start w:val="1"/>
      <w:numFmt w:val="bullet"/>
      <w:suff w:val="tab"/>
      <w:lvlText w:val="·"/>
      <w:lvlJc w:val="left"/>
      <w:pPr>
        <w:ind w:hanging="360" w:left="2160"/>
      </w:pPr>
      <w:rPr>
        <w:rFonts w:ascii="Symbol" w:hAnsi="Symbol"/>
      </w:rPr>
    </w:lvl>
    <w:lvl w:ilvl="3" w:tplc="619B389E">
      <w:start w:val="1"/>
      <w:numFmt w:val="bullet"/>
      <w:suff w:val="tab"/>
      <w:lvlText w:val="o"/>
      <w:lvlJc w:val="left"/>
      <w:pPr>
        <w:ind w:hanging="360" w:left="2880"/>
      </w:pPr>
      <w:rPr>
        <w:rFonts w:ascii="Symbol" w:hAnsi="Symbol"/>
      </w:rPr>
    </w:lvl>
    <w:lvl w:ilvl="4" w:tplc="30EAEF75">
      <w:start w:val="1"/>
      <w:numFmt w:val="bullet"/>
      <w:suff w:val="tab"/>
      <w:lvlText w:val="·"/>
      <w:lvlJc w:val="left"/>
      <w:pPr>
        <w:ind w:hanging="360" w:left="3600"/>
      </w:pPr>
      <w:rPr>
        <w:rFonts w:ascii="Symbol" w:hAnsi="Symbol"/>
      </w:rPr>
    </w:lvl>
    <w:lvl w:ilvl="5" w:tplc="65D5E0F4">
      <w:start w:val="1"/>
      <w:numFmt w:val="bullet"/>
      <w:suff w:val="tab"/>
      <w:lvlText w:val="o"/>
      <w:lvlJc w:val="left"/>
      <w:pPr>
        <w:ind w:hanging="360" w:left="4320"/>
      </w:pPr>
      <w:rPr>
        <w:rFonts w:ascii="Symbol" w:hAnsi="Symbol"/>
      </w:rPr>
    </w:lvl>
    <w:lvl w:ilvl="6" w:tplc="649B1305">
      <w:start w:val="1"/>
      <w:numFmt w:val="bullet"/>
      <w:suff w:val="tab"/>
      <w:lvlText w:val="·"/>
      <w:lvlJc w:val="left"/>
      <w:pPr>
        <w:ind w:hanging="360" w:left="5040"/>
      </w:pPr>
      <w:rPr>
        <w:rFonts w:ascii="Symbol" w:hAnsi="Symbol"/>
      </w:rPr>
    </w:lvl>
    <w:lvl w:ilvl="7" w:tplc="1E04036A">
      <w:start w:val="1"/>
      <w:numFmt w:val="bullet"/>
      <w:suff w:val="tab"/>
      <w:lvlText w:val="o"/>
      <w:lvlJc w:val="left"/>
      <w:pPr>
        <w:ind w:hanging="360" w:left="5760"/>
      </w:pPr>
      <w:rPr>
        <w:rFonts w:ascii="Symbol" w:hAnsi="Symbol"/>
      </w:rPr>
    </w:lvl>
    <w:lvl w:ilvl="8" w:tplc="3A954048">
      <w:start w:val="1"/>
      <w:numFmt w:val="bullet"/>
      <w:suff w:val="tab"/>
      <w:lvlText w:val="·"/>
      <w:lvlJc w:val="left"/>
      <w:pPr>
        <w:ind w:hanging="360" w:left="6480"/>
      </w:pPr>
      <w:rPr>
        <w:rFonts w:ascii="Symbol" w:hAnsi="Symbol"/>
      </w:rPr>
    </w:lvl>
  </w:abstractNum>
  <w:abstractNum w:abstractNumId="133">
    <w:nsid w:val="6383FB7D"/>
    <w:multiLevelType w:val="hybridMultilevel"/>
    <w:lvl w:ilvl="0" w:tplc="0700912A">
      <w:start w:val="1"/>
      <w:numFmt w:val="bullet"/>
      <w:suff w:val="tab"/>
      <w:lvlText w:val="·"/>
      <w:lvlJc w:val="left"/>
      <w:pPr>
        <w:ind w:hanging="360" w:left="720"/>
      </w:pPr>
      <w:rPr>
        <w:rFonts w:ascii="Symbol" w:hAnsi="Symbol" w:cs="Symbol" w:eastAsia="Symbol"/>
      </w:rPr>
    </w:lvl>
    <w:lvl w:ilvl="1" w:tplc="225D711A">
      <w:start w:val="1"/>
      <w:numFmt w:val="bullet"/>
      <w:suff w:val="tab"/>
      <w:lvlText w:val="o"/>
      <w:lvlJc w:val="left"/>
      <w:pPr>
        <w:ind w:hanging="360" w:left="1440"/>
      </w:pPr>
      <w:rPr>
        <w:rFonts w:ascii="Symbol" w:hAnsi="Symbol"/>
      </w:rPr>
    </w:lvl>
    <w:lvl w:ilvl="2" w:tplc="3969B29E">
      <w:start w:val="1"/>
      <w:numFmt w:val="bullet"/>
      <w:suff w:val="tab"/>
      <w:lvlText w:val="·"/>
      <w:lvlJc w:val="left"/>
      <w:pPr>
        <w:ind w:hanging="360" w:left="2160"/>
      </w:pPr>
      <w:rPr>
        <w:rFonts w:ascii="Symbol" w:hAnsi="Symbol"/>
      </w:rPr>
    </w:lvl>
    <w:lvl w:ilvl="3" w:tplc="1486BC59">
      <w:start w:val="1"/>
      <w:numFmt w:val="bullet"/>
      <w:suff w:val="tab"/>
      <w:lvlText w:val="o"/>
      <w:lvlJc w:val="left"/>
      <w:pPr>
        <w:ind w:hanging="360" w:left="2880"/>
      </w:pPr>
      <w:rPr>
        <w:rFonts w:ascii="Symbol" w:hAnsi="Symbol"/>
      </w:rPr>
    </w:lvl>
    <w:lvl w:ilvl="4" w:tplc="1CC97E4C">
      <w:start w:val="1"/>
      <w:numFmt w:val="bullet"/>
      <w:suff w:val="tab"/>
      <w:lvlText w:val="·"/>
      <w:lvlJc w:val="left"/>
      <w:pPr>
        <w:ind w:hanging="360" w:left="3600"/>
      </w:pPr>
      <w:rPr>
        <w:rFonts w:ascii="Symbol" w:hAnsi="Symbol"/>
      </w:rPr>
    </w:lvl>
    <w:lvl w:ilvl="5" w:tplc="543B5286">
      <w:start w:val="1"/>
      <w:numFmt w:val="bullet"/>
      <w:suff w:val="tab"/>
      <w:lvlText w:val="o"/>
      <w:lvlJc w:val="left"/>
      <w:pPr>
        <w:ind w:hanging="360" w:left="4320"/>
      </w:pPr>
      <w:rPr>
        <w:rFonts w:ascii="Symbol" w:hAnsi="Symbol"/>
      </w:rPr>
    </w:lvl>
    <w:lvl w:ilvl="6" w:tplc="7CA7E857">
      <w:start w:val="1"/>
      <w:numFmt w:val="bullet"/>
      <w:suff w:val="tab"/>
      <w:lvlText w:val="·"/>
      <w:lvlJc w:val="left"/>
      <w:pPr>
        <w:ind w:hanging="360" w:left="5040"/>
      </w:pPr>
      <w:rPr>
        <w:rFonts w:ascii="Symbol" w:hAnsi="Symbol"/>
      </w:rPr>
    </w:lvl>
    <w:lvl w:ilvl="7" w:tplc="601DDC4B">
      <w:start w:val="1"/>
      <w:numFmt w:val="bullet"/>
      <w:suff w:val="tab"/>
      <w:lvlText w:val="o"/>
      <w:lvlJc w:val="left"/>
      <w:pPr>
        <w:ind w:hanging="360" w:left="5760"/>
      </w:pPr>
      <w:rPr>
        <w:rFonts w:ascii="Symbol" w:hAnsi="Symbol"/>
      </w:rPr>
    </w:lvl>
    <w:lvl w:ilvl="8" w:tplc="79302D61">
      <w:start w:val="1"/>
      <w:numFmt w:val="bullet"/>
      <w:suff w:val="tab"/>
      <w:lvlText w:val="·"/>
      <w:lvlJc w:val="left"/>
      <w:pPr>
        <w:ind w:hanging="360" w:left="6480"/>
      </w:pPr>
      <w:rPr>
        <w:rFonts w:ascii="Symbol" w:hAnsi="Symbol"/>
      </w:rPr>
    </w:lvl>
  </w:abstractNum>
  <w:abstractNum w:abstractNumId="134">
    <w:nsid w:val="0074192E"/>
    <w:multiLevelType w:val="hybridMultilevel"/>
    <w:lvl w:ilvl="0" w:tplc="02C91F6C">
      <w:start w:val="1"/>
      <w:numFmt w:val="bullet"/>
      <w:suff w:val="tab"/>
      <w:lvlText w:val="·"/>
      <w:lvlJc w:val="left"/>
      <w:pPr>
        <w:ind w:hanging="360" w:left="720"/>
      </w:pPr>
      <w:rPr>
        <w:rFonts w:ascii="Symbol" w:hAnsi="Symbol" w:cs="Symbol" w:eastAsia="Symbol"/>
      </w:rPr>
    </w:lvl>
    <w:lvl w:ilvl="1" w:tplc="12ACFD44">
      <w:start w:val="1"/>
      <w:numFmt w:val="bullet"/>
      <w:suff w:val="tab"/>
      <w:lvlText w:val="o"/>
      <w:lvlJc w:val="left"/>
      <w:pPr>
        <w:ind w:hanging="360" w:left="1440"/>
      </w:pPr>
      <w:rPr>
        <w:rFonts w:ascii="Symbol" w:hAnsi="Symbol"/>
      </w:rPr>
    </w:lvl>
    <w:lvl w:ilvl="2" w:tplc="4B4F0BFF">
      <w:start w:val="1"/>
      <w:numFmt w:val="bullet"/>
      <w:suff w:val="tab"/>
      <w:lvlText w:val="·"/>
      <w:lvlJc w:val="left"/>
      <w:pPr>
        <w:ind w:hanging="360" w:left="2160"/>
      </w:pPr>
      <w:rPr>
        <w:rFonts w:ascii="Symbol" w:hAnsi="Symbol"/>
      </w:rPr>
    </w:lvl>
    <w:lvl w:ilvl="3" w:tplc="4D6E9054">
      <w:start w:val="1"/>
      <w:numFmt w:val="bullet"/>
      <w:suff w:val="tab"/>
      <w:lvlText w:val="o"/>
      <w:lvlJc w:val="left"/>
      <w:pPr>
        <w:ind w:hanging="360" w:left="2880"/>
      </w:pPr>
      <w:rPr>
        <w:rFonts w:ascii="Symbol" w:hAnsi="Symbol"/>
      </w:rPr>
    </w:lvl>
    <w:lvl w:ilvl="4" w:tplc="010E5481">
      <w:start w:val="1"/>
      <w:numFmt w:val="bullet"/>
      <w:suff w:val="tab"/>
      <w:lvlText w:val="·"/>
      <w:lvlJc w:val="left"/>
      <w:pPr>
        <w:ind w:hanging="360" w:left="3600"/>
      </w:pPr>
      <w:rPr>
        <w:rFonts w:ascii="Symbol" w:hAnsi="Symbol"/>
      </w:rPr>
    </w:lvl>
    <w:lvl w:ilvl="5" w:tplc="227E22EC">
      <w:start w:val="1"/>
      <w:numFmt w:val="bullet"/>
      <w:suff w:val="tab"/>
      <w:lvlText w:val="o"/>
      <w:lvlJc w:val="left"/>
      <w:pPr>
        <w:ind w:hanging="360" w:left="4320"/>
      </w:pPr>
      <w:rPr>
        <w:rFonts w:ascii="Symbol" w:hAnsi="Symbol"/>
      </w:rPr>
    </w:lvl>
    <w:lvl w:ilvl="6" w:tplc="5B517D9E">
      <w:start w:val="1"/>
      <w:numFmt w:val="bullet"/>
      <w:suff w:val="tab"/>
      <w:lvlText w:val="·"/>
      <w:lvlJc w:val="left"/>
      <w:pPr>
        <w:ind w:hanging="360" w:left="5040"/>
      </w:pPr>
      <w:rPr>
        <w:rFonts w:ascii="Symbol" w:hAnsi="Symbol"/>
      </w:rPr>
    </w:lvl>
    <w:lvl w:ilvl="7" w:tplc="7EF865FC">
      <w:start w:val="1"/>
      <w:numFmt w:val="bullet"/>
      <w:suff w:val="tab"/>
      <w:lvlText w:val="o"/>
      <w:lvlJc w:val="left"/>
      <w:pPr>
        <w:ind w:hanging="360" w:left="5760"/>
      </w:pPr>
      <w:rPr>
        <w:rFonts w:ascii="Symbol" w:hAnsi="Symbol"/>
      </w:rPr>
    </w:lvl>
    <w:lvl w:ilvl="8" w:tplc="76ABA7F2">
      <w:start w:val="1"/>
      <w:numFmt w:val="bullet"/>
      <w:suff w:val="tab"/>
      <w:lvlText w:val="·"/>
      <w:lvlJc w:val="left"/>
      <w:pPr>
        <w:ind w:hanging="360" w:left="6480"/>
      </w:pPr>
      <w:rPr>
        <w:rFonts w:ascii="Symbol" w:hAnsi="Symbol"/>
      </w:rPr>
    </w:lvl>
  </w:abstractNum>
  <w:abstractNum w:abstractNumId="135">
    <w:nsid w:val="35AC4DFF"/>
    <w:multiLevelType w:val="hybridMultilevel"/>
    <w:lvl w:ilvl="0" w:tplc="15AFD6CA">
      <w:start w:val="1"/>
      <w:numFmt w:val="bullet"/>
      <w:suff w:val="tab"/>
      <w:lvlText w:val="·"/>
      <w:lvlJc w:val="left"/>
      <w:pPr>
        <w:ind w:hanging="360" w:left="720"/>
      </w:pPr>
      <w:rPr>
        <w:rFonts w:ascii="Symbol" w:hAnsi="Symbol" w:cs="Symbol" w:eastAsia="Symbol"/>
      </w:rPr>
    </w:lvl>
    <w:lvl w:ilvl="1" w:tplc="01E77B30">
      <w:start w:val="1"/>
      <w:numFmt w:val="bullet"/>
      <w:suff w:val="tab"/>
      <w:lvlText w:val="o"/>
      <w:lvlJc w:val="left"/>
      <w:pPr>
        <w:ind w:hanging="360" w:left="1440"/>
      </w:pPr>
      <w:rPr>
        <w:rFonts w:ascii="Symbol" w:hAnsi="Symbol"/>
      </w:rPr>
    </w:lvl>
    <w:lvl w:ilvl="2" w:tplc="3DEDA71C">
      <w:start w:val="1"/>
      <w:numFmt w:val="bullet"/>
      <w:suff w:val="tab"/>
      <w:lvlText w:val="·"/>
      <w:lvlJc w:val="left"/>
      <w:pPr>
        <w:ind w:hanging="360" w:left="2160"/>
      </w:pPr>
      <w:rPr>
        <w:rFonts w:ascii="Symbol" w:hAnsi="Symbol"/>
      </w:rPr>
    </w:lvl>
    <w:lvl w:ilvl="3" w:tplc="124F25A7">
      <w:start w:val="1"/>
      <w:numFmt w:val="bullet"/>
      <w:suff w:val="tab"/>
      <w:lvlText w:val="o"/>
      <w:lvlJc w:val="left"/>
      <w:pPr>
        <w:ind w:hanging="360" w:left="2880"/>
      </w:pPr>
      <w:rPr>
        <w:rFonts w:ascii="Symbol" w:hAnsi="Symbol"/>
      </w:rPr>
    </w:lvl>
    <w:lvl w:ilvl="4" w:tplc="43980FD6">
      <w:start w:val="1"/>
      <w:numFmt w:val="bullet"/>
      <w:suff w:val="tab"/>
      <w:lvlText w:val="·"/>
      <w:lvlJc w:val="left"/>
      <w:pPr>
        <w:ind w:hanging="360" w:left="3600"/>
      </w:pPr>
      <w:rPr>
        <w:rFonts w:ascii="Symbol" w:hAnsi="Symbol"/>
      </w:rPr>
    </w:lvl>
    <w:lvl w:ilvl="5" w:tplc="197F0FD5">
      <w:start w:val="1"/>
      <w:numFmt w:val="bullet"/>
      <w:suff w:val="tab"/>
      <w:lvlText w:val="o"/>
      <w:lvlJc w:val="left"/>
      <w:pPr>
        <w:ind w:hanging="360" w:left="4320"/>
      </w:pPr>
      <w:rPr>
        <w:rFonts w:ascii="Symbol" w:hAnsi="Symbol"/>
      </w:rPr>
    </w:lvl>
    <w:lvl w:ilvl="6" w:tplc="48FD564C">
      <w:start w:val="1"/>
      <w:numFmt w:val="bullet"/>
      <w:suff w:val="tab"/>
      <w:lvlText w:val="·"/>
      <w:lvlJc w:val="left"/>
      <w:pPr>
        <w:ind w:hanging="360" w:left="5040"/>
      </w:pPr>
      <w:rPr>
        <w:rFonts w:ascii="Symbol" w:hAnsi="Symbol"/>
      </w:rPr>
    </w:lvl>
    <w:lvl w:ilvl="7" w:tplc="7DD85522">
      <w:start w:val="1"/>
      <w:numFmt w:val="bullet"/>
      <w:suff w:val="tab"/>
      <w:lvlText w:val="o"/>
      <w:lvlJc w:val="left"/>
      <w:pPr>
        <w:ind w:hanging="360" w:left="5760"/>
      </w:pPr>
      <w:rPr>
        <w:rFonts w:ascii="Symbol" w:hAnsi="Symbol"/>
      </w:rPr>
    </w:lvl>
    <w:lvl w:ilvl="8" w:tplc="54425843">
      <w:start w:val="1"/>
      <w:numFmt w:val="bullet"/>
      <w:suff w:val="tab"/>
      <w:lvlText w:val="·"/>
      <w:lvlJc w:val="left"/>
      <w:pPr>
        <w:ind w:hanging="360" w:left="6480"/>
      </w:pPr>
      <w:rPr>
        <w:rFonts w:ascii="Symbol" w:hAnsi="Symbol"/>
      </w:rPr>
    </w:lvl>
  </w:abstractNum>
  <w:abstractNum w:abstractNumId="136">
    <w:nsid w:val="659B8C25"/>
    <w:multiLevelType w:val="hybridMultilevel"/>
    <w:lvl w:ilvl="0" w:tplc="55672FC1">
      <w:start w:val="1"/>
      <w:numFmt w:val="bullet"/>
      <w:suff w:val="tab"/>
      <w:lvlText w:val="·"/>
      <w:lvlJc w:val="left"/>
      <w:pPr>
        <w:ind w:hanging="360" w:left="720"/>
      </w:pPr>
      <w:rPr>
        <w:rFonts w:ascii="Symbol" w:hAnsi="Symbol" w:cs="Symbol" w:eastAsia="Symbol"/>
      </w:rPr>
    </w:lvl>
    <w:lvl w:ilvl="1" w:tplc="2E86EEBD">
      <w:start w:val="1"/>
      <w:numFmt w:val="bullet"/>
      <w:suff w:val="tab"/>
      <w:lvlText w:val="o"/>
      <w:lvlJc w:val="left"/>
      <w:pPr>
        <w:ind w:hanging="360" w:left="1440"/>
      </w:pPr>
      <w:rPr>
        <w:rFonts w:ascii="Symbol" w:hAnsi="Symbol"/>
      </w:rPr>
    </w:lvl>
    <w:lvl w:ilvl="2" w:tplc="11ED77DA">
      <w:start w:val="1"/>
      <w:numFmt w:val="bullet"/>
      <w:suff w:val="tab"/>
      <w:lvlText w:val="·"/>
      <w:lvlJc w:val="left"/>
      <w:pPr>
        <w:ind w:hanging="360" w:left="2160"/>
      </w:pPr>
      <w:rPr>
        <w:rFonts w:ascii="Symbol" w:hAnsi="Symbol"/>
      </w:rPr>
    </w:lvl>
    <w:lvl w:ilvl="3" w:tplc="68E5CFE1">
      <w:start w:val="1"/>
      <w:numFmt w:val="bullet"/>
      <w:suff w:val="tab"/>
      <w:lvlText w:val="o"/>
      <w:lvlJc w:val="left"/>
      <w:pPr>
        <w:ind w:hanging="360" w:left="2880"/>
      </w:pPr>
      <w:rPr>
        <w:rFonts w:ascii="Symbol" w:hAnsi="Symbol"/>
      </w:rPr>
    </w:lvl>
    <w:lvl w:ilvl="4" w:tplc="6106189E">
      <w:start w:val="1"/>
      <w:numFmt w:val="bullet"/>
      <w:suff w:val="tab"/>
      <w:lvlText w:val="·"/>
      <w:lvlJc w:val="left"/>
      <w:pPr>
        <w:ind w:hanging="360" w:left="3600"/>
      </w:pPr>
      <w:rPr>
        <w:rFonts w:ascii="Symbol" w:hAnsi="Symbol"/>
      </w:rPr>
    </w:lvl>
    <w:lvl w:ilvl="5" w:tplc="15573FAE">
      <w:start w:val="1"/>
      <w:numFmt w:val="bullet"/>
      <w:suff w:val="tab"/>
      <w:lvlText w:val="o"/>
      <w:lvlJc w:val="left"/>
      <w:pPr>
        <w:ind w:hanging="360" w:left="4320"/>
      </w:pPr>
      <w:rPr>
        <w:rFonts w:ascii="Symbol" w:hAnsi="Symbol"/>
      </w:rPr>
    </w:lvl>
    <w:lvl w:ilvl="6" w:tplc="2355B6CE">
      <w:start w:val="1"/>
      <w:numFmt w:val="bullet"/>
      <w:suff w:val="tab"/>
      <w:lvlText w:val="·"/>
      <w:lvlJc w:val="left"/>
      <w:pPr>
        <w:ind w:hanging="360" w:left="5040"/>
      </w:pPr>
      <w:rPr>
        <w:rFonts w:ascii="Symbol" w:hAnsi="Symbol"/>
      </w:rPr>
    </w:lvl>
    <w:lvl w:ilvl="7" w:tplc="1C42AD60">
      <w:start w:val="1"/>
      <w:numFmt w:val="bullet"/>
      <w:suff w:val="tab"/>
      <w:lvlText w:val="o"/>
      <w:lvlJc w:val="left"/>
      <w:pPr>
        <w:ind w:hanging="360" w:left="5760"/>
      </w:pPr>
      <w:rPr>
        <w:rFonts w:ascii="Symbol" w:hAnsi="Symbol"/>
      </w:rPr>
    </w:lvl>
    <w:lvl w:ilvl="8" w:tplc="7611F45F">
      <w:start w:val="1"/>
      <w:numFmt w:val="bullet"/>
      <w:suff w:val="tab"/>
      <w:lvlText w:val="·"/>
      <w:lvlJc w:val="left"/>
      <w:pPr>
        <w:ind w:hanging="360" w:left="6480"/>
      </w:pPr>
      <w:rPr>
        <w:rFonts w:ascii="Symbol" w:hAnsi="Symbol"/>
      </w:rPr>
    </w:lvl>
  </w:abstractNum>
  <w:abstractNum w:abstractNumId="137">
    <w:nsid w:val="6994B8A9"/>
    <w:multiLevelType w:val="hybridMultilevel"/>
    <w:lvl w:ilvl="0" w:tplc="68CB3A27">
      <w:start w:val="1"/>
      <w:numFmt w:val="bullet"/>
      <w:suff w:val="tab"/>
      <w:lvlText w:val="·"/>
      <w:lvlJc w:val="left"/>
      <w:pPr>
        <w:ind w:hanging="360" w:left="720"/>
      </w:pPr>
      <w:rPr>
        <w:rFonts w:ascii="Symbol" w:hAnsi="Symbol" w:cs="Symbol" w:eastAsia="Symbol"/>
      </w:rPr>
    </w:lvl>
    <w:lvl w:ilvl="1" w:tplc="3955F368">
      <w:start w:val="1"/>
      <w:numFmt w:val="bullet"/>
      <w:suff w:val="tab"/>
      <w:lvlText w:val="o"/>
      <w:lvlJc w:val="left"/>
      <w:pPr>
        <w:ind w:hanging="360" w:left="1440"/>
      </w:pPr>
      <w:rPr>
        <w:rFonts w:ascii="Symbol" w:hAnsi="Symbol"/>
      </w:rPr>
    </w:lvl>
    <w:lvl w:ilvl="2" w:tplc="0F67D076">
      <w:start w:val="1"/>
      <w:numFmt w:val="bullet"/>
      <w:suff w:val="tab"/>
      <w:lvlText w:val="·"/>
      <w:lvlJc w:val="left"/>
      <w:pPr>
        <w:ind w:hanging="360" w:left="2160"/>
      </w:pPr>
      <w:rPr>
        <w:rFonts w:ascii="Symbol" w:hAnsi="Symbol"/>
      </w:rPr>
    </w:lvl>
    <w:lvl w:ilvl="3" w:tplc="1ED1E0BC">
      <w:start w:val="1"/>
      <w:numFmt w:val="bullet"/>
      <w:suff w:val="tab"/>
      <w:lvlText w:val="o"/>
      <w:lvlJc w:val="left"/>
      <w:pPr>
        <w:ind w:hanging="360" w:left="2880"/>
      </w:pPr>
      <w:rPr>
        <w:rFonts w:ascii="Symbol" w:hAnsi="Symbol"/>
      </w:rPr>
    </w:lvl>
    <w:lvl w:ilvl="4" w:tplc="0851A6BA">
      <w:start w:val="1"/>
      <w:numFmt w:val="bullet"/>
      <w:suff w:val="tab"/>
      <w:lvlText w:val="·"/>
      <w:lvlJc w:val="left"/>
      <w:pPr>
        <w:ind w:hanging="360" w:left="3600"/>
      </w:pPr>
      <w:rPr>
        <w:rFonts w:ascii="Symbol" w:hAnsi="Symbol"/>
      </w:rPr>
    </w:lvl>
    <w:lvl w:ilvl="5" w:tplc="010787E1">
      <w:start w:val="1"/>
      <w:numFmt w:val="bullet"/>
      <w:suff w:val="tab"/>
      <w:lvlText w:val="o"/>
      <w:lvlJc w:val="left"/>
      <w:pPr>
        <w:ind w:hanging="360" w:left="4320"/>
      </w:pPr>
      <w:rPr>
        <w:rFonts w:ascii="Symbol" w:hAnsi="Symbol"/>
      </w:rPr>
    </w:lvl>
    <w:lvl w:ilvl="6" w:tplc="6C1AD754">
      <w:start w:val="1"/>
      <w:numFmt w:val="bullet"/>
      <w:suff w:val="tab"/>
      <w:lvlText w:val="·"/>
      <w:lvlJc w:val="left"/>
      <w:pPr>
        <w:ind w:hanging="360" w:left="5040"/>
      </w:pPr>
      <w:rPr>
        <w:rFonts w:ascii="Symbol" w:hAnsi="Symbol"/>
      </w:rPr>
    </w:lvl>
    <w:lvl w:ilvl="7" w:tplc="6FE92643">
      <w:start w:val="1"/>
      <w:numFmt w:val="bullet"/>
      <w:suff w:val="tab"/>
      <w:lvlText w:val="o"/>
      <w:lvlJc w:val="left"/>
      <w:pPr>
        <w:ind w:hanging="360" w:left="5760"/>
      </w:pPr>
      <w:rPr>
        <w:rFonts w:ascii="Symbol" w:hAnsi="Symbol"/>
      </w:rPr>
    </w:lvl>
    <w:lvl w:ilvl="8" w:tplc="6081F53F">
      <w:start w:val="1"/>
      <w:numFmt w:val="bullet"/>
      <w:suff w:val="tab"/>
      <w:lvlText w:val="·"/>
      <w:lvlJc w:val="left"/>
      <w:pPr>
        <w:ind w:hanging="360" w:left="6480"/>
      </w:pPr>
      <w:rPr>
        <w:rFonts w:ascii="Symbol" w:hAnsi="Symbol"/>
      </w:rPr>
    </w:lvl>
  </w:abstractNum>
  <w:abstractNum w:abstractNumId="138">
    <w:nsid w:val="77658100"/>
    <w:multiLevelType w:val="hybridMultilevel"/>
    <w:lvl w:ilvl="0" w:tplc="0FD85977">
      <w:start w:val="1"/>
      <w:numFmt w:val="bullet"/>
      <w:suff w:val="tab"/>
      <w:lvlText w:val="·"/>
      <w:lvlJc w:val="left"/>
      <w:pPr>
        <w:ind w:hanging="360" w:left="720"/>
      </w:pPr>
      <w:rPr>
        <w:rFonts w:ascii="Symbol" w:hAnsi="Symbol" w:cs="Symbol" w:eastAsia="Symbol"/>
      </w:rPr>
    </w:lvl>
    <w:lvl w:ilvl="1" w:tplc="691C710F">
      <w:start w:val="1"/>
      <w:numFmt w:val="bullet"/>
      <w:suff w:val="tab"/>
      <w:lvlText w:val="o"/>
      <w:lvlJc w:val="left"/>
      <w:pPr>
        <w:ind w:hanging="360" w:left="1440"/>
      </w:pPr>
      <w:rPr>
        <w:rFonts w:ascii="Symbol" w:hAnsi="Symbol"/>
      </w:rPr>
    </w:lvl>
    <w:lvl w:ilvl="2" w:tplc="23A82B2C">
      <w:start w:val="1"/>
      <w:numFmt w:val="bullet"/>
      <w:suff w:val="tab"/>
      <w:lvlText w:val="·"/>
      <w:lvlJc w:val="left"/>
      <w:pPr>
        <w:ind w:hanging="360" w:left="2160"/>
      </w:pPr>
      <w:rPr>
        <w:rFonts w:ascii="Symbol" w:hAnsi="Symbol"/>
      </w:rPr>
    </w:lvl>
    <w:lvl w:ilvl="3" w:tplc="49FF9A8A">
      <w:start w:val="1"/>
      <w:numFmt w:val="bullet"/>
      <w:suff w:val="tab"/>
      <w:lvlText w:val="o"/>
      <w:lvlJc w:val="left"/>
      <w:pPr>
        <w:ind w:hanging="360" w:left="2880"/>
      </w:pPr>
      <w:rPr>
        <w:rFonts w:ascii="Symbol" w:hAnsi="Symbol"/>
      </w:rPr>
    </w:lvl>
    <w:lvl w:ilvl="4" w:tplc="72BD123F">
      <w:start w:val="1"/>
      <w:numFmt w:val="bullet"/>
      <w:suff w:val="tab"/>
      <w:lvlText w:val="·"/>
      <w:lvlJc w:val="left"/>
      <w:pPr>
        <w:ind w:hanging="360" w:left="3600"/>
      </w:pPr>
      <w:rPr>
        <w:rFonts w:ascii="Symbol" w:hAnsi="Symbol"/>
      </w:rPr>
    </w:lvl>
    <w:lvl w:ilvl="5" w:tplc="11783E8F">
      <w:start w:val="1"/>
      <w:numFmt w:val="bullet"/>
      <w:suff w:val="tab"/>
      <w:lvlText w:val="o"/>
      <w:lvlJc w:val="left"/>
      <w:pPr>
        <w:ind w:hanging="360" w:left="4320"/>
      </w:pPr>
      <w:rPr>
        <w:rFonts w:ascii="Symbol" w:hAnsi="Symbol"/>
      </w:rPr>
    </w:lvl>
    <w:lvl w:ilvl="6" w:tplc="0CD0BAC9">
      <w:start w:val="1"/>
      <w:numFmt w:val="bullet"/>
      <w:suff w:val="tab"/>
      <w:lvlText w:val="·"/>
      <w:lvlJc w:val="left"/>
      <w:pPr>
        <w:ind w:hanging="360" w:left="5040"/>
      </w:pPr>
      <w:rPr>
        <w:rFonts w:ascii="Symbol" w:hAnsi="Symbol"/>
      </w:rPr>
    </w:lvl>
    <w:lvl w:ilvl="7" w:tplc="796F3EC0">
      <w:start w:val="1"/>
      <w:numFmt w:val="bullet"/>
      <w:suff w:val="tab"/>
      <w:lvlText w:val="o"/>
      <w:lvlJc w:val="left"/>
      <w:pPr>
        <w:ind w:hanging="360" w:left="5760"/>
      </w:pPr>
      <w:rPr>
        <w:rFonts w:ascii="Symbol" w:hAnsi="Symbol"/>
      </w:rPr>
    </w:lvl>
    <w:lvl w:ilvl="8" w:tplc="307C9B44">
      <w:start w:val="1"/>
      <w:numFmt w:val="bullet"/>
      <w:suff w:val="tab"/>
      <w:lvlText w:val="·"/>
      <w:lvlJc w:val="left"/>
      <w:pPr>
        <w:ind w:hanging="360" w:left="6480"/>
      </w:pPr>
      <w:rPr>
        <w:rFonts w:ascii="Symbol" w:hAnsi="Symbol"/>
      </w:rPr>
    </w:lvl>
  </w:abstractNum>
  <w:abstractNum w:abstractNumId="139">
    <w:nsid w:val="20642F2F"/>
    <w:multiLevelType w:val="hybridMultilevel"/>
    <w:lvl w:ilvl="0" w:tplc="0204F12A">
      <w:start w:val="1"/>
      <w:numFmt w:val="bullet"/>
      <w:suff w:val="tab"/>
      <w:lvlText w:val="·"/>
      <w:lvlJc w:val="left"/>
      <w:pPr>
        <w:ind w:hanging="360" w:left="720"/>
      </w:pPr>
      <w:rPr>
        <w:rFonts w:ascii="Symbol" w:hAnsi="Symbol" w:cs="Symbol" w:eastAsia="Symbol"/>
      </w:rPr>
    </w:lvl>
    <w:lvl w:ilvl="1" w:tplc="1EC8C0C1">
      <w:start w:val="1"/>
      <w:numFmt w:val="bullet"/>
      <w:suff w:val="tab"/>
      <w:lvlText w:val="o"/>
      <w:lvlJc w:val="left"/>
      <w:pPr>
        <w:ind w:hanging="360" w:left="1440"/>
      </w:pPr>
      <w:rPr>
        <w:rFonts w:ascii="Symbol" w:hAnsi="Symbol"/>
      </w:rPr>
    </w:lvl>
    <w:lvl w:ilvl="2" w:tplc="3A431AAD">
      <w:start w:val="1"/>
      <w:numFmt w:val="bullet"/>
      <w:suff w:val="tab"/>
      <w:lvlText w:val="·"/>
      <w:lvlJc w:val="left"/>
      <w:pPr>
        <w:ind w:hanging="360" w:left="2160"/>
      </w:pPr>
      <w:rPr>
        <w:rFonts w:ascii="Symbol" w:hAnsi="Symbol"/>
      </w:rPr>
    </w:lvl>
    <w:lvl w:ilvl="3" w:tplc="16A45C0F">
      <w:start w:val="1"/>
      <w:numFmt w:val="bullet"/>
      <w:suff w:val="tab"/>
      <w:lvlText w:val="o"/>
      <w:lvlJc w:val="left"/>
      <w:pPr>
        <w:ind w:hanging="360" w:left="2880"/>
      </w:pPr>
      <w:rPr>
        <w:rFonts w:ascii="Symbol" w:hAnsi="Symbol"/>
      </w:rPr>
    </w:lvl>
    <w:lvl w:ilvl="4" w:tplc="199B54C9">
      <w:start w:val="1"/>
      <w:numFmt w:val="bullet"/>
      <w:suff w:val="tab"/>
      <w:lvlText w:val="·"/>
      <w:lvlJc w:val="left"/>
      <w:pPr>
        <w:ind w:hanging="360" w:left="3600"/>
      </w:pPr>
      <w:rPr>
        <w:rFonts w:ascii="Symbol" w:hAnsi="Symbol"/>
      </w:rPr>
    </w:lvl>
    <w:lvl w:ilvl="5" w:tplc="1C9839D4">
      <w:start w:val="1"/>
      <w:numFmt w:val="bullet"/>
      <w:suff w:val="tab"/>
      <w:lvlText w:val="o"/>
      <w:lvlJc w:val="left"/>
      <w:pPr>
        <w:ind w:hanging="360" w:left="4320"/>
      </w:pPr>
      <w:rPr>
        <w:rFonts w:ascii="Symbol" w:hAnsi="Symbol"/>
      </w:rPr>
    </w:lvl>
    <w:lvl w:ilvl="6" w:tplc="1CE1CA4A">
      <w:start w:val="1"/>
      <w:numFmt w:val="bullet"/>
      <w:suff w:val="tab"/>
      <w:lvlText w:val="·"/>
      <w:lvlJc w:val="left"/>
      <w:pPr>
        <w:ind w:hanging="360" w:left="5040"/>
      </w:pPr>
      <w:rPr>
        <w:rFonts w:ascii="Symbol" w:hAnsi="Symbol"/>
      </w:rPr>
    </w:lvl>
    <w:lvl w:ilvl="7" w:tplc="6DF2A40E">
      <w:start w:val="1"/>
      <w:numFmt w:val="bullet"/>
      <w:suff w:val="tab"/>
      <w:lvlText w:val="o"/>
      <w:lvlJc w:val="left"/>
      <w:pPr>
        <w:ind w:hanging="360" w:left="5760"/>
      </w:pPr>
      <w:rPr>
        <w:rFonts w:ascii="Symbol" w:hAnsi="Symbol"/>
      </w:rPr>
    </w:lvl>
    <w:lvl w:ilvl="8" w:tplc="646DD1B2">
      <w:start w:val="1"/>
      <w:numFmt w:val="bullet"/>
      <w:suff w:val="tab"/>
      <w:lvlText w:val="·"/>
      <w:lvlJc w:val="left"/>
      <w:pPr>
        <w:ind w:hanging="360" w:left="6480"/>
      </w:pPr>
      <w:rPr>
        <w:rFonts w:ascii="Symbol" w:hAnsi="Symbol"/>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3"/>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bering>
</file>

<file path=word/settings.xml><?xml version="1.0" encoding="utf-8"?>
<w:settings xmlns:w="http://schemas.openxmlformats.org/wordprocessingml/2006/main">
  <w:displayBackgroundShape w:val="0"/>
  <w:defaultTabStop w:val="480"/>
  <w:autoHyphenation w:val="0"/>
  <w:doNotHyphenateCaps w:val="1"/>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rike w:val="0"/>
      <w:lang w:bidi="he-IL"/>
    </w:rPr>
  </w:style>
  <w:style w:type="paragraph" w:styleId="P1">
    <w:name w:val="Heading 1"/>
    <w:basedOn w:val="P0"/>
    <w:next w:val="P0"/>
    <w:link w:val="C16"/>
    <w:qFormat/>
    <w:pPr>
      <w:keepNext w:val="1"/>
      <w:outlineLvl w:val="0"/>
    </w:pPr>
    <w:rPr>
      <w:rFonts w:ascii="Arial" w:hAnsi="Arial"/>
      <w:b w:val="1"/>
      <w:bCs w:val="1"/>
    </w:rPr>
  </w:style>
  <w:style w:type="paragraph" w:styleId="P2">
    <w:name w:val="Heading 2"/>
    <w:basedOn w:val="P0"/>
    <w:next w:val="P0"/>
    <w:qFormat/>
    <w:pPr>
      <w:spacing w:before="120" w:beforeAutospacing="0" w:afterAutospacing="0"/>
      <w:outlineLvl w:val="1"/>
    </w:pPr>
    <w:rPr>
      <w:rFonts w:ascii="Arial" w:hAnsi="Arial"/>
      <w:b w:val="1"/>
      <w:sz w:val="24"/>
      <w:lang w:bidi="ar-SA"/>
    </w:rPr>
  </w:style>
  <w:style w:type="paragraph" w:styleId="P3">
    <w:name w:val="Heading 3"/>
    <w:basedOn w:val="P0"/>
    <w:next w:val="P0"/>
    <w:qFormat/>
    <w:pPr>
      <w:keepNext w:val="1"/>
      <w:jc w:val="right"/>
      <w:outlineLvl w:val="2"/>
    </w:pPr>
    <w:rPr>
      <w:rFonts w:ascii="Arial" w:hAnsi="Arial" w:cs="Arial"/>
      <w:b w:val="1"/>
      <w:lang w:val="it-IT"/>
    </w:rPr>
  </w:style>
  <w:style w:type="paragraph" w:styleId="P4">
    <w:name w:val="Heading 4"/>
    <w:basedOn w:val="P0"/>
    <w:next w:val="P0"/>
    <w:qFormat/>
    <w:pPr>
      <w:keepNext w:val="1"/>
      <w:outlineLvl w:val="3"/>
    </w:pPr>
    <w:rPr>
      <w:rFonts w:ascii="Arial" w:hAnsi="Arial"/>
      <w:i w:val="1"/>
    </w:rPr>
  </w:style>
  <w:style w:type="paragraph" w:styleId="P5">
    <w:name w:val="Heading 5"/>
    <w:basedOn w:val="P0"/>
    <w:next w:val="P0"/>
    <w:qFormat/>
    <w:pPr>
      <w:keepNext w:val="1"/>
      <w:ind w:left="72" w:right="-113"/>
      <w:outlineLvl w:val="4"/>
    </w:pPr>
    <w:rPr>
      <w:rFonts w:ascii="Arial" w:hAnsi="Arial"/>
      <w:b w:val="1"/>
    </w:rPr>
  </w:style>
  <w:style w:type="paragraph" w:styleId="P6">
    <w:name w:val="Heading 6"/>
    <w:basedOn w:val="P0"/>
    <w:next w:val="P0"/>
    <w:link w:val="C12"/>
    <w:qFormat/>
    <w:pPr>
      <w:keepNext w:val="1"/>
      <w:outlineLvl w:val="5"/>
    </w:pPr>
    <w:rPr>
      <w:rFonts w:ascii="Arial" w:hAnsi="Arial"/>
      <w:b w:val="1"/>
      <w:sz w:val="44"/>
    </w:rPr>
  </w:style>
  <w:style w:type="paragraph" w:styleId="P7">
    <w:name w:val="Heading 7"/>
    <w:basedOn w:val="P0"/>
    <w:next w:val="P0"/>
    <w:qFormat/>
    <w:pPr>
      <w:keepNext w:val="1"/>
      <w:spacing w:lineRule="auto" w:line="360" w:beforeAutospacing="0" w:afterAutospacing="0"/>
      <w:jc w:val="both"/>
      <w:outlineLvl w:val="6"/>
    </w:pPr>
    <w:rPr>
      <w:rFonts w:ascii="Arial" w:hAnsi="Arial"/>
      <w:sz w:val="28"/>
      <w:u w:val="single"/>
      <w:lang w:bidi="ar-SA"/>
    </w:rPr>
  </w:style>
  <w:style w:type="paragraph" w:styleId="P8">
    <w:name w:val="Heading 8"/>
    <w:basedOn w:val="P0"/>
    <w:next w:val="P0"/>
    <w:qFormat/>
    <w:pPr>
      <w:keepNext w:val="1"/>
      <w:spacing w:lineRule="auto" w:line="360" w:beforeAutospacing="0" w:afterAutospacing="0"/>
      <w:jc w:val="both"/>
      <w:outlineLvl w:val="7"/>
    </w:pPr>
    <w:rPr>
      <w:rFonts w:ascii="Arial" w:hAnsi="Arial"/>
      <w:sz w:val="24"/>
      <w:u w:val="single"/>
      <w:lang w:bidi="ar-SA"/>
    </w:rPr>
  </w:style>
  <w:style w:type="paragraph" w:styleId="P9">
    <w:name w:val="Heading 9"/>
    <w:basedOn w:val="P0"/>
    <w:next w:val="P0"/>
    <w:qFormat/>
    <w:pPr>
      <w:keepNext w:val="1"/>
      <w:spacing w:lineRule="auto" w:line="360" w:beforeAutospacing="0" w:afterAutospacing="0"/>
      <w:jc w:val="both"/>
      <w:outlineLvl w:val="8"/>
    </w:pPr>
    <w:rPr>
      <w:rFonts w:ascii="Arial" w:hAnsi="Arial"/>
      <w:b w:val="1"/>
      <w:bCs w:val="1"/>
      <w:sz w:val="28"/>
      <w:u w:val="single"/>
      <w:lang w:bidi="ar-SA"/>
    </w:rPr>
  </w:style>
  <w:style w:type="paragraph" w:styleId="P10">
    <w:name w:val="Header"/>
    <w:aliases w:val="Unterstreichen,Unterstreichen Char"/>
    <w:basedOn w:val="P0"/>
    <w:link w:val="C8"/>
    <w:pPr>
      <w:tabs>
        <w:tab w:val="center" w:pos="4536" w:leader="none"/>
        <w:tab w:val="right" w:pos="9072" w:leader="none"/>
      </w:tabs>
    </w:pPr>
    <w:rPr/>
  </w:style>
  <w:style w:type="paragraph" w:styleId="P11">
    <w:name w:val="Footer"/>
    <w:basedOn w:val="P0"/>
    <w:link w:val="C38"/>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rPr>
  </w:style>
  <w:style w:type="paragraph" w:styleId="P13">
    <w:name w:val="_CheckÜAbs"/>
    <w:basedOn w:val="P2"/>
    <w:pPr>
      <w:spacing w:before="0" w:beforeAutospacing="0" w:afterAutospacing="0"/>
      <w:outlineLvl w:val="9"/>
    </w:pPr>
    <w:rPr>
      <w:b w:val="0"/>
      <w:sz w:val="4"/>
    </w:rPr>
  </w:style>
  <w:style w:type="paragraph" w:styleId="P14">
    <w:name w:val="Block Text"/>
    <w:basedOn w:val="P0"/>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b w:val="1"/>
      <w:sz w:val="24"/>
      <w:lang w:bidi="ar-SA"/>
    </w:rPr>
  </w:style>
  <w:style w:type="paragraph" w:styleId="P16">
    <w:name w:val="StandartAbst"/>
    <w:basedOn w:val="P0"/>
    <w:pPr>
      <w:spacing w:before="40" w:after="40" w:beforeAutospacing="0" w:afterAutospacing="0"/>
    </w:pPr>
    <w:rPr>
      <w:rFonts w:ascii="FuturaLight" w:hAnsi="FuturaLight"/>
      <w:sz w:val="18"/>
      <w:lang w:bidi="ar-SA"/>
    </w:rPr>
  </w:style>
  <w:style w:type="paragraph" w:styleId="P17">
    <w:name w:val="Plain Text"/>
    <w:basedOn w:val="P0"/>
    <w:pPr/>
    <w:rPr>
      <w:rFonts w:ascii="Courier New" w:hAnsi="Courier New"/>
    </w:rPr>
  </w:style>
  <w:style w:type="paragraph" w:styleId="P18">
    <w:name w:val="Body Text"/>
    <w:basedOn w:val="P0"/>
    <w:link w:val="C11"/>
    <w:pPr/>
    <w:rPr>
      <w:rFonts w:ascii="Arial" w:hAnsi="Arial" w:cs="Arial"/>
      <w:color w:val="0000FF"/>
    </w:rPr>
  </w:style>
  <w:style w:type="paragraph" w:styleId="P19">
    <w:name w:val="Body Text Indent 2"/>
    <w:basedOn w:val="P0"/>
    <w:pPr>
      <w:tabs>
        <w:tab w:val="left" w:pos="851" w:leader="none"/>
      </w:tabs>
      <w:ind w:left="567"/>
    </w:pPr>
    <w:rPr>
      <w:rFonts w:ascii="Arial" w:hAnsi="Arial"/>
      <w:sz w:val="22"/>
    </w:rPr>
  </w:style>
  <w:style w:type="paragraph" w:styleId="P20">
    <w:name w:val="Body Text 2"/>
    <w:basedOn w:val="P0"/>
    <w:pPr/>
    <w:rPr>
      <w:rFonts w:ascii="Arial" w:hAnsi="Arial"/>
      <w:color w:val="0000FF"/>
      <w:sz w:val="18"/>
    </w:rPr>
  </w:style>
  <w:style w:type="paragraph" w:styleId="P21">
    <w:name w:val="Body Text 3"/>
    <w:basedOn w:val="P0"/>
    <w:link w:val="C15"/>
    <w:pPr/>
    <w:rPr>
      <w:rFonts w:ascii="Arial" w:hAnsi="Arial" w:cs="Arial"/>
      <w:color w:val="FF0000"/>
    </w:rPr>
  </w:style>
  <w:style w:type="paragraph" w:styleId="P22">
    <w:name w:val="OmniPage #3"/>
    <w:basedOn w:val="P0"/>
    <w:pPr>
      <w:spacing w:lineRule="exact" w:line="240" w:beforeAutospacing="0" w:afterAutospacing="0"/>
    </w:pPr>
    <w:rPr>
      <w:lang w:val="en-US" w:bidi="ar-SA"/>
    </w:rPr>
  </w:style>
  <w:style w:type="paragraph" w:styleId="P23">
    <w:name w:val="Body Text 21"/>
    <w:basedOn w:val="P0"/>
    <w:pPr>
      <w:jc w:val="both"/>
    </w:pPr>
    <w:rPr>
      <w:rFonts w:ascii="Arial" w:hAnsi="Arial"/>
      <w:sz w:val="25"/>
      <w:lang w:bidi="ar-SA"/>
    </w:rPr>
  </w:style>
  <w:style w:type="paragraph" w:styleId="P24">
    <w:name w:val="Body Text Indent"/>
    <w:basedOn w:val="P0"/>
    <w:link w:val="C33"/>
    <w:pPr>
      <w:ind w:left="23"/>
    </w:pPr>
    <w:rPr>
      <w:rFonts w:ascii="Arial" w:hAnsi="Arial"/>
    </w:rPr>
  </w:style>
  <w:style w:type="paragraph" w:styleId="P25">
    <w:name w:val="Title"/>
    <w:basedOn w:val="P0"/>
    <w:qFormat/>
    <w:pPr>
      <w:jc w:val="center"/>
      <w:outlineLvl w:val="0"/>
    </w:pPr>
    <w:rPr>
      <w:rFonts w:ascii="Arial" w:hAnsi="Arial"/>
      <w:b w:val="1"/>
      <w:sz w:val="36"/>
      <w:kern w:val="28"/>
      <w:lang w:bidi="ar-SA"/>
    </w:rPr>
  </w:style>
  <w:style w:type="paragraph" w:styleId="P26">
    <w:name w:val="Default"/>
    <w:pPr/>
    <w:rPr>
      <w:rFonts w:ascii="Arial,Bold" w:hAnsi="Arial,Bold"/>
    </w:rPr>
  </w:style>
  <w:style w:type="paragraph" w:styleId="P27">
    <w:name w:val="zwischenraum2"/>
    <w:basedOn w:val="P0"/>
    <w:pPr>
      <w:tabs>
        <w:tab w:val="left" w:pos="1560" w:leader="none"/>
        <w:tab w:val="center" w:pos="2410" w:leader="none"/>
        <w:tab w:val="center" w:pos="7230" w:leader="none"/>
      </w:tabs>
      <w:jc w:val="center"/>
    </w:pPr>
    <w:rPr>
      <w:rFonts w:ascii="Futura" w:hAnsi="Futura"/>
      <w:sz w:val="24"/>
      <w:lang w:bidi="ar-SA"/>
    </w:rPr>
  </w:style>
  <w:style w:type="paragraph" w:styleId="P28">
    <w:name w:val="Body Text Indent 3"/>
    <w:basedOn w:val="P0"/>
    <w:pPr>
      <w:tabs>
        <w:tab w:val="left" w:pos="2552" w:leader="none"/>
      </w:tabs>
      <w:ind w:hanging="2552" w:left="2552"/>
    </w:pPr>
    <w:rPr>
      <w:rFonts w:ascii="Arial" w:hAnsi="Arial"/>
      <w:lang w:bidi="ar-SA"/>
    </w:rPr>
  </w:style>
  <w:style w:type="paragraph" w:styleId="P29">
    <w:name w:val="Balloon Text"/>
    <w:basedOn w:val="P0"/>
    <w:semiHidden/>
    <w:pPr/>
    <w:rPr>
      <w:rFonts w:ascii="Tahoma" w:hAnsi="Tahoma" w:cs="Tahoma"/>
      <w:sz w:val="16"/>
      <w:szCs w:val="16"/>
    </w:rPr>
  </w:style>
  <w:style w:type="paragraph" w:styleId="P30">
    <w:name w:val="annotation text"/>
    <w:basedOn w:val="P0"/>
    <w:link w:val="C28"/>
    <w:semiHidden/>
    <w:pPr/>
    <w:rPr/>
  </w:style>
  <w:style w:type="paragraph" w:styleId="P31">
    <w:name w:val="Abstand"/>
    <w:basedOn w:val="P0"/>
    <w:pPr>
      <w:spacing w:lineRule="auto" w:line="360" w:beforeAutospacing="0" w:afterAutospacing="0"/>
      <w:jc w:val="both"/>
    </w:pPr>
    <w:rPr>
      <w:rFonts w:ascii="Arial" w:hAnsi="Arial"/>
      <w:sz w:val="22"/>
      <w:lang w:bidi="ar-SA"/>
    </w:rPr>
  </w:style>
  <w:style w:type="paragraph" w:styleId="P32">
    <w:name w:val="Einrückung"/>
    <w:basedOn w:val="P0"/>
    <w:pPr>
      <w:ind w:left="680"/>
      <w:jc w:val="both"/>
    </w:pPr>
    <w:rPr>
      <w:rFonts w:ascii="Arial" w:hAnsi="Arial"/>
      <w:sz w:val="22"/>
      <w:lang w:bidi="ar-SA"/>
    </w:rPr>
  </w:style>
  <w:style w:type="paragraph" w:styleId="P33">
    <w:name w:val="List Paragraph"/>
    <w:basedOn w:val="P0"/>
    <w:qFormat/>
    <w:pPr>
      <w:ind w:left="708"/>
    </w:pPr>
    <w:rPr/>
  </w:style>
  <w:style w:type="paragraph" w:styleId="P34">
    <w:name w:val="Footnote Text"/>
    <w:basedOn w:val="P0"/>
    <w:link w:val="C13"/>
    <w:pPr/>
    <w:rPr/>
  </w:style>
  <w:style w:type="paragraph" w:styleId="P35">
    <w:name w:val="Normal (Web)"/>
    <w:basedOn w:val="P0"/>
    <w:pPr/>
    <w:rPr>
      <w:rFonts w:eastAsia="Calibri"/>
      <w:sz w:val="24"/>
      <w:szCs w:val="24"/>
      <w:lang w:bidi="ar-SA"/>
    </w:rPr>
  </w:style>
  <w:style w:type="paragraph" w:styleId="P36">
    <w:name w:val="LL_Tabelle_Standard"/>
    <w:basedOn w:val="P0"/>
    <w:link w:val="C17"/>
    <w:qFormat/>
    <w:pPr>
      <w:spacing w:lineRule="auto" w:line="288" w:beforeAutospacing="0" w:afterAutospacing="0"/>
    </w:pPr>
    <w:rPr>
      <w:rFonts w:ascii="Lucida Sans" w:hAnsi="Lucida Sans"/>
      <w:sz w:val="18"/>
      <w:szCs w:val="24"/>
      <w:lang w:bidi="ar-SA" w:eastAsia="en-US"/>
    </w:rPr>
  </w:style>
  <w:style w:type="paragraph" w:styleId="P37">
    <w:name w:val="Table of Figures"/>
    <w:basedOn w:val="P0"/>
    <w:next w:val="P0"/>
    <w:pPr/>
    <w:rPr/>
  </w:style>
  <w:style w:type="paragraph" w:styleId="P38">
    <w:name w:val="Salutation"/>
    <w:basedOn w:val="P0"/>
    <w:next w:val="P0"/>
    <w:link w:val="C18"/>
    <w:pPr/>
    <w:rPr/>
  </w:style>
  <w:style w:type="paragraph" w:styleId="P39">
    <w:name w:val="List Bullet"/>
    <w:basedOn w:val="P0"/>
    <w:pPr>
      <w:numPr>
        <w:numId w:val="4"/>
      </w:numPr>
      <w:contextualSpacing w:val="1"/>
    </w:pPr>
    <w:rPr/>
  </w:style>
  <w:style w:type="paragraph" w:styleId="P40">
    <w:name w:val="List Bullet 2"/>
    <w:basedOn w:val="P0"/>
    <w:pPr>
      <w:numPr>
        <w:numId w:val="5"/>
      </w:numPr>
      <w:contextualSpacing w:val="1"/>
    </w:pPr>
    <w:rPr/>
  </w:style>
  <w:style w:type="paragraph" w:styleId="P41">
    <w:name w:val="List Bullet 3"/>
    <w:basedOn w:val="P0"/>
    <w:pPr>
      <w:numPr>
        <w:numId w:val="6"/>
      </w:numPr>
      <w:contextualSpacing w:val="1"/>
    </w:pPr>
    <w:rPr/>
  </w:style>
  <w:style w:type="paragraph" w:styleId="P42">
    <w:name w:val="List Bullet 4"/>
    <w:basedOn w:val="P0"/>
    <w:pPr>
      <w:numPr>
        <w:numId w:val="7"/>
      </w:numPr>
      <w:contextualSpacing w:val="1"/>
    </w:pPr>
    <w:rPr/>
  </w:style>
  <w:style w:type="paragraph" w:styleId="P43">
    <w:name w:val="List Bullet 5"/>
    <w:basedOn w:val="P0"/>
    <w:pPr>
      <w:numPr>
        <w:numId w:val="8"/>
      </w:numPr>
      <w:contextualSpacing w:val="1"/>
    </w:pPr>
    <w:rPr/>
  </w:style>
  <w:style w:type="paragraph" w:styleId="P44">
    <w:name w:val="Date"/>
    <w:basedOn w:val="P0"/>
    <w:next w:val="P0"/>
    <w:link w:val="C19"/>
    <w:pPr/>
    <w:rPr/>
  </w:style>
  <w:style w:type="paragraph" w:styleId="P45">
    <w:name w:val="Document Map"/>
    <w:basedOn w:val="P0"/>
    <w:link w:val="C20"/>
    <w:pPr/>
    <w:rPr>
      <w:rFonts w:ascii="Segoe UI" w:hAnsi="Segoe UI" w:cs="Segoe UI"/>
      <w:sz w:val="16"/>
      <w:szCs w:val="16"/>
    </w:rPr>
  </w:style>
  <w:style w:type="paragraph" w:styleId="P46">
    <w:name w:val="E-mail Signature"/>
    <w:basedOn w:val="P0"/>
    <w:link w:val="C21"/>
    <w:pPr/>
    <w:rPr/>
  </w:style>
  <w:style w:type="paragraph" w:styleId="P47">
    <w:name w:val="Endnote Text"/>
    <w:basedOn w:val="P0"/>
    <w:link w:val="C22"/>
    <w:pPr/>
    <w:rPr/>
  </w:style>
  <w:style w:type="paragraph" w:styleId="P48">
    <w:name w:val="Note Heading"/>
    <w:basedOn w:val="P0"/>
    <w:next w:val="P0"/>
    <w:link w:val="C23"/>
    <w:pPr/>
    <w:rPr/>
  </w:style>
  <w:style w:type="paragraph" w:styleId="P49">
    <w:name w:val="Closing"/>
    <w:basedOn w:val="P0"/>
    <w:link w:val="C24"/>
    <w:pPr>
      <w:ind w:left="4252"/>
    </w:pPr>
    <w:rPr/>
  </w:style>
  <w:style w:type="paragraph" w:styleId="P50">
    <w:name w:val="HTML Address"/>
    <w:basedOn w:val="P0"/>
    <w:link w:val="C25"/>
    <w:pPr/>
    <w:rPr>
      <w:i w:val="1"/>
      <w:iCs w:val="1"/>
    </w:rPr>
  </w:style>
  <w:style w:type="paragraph" w:styleId="P51">
    <w:name w:val="HTML Preformatted"/>
    <w:basedOn w:val="P0"/>
    <w:link w:val="C26"/>
    <w:pPr/>
    <w:rPr>
      <w:rFonts w:ascii="Courier New" w:hAnsi="Courier New" w:cs="Courier New"/>
    </w:rPr>
  </w:style>
  <w:style w:type="paragraph" w:styleId="P52">
    <w:name w:val="Index 1"/>
    <w:basedOn w:val="P0"/>
    <w:next w:val="P0"/>
    <w:pPr>
      <w:ind w:hanging="200" w:left="200"/>
    </w:pPr>
    <w:rPr/>
  </w:style>
  <w:style w:type="paragraph" w:styleId="P53">
    <w:name w:val="Index 2"/>
    <w:basedOn w:val="P0"/>
    <w:next w:val="P0"/>
    <w:pPr>
      <w:ind w:hanging="200" w:left="400"/>
    </w:pPr>
    <w:rPr/>
  </w:style>
  <w:style w:type="paragraph" w:styleId="P54">
    <w:name w:val="Index 3"/>
    <w:basedOn w:val="P0"/>
    <w:next w:val="P0"/>
    <w:pPr>
      <w:ind w:hanging="200" w:left="600"/>
    </w:pPr>
    <w:rPr/>
  </w:style>
  <w:style w:type="paragraph" w:styleId="P55">
    <w:name w:val="Index 4"/>
    <w:basedOn w:val="P0"/>
    <w:next w:val="P0"/>
    <w:pPr>
      <w:ind w:hanging="200" w:left="800"/>
    </w:pPr>
    <w:rPr/>
  </w:style>
  <w:style w:type="paragraph" w:styleId="P56">
    <w:name w:val="Index 5"/>
    <w:basedOn w:val="P0"/>
    <w:next w:val="P0"/>
    <w:pPr>
      <w:ind w:hanging="200" w:left="1000"/>
    </w:pPr>
    <w:rPr/>
  </w:style>
  <w:style w:type="paragraph" w:styleId="P57">
    <w:name w:val="Index 6"/>
    <w:basedOn w:val="P0"/>
    <w:next w:val="P0"/>
    <w:pPr>
      <w:ind w:hanging="200" w:left="1200"/>
    </w:pPr>
    <w:rPr/>
  </w:style>
  <w:style w:type="paragraph" w:styleId="P58">
    <w:name w:val="Index 7"/>
    <w:basedOn w:val="P0"/>
    <w:next w:val="P0"/>
    <w:pPr>
      <w:ind w:hanging="200" w:left="1400"/>
    </w:pPr>
    <w:rPr/>
  </w:style>
  <w:style w:type="paragraph" w:styleId="P59">
    <w:name w:val="Index 8"/>
    <w:basedOn w:val="P0"/>
    <w:next w:val="P0"/>
    <w:pPr>
      <w:ind w:hanging="200" w:left="1600"/>
    </w:pPr>
    <w:rPr/>
  </w:style>
  <w:style w:type="paragraph" w:styleId="P60">
    <w:name w:val="Index 9"/>
    <w:basedOn w:val="P0"/>
    <w:next w:val="P0"/>
    <w:pPr>
      <w:ind w:hanging="200" w:left="1800"/>
    </w:pPr>
    <w:rPr/>
  </w:style>
  <w:style w:type="paragraph" w:styleId="P61">
    <w:name w:val="Index Heading"/>
    <w:basedOn w:val="P0"/>
    <w:next w:val="P52"/>
    <w:pPr/>
    <w:rPr>
      <w:rFonts w:ascii="Calibri Light" w:hAnsi="Calibri Light"/>
      <w:b w:val="1"/>
      <w:bCs w:val="1"/>
    </w:rPr>
  </w:style>
  <w:style w:type="paragraph" w:styleId="P62">
    <w:name w:val="TOC Heading"/>
    <w:basedOn w:val="P1"/>
    <w:next w:val="P0"/>
    <w:semiHidden/>
    <w:qFormat/>
    <w:pPr>
      <w:spacing w:before="240" w:after="60" w:beforeAutospacing="0" w:afterAutospacing="0"/>
      <w:outlineLvl w:val="9"/>
    </w:pPr>
    <w:rPr>
      <w:rFonts w:ascii="Calibri Light" w:hAnsi="Calibri Light"/>
      <w:sz w:val="32"/>
      <w:szCs w:val="32"/>
      <w:kern w:val="32"/>
    </w:rPr>
  </w:style>
  <w:style w:type="paragraph" w:styleId="P63">
    <w:name w:val="Intense Quote"/>
    <w:basedOn w:val="P0"/>
    <w:next w:val="P0"/>
    <w:link w:val="C27"/>
    <w:qFormat/>
    <w:pPr>
      <w:pBdr>
        <w:top w:val="single" w:sz="4" w:space="10" w:shadow="0" w:frame="0" w:color="5B9BD5"/>
        <w:left w:val="none" w:sz="0" w:space="0" w:shadow="0" w:frame="0" w:color="auto"/>
        <w:bottom w:val="single" w:sz="4" w:space="10" w:shadow="0" w:frame="0" w:color="5B9BD5"/>
        <w:right w:val="none" w:sz="0" w:space="0" w:shadow="0" w:frame="0" w:color="auto"/>
        <w:between w:val="none" w:sz="0" w:space="0" w:shadow="0" w:frame="0" w:color="auto"/>
      </w:pBdr>
      <w:spacing w:before="360" w:after="360" w:beforeAutospacing="0" w:afterAutospacing="0"/>
      <w:ind w:left="864" w:right="864"/>
      <w:jc w:val="center"/>
    </w:pPr>
    <w:rPr>
      <w:i w:val="1"/>
      <w:iCs w:val="1"/>
      <w:color w:val="5B9BD5"/>
    </w:rPr>
  </w:style>
  <w:style w:type="paragraph" w:styleId="P64">
    <w:name w:val="No Spacing"/>
    <w:qFormat/>
    <w:pPr/>
    <w:rPr>
      <w:lang w:bidi="he-IL"/>
    </w:rPr>
  </w:style>
  <w:style w:type="paragraph" w:styleId="P65">
    <w:name w:val="annotation subject"/>
    <w:basedOn w:val="P30"/>
    <w:next w:val="P30"/>
    <w:link w:val="C29"/>
    <w:pPr/>
    <w:rPr>
      <w:b w:val="1"/>
      <w:bCs w:val="1"/>
    </w:rPr>
  </w:style>
  <w:style w:type="paragraph" w:styleId="P66">
    <w:name w:val="List"/>
    <w:basedOn w:val="P0"/>
    <w:pPr>
      <w:ind w:hanging="283" w:left="283"/>
      <w:contextualSpacing w:val="1"/>
    </w:pPr>
    <w:rPr/>
  </w:style>
  <w:style w:type="paragraph" w:styleId="P67">
    <w:name w:val="List 2"/>
    <w:basedOn w:val="P0"/>
    <w:pPr>
      <w:ind w:hanging="283" w:left="566"/>
      <w:contextualSpacing w:val="1"/>
    </w:pPr>
    <w:rPr/>
  </w:style>
  <w:style w:type="paragraph" w:styleId="P68">
    <w:name w:val="List 3"/>
    <w:basedOn w:val="P0"/>
    <w:pPr>
      <w:ind w:hanging="283" w:left="849"/>
      <w:contextualSpacing w:val="1"/>
    </w:pPr>
    <w:rPr/>
  </w:style>
  <w:style w:type="paragraph" w:styleId="P69">
    <w:name w:val="List 4"/>
    <w:basedOn w:val="P0"/>
    <w:pPr>
      <w:ind w:hanging="283" w:left="1132"/>
      <w:contextualSpacing w:val="1"/>
    </w:pPr>
    <w:rPr/>
  </w:style>
  <w:style w:type="paragraph" w:styleId="P70">
    <w:name w:val="List 5"/>
    <w:basedOn w:val="P0"/>
    <w:pPr>
      <w:ind w:hanging="283" w:left="1415"/>
      <w:contextualSpacing w:val="1"/>
    </w:pPr>
    <w:rPr/>
  </w:style>
  <w:style w:type="paragraph" w:styleId="P71">
    <w:name w:val="List Continue"/>
    <w:basedOn w:val="P0"/>
    <w:pPr>
      <w:spacing w:after="120" w:beforeAutospacing="0" w:afterAutospacing="0"/>
      <w:ind w:left="283"/>
      <w:contextualSpacing w:val="1"/>
    </w:pPr>
    <w:rPr/>
  </w:style>
  <w:style w:type="paragraph" w:styleId="P72">
    <w:name w:val="List Continue 2"/>
    <w:basedOn w:val="P0"/>
    <w:pPr>
      <w:spacing w:after="120" w:beforeAutospacing="0" w:afterAutospacing="0"/>
      <w:ind w:left="566"/>
      <w:contextualSpacing w:val="1"/>
    </w:pPr>
    <w:rPr/>
  </w:style>
  <w:style w:type="paragraph" w:styleId="P73">
    <w:name w:val="List Continue 3"/>
    <w:basedOn w:val="P0"/>
    <w:pPr>
      <w:spacing w:after="120" w:beforeAutospacing="0" w:afterAutospacing="0"/>
      <w:ind w:left="849"/>
      <w:contextualSpacing w:val="1"/>
    </w:pPr>
    <w:rPr/>
  </w:style>
  <w:style w:type="paragraph" w:styleId="P74">
    <w:name w:val="List Continue 4"/>
    <w:basedOn w:val="P0"/>
    <w:pPr>
      <w:spacing w:after="120" w:beforeAutospacing="0" w:afterAutospacing="0"/>
      <w:ind w:left="1132"/>
      <w:contextualSpacing w:val="1"/>
    </w:pPr>
    <w:rPr/>
  </w:style>
  <w:style w:type="paragraph" w:styleId="P75">
    <w:name w:val="List Continue 5"/>
    <w:basedOn w:val="P0"/>
    <w:pPr>
      <w:spacing w:after="120" w:beforeAutospacing="0" w:afterAutospacing="0"/>
      <w:ind w:left="1415"/>
      <w:contextualSpacing w:val="1"/>
    </w:pPr>
    <w:rPr/>
  </w:style>
  <w:style w:type="paragraph" w:styleId="P76">
    <w:name w:val="List Number"/>
    <w:basedOn w:val="P0"/>
    <w:pPr>
      <w:numPr>
        <w:numId w:val="9"/>
      </w:numPr>
      <w:contextualSpacing w:val="1"/>
    </w:pPr>
    <w:rPr/>
  </w:style>
  <w:style w:type="paragraph" w:styleId="P77">
    <w:name w:val="List Number 2"/>
    <w:basedOn w:val="P0"/>
    <w:pPr>
      <w:numPr>
        <w:numId w:val="10"/>
      </w:numPr>
      <w:contextualSpacing w:val="1"/>
    </w:pPr>
    <w:rPr/>
  </w:style>
  <w:style w:type="paragraph" w:styleId="P78">
    <w:name w:val="List Number 3"/>
    <w:basedOn w:val="P0"/>
    <w:pPr>
      <w:numPr>
        <w:numId w:val="11"/>
      </w:numPr>
      <w:contextualSpacing w:val="1"/>
    </w:pPr>
    <w:rPr/>
  </w:style>
  <w:style w:type="paragraph" w:styleId="P79">
    <w:name w:val="List Number 4"/>
    <w:basedOn w:val="P0"/>
    <w:pPr>
      <w:numPr>
        <w:numId w:val="12"/>
      </w:numPr>
      <w:contextualSpacing w:val="1"/>
    </w:pPr>
    <w:rPr/>
  </w:style>
  <w:style w:type="paragraph" w:styleId="P80">
    <w:name w:val="List Number 5"/>
    <w:basedOn w:val="P0"/>
    <w:pPr>
      <w:numPr>
        <w:numId w:val="13"/>
      </w:numPr>
      <w:contextualSpacing w:val="1"/>
    </w:pPr>
    <w:rPr/>
  </w:style>
  <w:style w:type="paragraph" w:styleId="P81">
    <w:name w:val="Bibliography"/>
    <w:basedOn w:val="P0"/>
    <w:next w:val="P0"/>
    <w:semiHidden/>
    <w:pPr/>
    <w:rPr/>
  </w:style>
  <w:style w:type="paragraph" w:styleId="P82">
    <w:name w:val="macro"/>
    <w:link w:val="C30"/>
    <w:pPr>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pPr>
    <w:rPr>
      <w:rFonts w:ascii="Courier New" w:hAnsi="Courier New" w:cs="Courier New"/>
      <w:lang w:bidi="he-IL"/>
    </w:rPr>
  </w:style>
  <w:style w:type="paragraph" w:styleId="P83">
    <w:name w:val="Message Header"/>
    <w:basedOn w:val="P0"/>
    <w:link w:val="C31"/>
    <w:pPr>
      <w:pBdr>
        <w:top w:val="single" w:sz="6" w:space="1" w:shadow="0" w:frame="0" w:color="auto"/>
        <w:left w:val="single" w:sz="6" w:space="1" w:shadow="0" w:frame="0" w:color="auto"/>
        <w:bottom w:val="single" w:sz="6" w:space="1" w:shadow="0" w:frame="0" w:color="auto"/>
        <w:right w:val="single" w:sz="6" w:space="1" w:shadow="0" w:frame="0" w:color="auto"/>
        <w:between w:val="none" w:sz="0" w:space="0" w:shadow="0" w:frame="0" w:color="auto"/>
      </w:pBdr>
      <w:shd w:val="pct20" w:fill="auto"/>
      <w:ind w:hanging="1134" w:left="1134"/>
    </w:pPr>
    <w:rPr>
      <w:rFonts w:ascii="Calibri Light" w:hAnsi="Calibri Light"/>
      <w:sz w:val="24"/>
      <w:szCs w:val="24"/>
    </w:rPr>
  </w:style>
  <w:style w:type="paragraph" w:styleId="P84">
    <w:name w:val="Table of Authorities"/>
    <w:basedOn w:val="P0"/>
    <w:next w:val="P0"/>
    <w:pPr>
      <w:ind w:hanging="200" w:left="200"/>
    </w:pPr>
    <w:rPr/>
  </w:style>
  <w:style w:type="paragraph" w:styleId="P85">
    <w:name w:val="TOA Heading"/>
    <w:basedOn w:val="P0"/>
    <w:next w:val="P0"/>
    <w:pPr>
      <w:spacing w:before="120" w:beforeAutospacing="0" w:afterAutospacing="0"/>
    </w:pPr>
    <w:rPr>
      <w:rFonts w:ascii="Calibri Light" w:hAnsi="Calibri Light"/>
      <w:b w:val="1"/>
      <w:bCs w:val="1"/>
      <w:sz w:val="24"/>
      <w:szCs w:val="24"/>
    </w:rPr>
  </w:style>
  <w:style w:type="paragraph" w:styleId="P86">
    <w:name w:val="Normal Indent"/>
    <w:basedOn w:val="P0"/>
    <w:pPr>
      <w:ind w:left="708"/>
    </w:pPr>
    <w:rPr/>
  </w:style>
  <w:style w:type="paragraph" w:styleId="P87">
    <w:name w:val="Body Text First Indent"/>
    <w:basedOn w:val="P18"/>
    <w:link w:val="C32"/>
    <w:pPr>
      <w:spacing w:after="120" w:beforeAutospacing="0" w:afterAutospacing="0"/>
      <w:ind w:firstLine="210"/>
    </w:pPr>
    <w:rPr>
      <w:rFonts w:ascii="Times New Roman" w:hAnsi="Times New Roman" w:cs="Times New Roman"/>
      <w:color w:val="auto"/>
    </w:rPr>
  </w:style>
  <w:style w:type="paragraph" w:styleId="P88">
    <w:name w:val="Body Text First Indent 2"/>
    <w:basedOn w:val="P24"/>
    <w:link w:val="C34"/>
    <w:pPr>
      <w:spacing w:after="120" w:beforeAutospacing="0" w:afterAutospacing="0"/>
      <w:ind w:firstLine="210" w:left="283"/>
    </w:pPr>
    <w:rPr>
      <w:rFonts w:ascii="Times New Roman" w:hAnsi="Times New Roman"/>
    </w:rPr>
  </w:style>
  <w:style w:type="paragraph" w:styleId="P89">
    <w:name w:val="Envelope Return"/>
    <w:basedOn w:val="P0"/>
    <w:pPr/>
    <w:rPr>
      <w:rFonts w:ascii="Calibri Light" w:hAnsi="Calibri Light"/>
    </w:rPr>
  </w:style>
  <w:style w:type="paragraph" w:styleId="P90">
    <w:name w:val="Envelope Address"/>
    <w:basedOn w:val="P0"/>
    <w:pPr>
      <w:framePr w:w="4320" w:h="2160" w:hRule="exact" w:hSpace="141" w:wrap="auto" w:vAnchor="margin" w:hAnchor="page" w:x="0" w:xAlign="center" w:yAlign="bottom"/>
      <w:ind w:left="1"/>
    </w:pPr>
    <w:rPr>
      <w:rFonts w:ascii="Calibri Light" w:hAnsi="Calibri Light"/>
      <w:sz w:val="24"/>
      <w:szCs w:val="24"/>
    </w:rPr>
  </w:style>
  <w:style w:type="paragraph" w:styleId="P91">
    <w:name w:val="Signature"/>
    <w:basedOn w:val="P0"/>
    <w:link w:val="C35"/>
    <w:pPr>
      <w:ind w:left="4252"/>
    </w:pPr>
    <w:rPr/>
  </w:style>
  <w:style w:type="paragraph" w:styleId="P92">
    <w:name w:val="Subtitle"/>
    <w:basedOn w:val="P0"/>
    <w:next w:val="P0"/>
    <w:link w:val="C36"/>
    <w:qFormat/>
    <w:pPr>
      <w:spacing w:after="60" w:beforeAutospacing="0" w:afterAutospacing="0"/>
      <w:jc w:val="center"/>
      <w:outlineLvl w:val="1"/>
    </w:pPr>
    <w:rPr>
      <w:rFonts w:ascii="Calibri Light" w:hAnsi="Calibri Light"/>
      <w:sz w:val="24"/>
      <w:szCs w:val="24"/>
    </w:rPr>
  </w:style>
  <w:style w:type="paragraph" w:styleId="P93">
    <w:name w:val="TOC 1"/>
    <w:basedOn w:val="P0"/>
    <w:next w:val="P0"/>
    <w:pPr/>
    <w:rPr/>
  </w:style>
  <w:style w:type="paragraph" w:styleId="P94">
    <w:name w:val="TOC 2"/>
    <w:basedOn w:val="P0"/>
    <w:next w:val="P0"/>
    <w:pPr>
      <w:ind w:left="200"/>
    </w:pPr>
    <w:rPr/>
  </w:style>
  <w:style w:type="paragraph" w:styleId="P95">
    <w:name w:val="TOC 3"/>
    <w:basedOn w:val="P0"/>
    <w:next w:val="P0"/>
    <w:pPr>
      <w:ind w:left="400"/>
    </w:pPr>
    <w:rPr/>
  </w:style>
  <w:style w:type="paragraph" w:styleId="P96">
    <w:name w:val="TOC 4"/>
    <w:basedOn w:val="P0"/>
    <w:next w:val="P0"/>
    <w:pPr>
      <w:ind w:left="600"/>
    </w:pPr>
    <w:rPr/>
  </w:style>
  <w:style w:type="paragraph" w:styleId="P97">
    <w:name w:val="TOC 5"/>
    <w:basedOn w:val="P0"/>
    <w:next w:val="P0"/>
    <w:pPr>
      <w:ind w:left="800"/>
    </w:pPr>
    <w:rPr/>
  </w:style>
  <w:style w:type="paragraph" w:styleId="P98">
    <w:name w:val="TOC 6"/>
    <w:basedOn w:val="P0"/>
    <w:next w:val="P0"/>
    <w:pPr>
      <w:ind w:left="1000"/>
    </w:pPr>
    <w:rPr/>
  </w:style>
  <w:style w:type="paragraph" w:styleId="P99">
    <w:name w:val="TOC 7"/>
    <w:basedOn w:val="P0"/>
    <w:next w:val="P0"/>
    <w:pPr>
      <w:ind w:left="1200"/>
    </w:pPr>
    <w:rPr/>
  </w:style>
  <w:style w:type="paragraph" w:styleId="P100">
    <w:name w:val="TOC 8"/>
    <w:basedOn w:val="P0"/>
    <w:next w:val="P0"/>
    <w:pPr>
      <w:ind w:left="1400"/>
    </w:pPr>
    <w:rPr/>
  </w:style>
  <w:style w:type="paragraph" w:styleId="P101">
    <w:name w:val="TOC 9"/>
    <w:basedOn w:val="P0"/>
    <w:next w:val="P0"/>
    <w:pPr>
      <w:ind w:left="1600"/>
    </w:pPr>
    <w:rPr/>
  </w:style>
  <w:style w:type="paragraph" w:styleId="P102">
    <w:name w:val="Quote"/>
    <w:basedOn w:val="P0"/>
    <w:next w:val="P0"/>
    <w:link w:val="C37"/>
    <w:qFormat/>
    <w:pPr>
      <w:spacing w:before="200" w:after="160" w:beforeAutospacing="0" w:afterAutospacing="0"/>
      <w:ind w:left="864" w:right="864"/>
      <w:jc w:val="center"/>
    </w:pPr>
    <w:rPr>
      <w:i w:val="1"/>
      <w:iCs w:val="1"/>
      <w:color w:val="404040"/>
    </w:rPr>
  </w:style>
  <w:style w:type="paragraph" w:styleId="P103">
    <w:name w:val="Farbige Liste - Akzent 11"/>
    <w:basedOn w:val="P0"/>
    <w:qFormat/>
    <w:pPr>
      <w:ind w:left="708"/>
    </w:pPr>
    <w:rPr>
      <w:lang w:val="en-GB" w:bidi="en-GB" w:eastAsia="en-GB"/>
    </w:rPr>
  </w:style>
  <w:style w:type="paragraph" w:styleId="P104">
    <w:name w:val="Revision"/>
    <w:hidden/>
    <w:semiHidden/>
    <w:pPr/>
    <w:rPr>
      <w:lang w:val="en-GB" w:bidi="en-GB" w:eastAsia="en-GB"/>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character" w:styleId="C4">
    <w:name w:val="normal1"/>
    <w:rPr>
      <w:rFonts w:ascii="Arial" w:hAnsi="Arial" w:cs="Arial" w:hint="default"/>
      <w:sz w:val="17"/>
      <w:szCs w:val="17"/>
    </w:rPr>
  </w:style>
  <w:style w:type="character" w:styleId="C5">
    <w:name w:val="HTML Typewriter"/>
    <w:rPr>
      <w:rFonts w:ascii="Courier" w:hAnsi="Courier" w:cs="Arial Unicode MS" w:eastAsia="Arial Unicode MS" w:hint="default"/>
      <w:color w:val="002B4C"/>
      <w:sz w:val="27"/>
      <w:szCs w:val="27"/>
    </w:rPr>
  </w:style>
  <w:style w:type="character" w:styleId="C6">
    <w:name w:val="annotation reference"/>
    <w:semiHidden/>
    <w:rPr>
      <w:sz w:val="16"/>
      <w:szCs w:val="16"/>
    </w:rPr>
  </w:style>
  <w:style w:type="character" w:styleId="C7">
    <w:name w:val="FollowedHyperlink"/>
    <w:rPr>
      <w:color w:val="800080"/>
      <w:u w:val="single"/>
    </w:rPr>
  </w:style>
  <w:style w:type="character" w:styleId="C8">
    <w:name w:val="Header Char"/>
    <w:aliases w:val="Unterstreichen Char1,Unterstreichen Char Char"/>
    <w:link w:val="P10"/>
    <w:rPr>
      <w:lang w:bidi="he-IL"/>
    </w:rPr>
  </w:style>
  <w:style w:type="character" w:styleId="C9">
    <w:name w:val="Kopfzeile Zchn1"/>
    <w:aliases w:val="Unterstreichen Zchn1,Unterstreichen Char Zchn1"/>
    <w:rPr>
      <w:lang w:val="de-DE" w:bidi="he-IL" w:eastAsia="de-DE"/>
    </w:rPr>
  </w:style>
  <w:style w:type="character" w:styleId="C10">
    <w:name w:val="a.kaemmerle"/>
    <w:semiHidden/>
    <w:rPr>
      <w:rFonts w:ascii="Arial" w:hAnsi="Arial" w:cs="Arial"/>
      <w:color w:val="auto"/>
      <w:sz w:val="20"/>
      <w:szCs w:val="20"/>
    </w:rPr>
  </w:style>
  <w:style w:type="character" w:styleId="C11">
    <w:name w:val="Body Text Char"/>
    <w:link w:val="P18"/>
    <w:rPr>
      <w:rFonts w:ascii="Arial" w:hAnsi="Arial" w:cs="Arial"/>
      <w:color w:val="0000FF"/>
      <w:lang w:bidi="he-IL"/>
    </w:rPr>
  </w:style>
  <w:style w:type="character" w:styleId="C12">
    <w:name w:val="Heading 6 Char"/>
    <w:link w:val="P6"/>
    <w:rPr>
      <w:rFonts w:ascii="Arial" w:hAnsi="Arial"/>
      <w:b w:val="1"/>
      <w:sz w:val="44"/>
      <w:lang w:bidi="he-IL"/>
    </w:rPr>
  </w:style>
  <w:style w:type="character" w:styleId="C13">
    <w:name w:val="Footnote Text Char"/>
    <w:link w:val="P34"/>
    <w:rPr>
      <w:lang w:bidi="he-IL"/>
    </w:rPr>
  </w:style>
  <w:style w:type="character" w:styleId="C14">
    <w:name w:val="Footnote Reference"/>
    <w:rPr>
      <w:vertAlign w:val="superscript"/>
    </w:rPr>
  </w:style>
  <w:style w:type="character" w:styleId="C15">
    <w:name w:val="Body Text 3 Char"/>
    <w:link w:val="P21"/>
    <w:rPr>
      <w:rFonts w:ascii="Arial" w:hAnsi="Arial" w:cs="Arial"/>
      <w:color w:val="FF0000"/>
      <w:lang w:bidi="he-IL"/>
    </w:rPr>
  </w:style>
  <w:style w:type="character" w:styleId="C16">
    <w:name w:val="Heading 1 Char"/>
    <w:link w:val="P1"/>
    <w:rPr>
      <w:rFonts w:ascii="Arial" w:hAnsi="Arial"/>
      <w:b w:val="1"/>
      <w:bCs w:val="1"/>
      <w:lang w:bidi="he-IL"/>
    </w:rPr>
  </w:style>
  <w:style w:type="character" w:styleId="C17">
    <w:name w:val="LL_Tabelle_Standard Zchn"/>
    <w:link w:val="P36"/>
    <w:rPr>
      <w:rFonts w:ascii="Lucida Sans" w:hAnsi="Lucida Sans"/>
      <w:sz w:val="18"/>
      <w:szCs w:val="24"/>
      <w:lang w:eastAsia="en-US"/>
    </w:rPr>
  </w:style>
  <w:style w:type="character" w:styleId="C18">
    <w:name w:val="Salutation Char"/>
    <w:link w:val="P38"/>
    <w:rPr>
      <w:lang w:bidi="he-IL"/>
    </w:rPr>
  </w:style>
  <w:style w:type="character" w:styleId="C19">
    <w:name w:val="Date Char"/>
    <w:link w:val="P44"/>
    <w:rPr>
      <w:lang w:bidi="he-IL"/>
    </w:rPr>
  </w:style>
  <w:style w:type="character" w:styleId="C20">
    <w:name w:val="Document Map Char"/>
    <w:link w:val="P45"/>
    <w:rPr>
      <w:rFonts w:ascii="Segoe UI" w:hAnsi="Segoe UI" w:cs="Segoe UI"/>
      <w:sz w:val="16"/>
      <w:szCs w:val="16"/>
      <w:lang w:bidi="he-IL"/>
    </w:rPr>
  </w:style>
  <w:style w:type="character" w:styleId="C21">
    <w:name w:val="E-mail Signature Char"/>
    <w:link w:val="P46"/>
    <w:rPr>
      <w:lang w:bidi="he-IL"/>
    </w:rPr>
  </w:style>
  <w:style w:type="character" w:styleId="C22">
    <w:name w:val="Endnote Text Char"/>
    <w:link w:val="P47"/>
    <w:rPr>
      <w:lang w:bidi="he-IL"/>
    </w:rPr>
  </w:style>
  <w:style w:type="character" w:styleId="C23">
    <w:name w:val="Note Heading Char"/>
    <w:link w:val="P48"/>
    <w:rPr>
      <w:lang w:bidi="he-IL"/>
    </w:rPr>
  </w:style>
  <w:style w:type="character" w:styleId="C24">
    <w:name w:val="Closing Char"/>
    <w:link w:val="P49"/>
    <w:rPr>
      <w:lang w:bidi="he-IL"/>
    </w:rPr>
  </w:style>
  <w:style w:type="character" w:styleId="C25">
    <w:name w:val="HTML Address Char"/>
    <w:link w:val="P50"/>
    <w:rPr>
      <w:i w:val="1"/>
      <w:iCs w:val="1"/>
      <w:lang w:bidi="he-IL"/>
    </w:rPr>
  </w:style>
  <w:style w:type="character" w:styleId="C26">
    <w:name w:val="HTML Preformatted Char"/>
    <w:link w:val="P51"/>
    <w:rPr>
      <w:rFonts w:ascii="Courier New" w:hAnsi="Courier New" w:cs="Courier New"/>
      <w:lang w:bidi="he-IL"/>
    </w:rPr>
  </w:style>
  <w:style w:type="character" w:styleId="C27">
    <w:name w:val="Intense Quote Char"/>
    <w:link w:val="P63"/>
    <w:rPr>
      <w:i w:val="1"/>
      <w:iCs w:val="1"/>
      <w:color w:val="5B9BD5"/>
      <w:lang w:bidi="he-IL"/>
    </w:rPr>
  </w:style>
  <w:style w:type="character" w:styleId="C28">
    <w:name w:val="Comment Text Char"/>
    <w:link w:val="P30"/>
    <w:semiHidden/>
    <w:rPr>
      <w:lang w:bidi="he-IL"/>
    </w:rPr>
  </w:style>
  <w:style w:type="character" w:styleId="C29">
    <w:name w:val="Comment Subject Char"/>
    <w:link w:val="P65"/>
    <w:rPr>
      <w:b w:val="1"/>
      <w:bCs w:val="1"/>
      <w:lang w:bidi="he-IL"/>
    </w:rPr>
  </w:style>
  <w:style w:type="character" w:styleId="C30">
    <w:name w:val="Macro Text Char"/>
    <w:link w:val="P82"/>
    <w:rPr>
      <w:rFonts w:ascii="Courier New" w:hAnsi="Courier New" w:cs="Courier New"/>
      <w:lang w:bidi="he-IL"/>
    </w:rPr>
  </w:style>
  <w:style w:type="character" w:styleId="C31">
    <w:name w:val="Message Header Char"/>
    <w:link w:val="P83"/>
    <w:rPr>
      <w:rFonts w:ascii="Calibri Light" w:hAnsi="Calibri Light" w:cs="Times New Roman" w:eastAsia="Times New Roman"/>
      <w:sz w:val="24"/>
      <w:szCs w:val="24"/>
      <w:shd w:val="pct20" w:color="auto" w:fill="auto"/>
      <w:lang w:bidi="he-IL"/>
    </w:rPr>
  </w:style>
  <w:style w:type="character" w:styleId="C32">
    <w:name w:val="Body Text First Indent Char"/>
    <w:basedOn w:val="C11"/>
    <w:link w:val="P87"/>
    <w:rPr>
      <w:rFonts w:ascii="Arial" w:hAnsi="Arial" w:cs="Arial"/>
      <w:color w:val="0000FF"/>
      <w:lang w:bidi="he-IL"/>
    </w:rPr>
  </w:style>
  <w:style w:type="character" w:styleId="C33">
    <w:name w:val="Body Text Indent Char"/>
    <w:link w:val="P24"/>
    <w:rPr>
      <w:rFonts w:ascii="Arial" w:hAnsi="Arial"/>
      <w:lang w:bidi="he-IL"/>
    </w:rPr>
  </w:style>
  <w:style w:type="character" w:styleId="C34">
    <w:name w:val="Body Text First Indent 2 Char"/>
    <w:basedOn w:val="C33"/>
    <w:link w:val="P88"/>
    <w:rPr>
      <w:rFonts w:ascii="Arial" w:hAnsi="Arial"/>
      <w:lang w:bidi="he-IL"/>
    </w:rPr>
  </w:style>
  <w:style w:type="character" w:styleId="C35">
    <w:name w:val="Signature Char"/>
    <w:link w:val="P91"/>
    <w:rPr>
      <w:lang w:bidi="he-IL"/>
    </w:rPr>
  </w:style>
  <w:style w:type="character" w:styleId="C36">
    <w:name w:val="Subtitle Char"/>
    <w:link w:val="P92"/>
    <w:rPr>
      <w:rFonts w:ascii="Calibri Light" w:hAnsi="Calibri Light" w:cs="Times New Roman" w:eastAsia="Times New Roman"/>
      <w:sz w:val="24"/>
      <w:szCs w:val="24"/>
      <w:lang w:bidi="he-IL"/>
    </w:rPr>
  </w:style>
  <w:style w:type="character" w:styleId="C37">
    <w:name w:val="Quote Char"/>
    <w:link w:val="P102"/>
    <w:rPr>
      <w:i w:val="1"/>
      <w:iCs w:val="1"/>
      <w:color w:val="404040"/>
      <w:lang w:bidi="he-IL"/>
    </w:rPr>
  </w:style>
  <w:style w:type="character" w:styleId="C38">
    <w:name w:val="Footer Char"/>
    <w:link w:val="P11"/>
    <w:rPr>
      <w:lang w:bidi="he-IL"/>
    </w:rPr>
  </w:style>
  <w:style w:type="character" w:styleId="C39">
    <w:name w:val="Nicht aufgelöste Erwähnung1"/>
    <w:basedOn w:val="C0"/>
    <w:semiHidden/>
    <w:rPr>
      <w:color w:val="808080"/>
      <w:shd w:val="clear" w:color="auto" w:fill="E6E6E6"/>
    </w:rPr>
  </w:style>
  <w:style w:type="character" w:styleId="C40">
    <w:name w:val="apple-converted-space"/>
    <w:rPr/>
  </w:style>
  <w:style w:type="character" w:styleId="C41">
    <w:name w:val="Unresolved Mention1"/>
    <w:basedOn w:val="C0"/>
    <w:semiHidden/>
    <w:rPr>
      <w:color w:val="605E5C"/>
      <w:shd w:val="clear" w:color="auto" w:fill="E1DFDD"/>
    </w:rPr>
  </w:style>
  <w:style w:type="character" w:styleId="C42">
    <w:name w:val="Unresolved Mention11"/>
    <w:basedOn w:val="C0"/>
    <w:semiHidden/>
    <w:rPr>
      <w:color w:val="605E5C"/>
      <w:shd w:val="clear" w:color="auto" w:fill="E1DFDD"/>
    </w:rPr>
  </w:style>
  <w:style w:type="character" w:styleId="C43">
    <w:name w:val="Endnote Reference"/>
    <w:semiHidden/>
    <w:rPr>
      <w:vertAlign w:val="superscript"/>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ellenraster1"/>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table" w:styleId="T3">
    <w:name w:val="Table Grid"/>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s://www.g-ba.de/richtlinien/117" TargetMode="External" /><Relationship Id="R3" Type="http://schemas.openxmlformats.org/officeDocument/2006/relationships/hyperlink" Target="http://www.onkozert.de/" TargetMode="External" /><Relationship Id="R4" Type="http://schemas.openxmlformats.org/officeDocument/2006/relationships/hyperlink" Target="http://www.oncomap.de" TargetMode="External" /><Relationship Id="R5" Type="http://schemas.openxmlformats.org/officeDocument/2006/relationships/hyperlink" Target="https://www.krebsgesellschaft.de/zertdokumente.html" TargetMode="External" /><Relationship Id="R6" Type="http://schemas.openxmlformats.org/officeDocument/2006/relationships/hyperlink" Target="http://www.ccc-netzwerk.de/arbeitsgruppen/standard-operating-procedures/netzwerk-sops.html" TargetMode="External" /><Relationship Id="R7" Type="http://schemas.openxmlformats.org/officeDocument/2006/relationships/hyperlink" Target="https://www.krebsgesellschaft.de/zertdokumente.html" TargetMode="External" /><Relationship Id="R8" Type="http://schemas.openxmlformats.org/officeDocument/2006/relationships/hyperlink" Target="https://www.krebsgesellschaft.de/zertdokumente.html" TargetMode="External" /><Relationship Id="R9" Type="http://schemas.openxmlformats.org/officeDocument/2006/relationships/hyperlink" Target="https://www.krebsgesellschaft.de/zertdokumente.html" TargetMode="External" /><Relationship Id="RA" Type="http://schemas.openxmlformats.org/officeDocument/2006/relationships/hyperlink" Target="https://www.eb-digital.de/[object%20Object]" TargetMode="External" /><Relationship Id="RB" Type="http://schemas.openxmlformats.org/officeDocument/2006/relationships/hyperlink" Target="www.leitlinienprogramm-onkologie.de" TargetMode="External" /><Relationship Id="RC" Type="http://schemas.openxmlformats.org/officeDocument/2006/relationships/hyperlink" Target="http://www.leitlinienprogramm-onkologie.de/leitlinien/supportive-therapie/" TargetMode="External" /><Relationship Id="RD" Type="http://schemas.openxmlformats.org/officeDocument/2006/relationships/hyperlink" Target="http://www.onkozert.de" TargetMode="External" /><Relationship Id="RE" Type="http://schemas.openxmlformats.org/officeDocument/2006/relationships/hyperlink" Target="www.onkozert.de" TargetMode="External" /><Relationship Id="RF" Type="http://schemas.openxmlformats.org/officeDocument/2006/relationships/hyperlink" Target="https://www.krebshilfe.de/forschen/foerderung/ausschreibungen/" TargetMode="External" /><Relationship Id="R10" Type="http://schemas.openxmlformats.org/officeDocument/2006/relationships/hyperlink" Target="https://www.krebshilfe.de/fileadmin/Downloads/PDFs/Foerderung/CCCs_9th_Call/Ausschreibung_und_Leitfaden_9._Call_30.09.21.pdf" TargetMode="External" /><Relationship Id="R11" Type="http://schemas.openxmlformats.org/officeDocument/2006/relationships/hyperlink" Target="http://ecc-cert.org/" TargetMode="External" /><Relationship Id="R12" Type="http://schemas.openxmlformats.org/officeDocument/2006/relationships/hyperlink" Target="http://www.onkozert.de/" TargetMode="External" /><Relationship Id="RelHdr1" Type="http://schemas.openxmlformats.org/officeDocument/2006/relationships/header" Target="header1.xml" /><Relationship Id="RelHdr2" Type="http://schemas.openxmlformats.org/officeDocument/2006/relationships/header" Target="header2.xml" /><Relationship Id="RelFtr1" Type="http://schemas.openxmlformats.org/officeDocument/2006/relationships/footer" Target="footer1.xml" /><Relationship Id="RelFtr2" Type="http://schemas.openxmlformats.org/officeDocument/2006/relationships/footer" Target="footer2.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footnotes.xml.rels>&#65279;<?xml version="1.0" encoding="utf-8"?><Relationships xmlns="http://schemas.openxmlformats.org/package/2006/relationships"><Relationship Id="R13" Type="http://schemas.openxmlformats.org/officeDocument/2006/relationships/hyperlink" Target="http://www.bmg.bund.de/fileadmin/dateien/Downloads/N/Nationaler_Krebsplan/Ziel_5-Nationaler_Krebsplan.pdf" TargetMode="External" /><Relationship Id="R14" Type="http://schemas.openxmlformats.org/officeDocument/2006/relationships/hyperlink" Target="http://www.bmg.bund.de/fileadmin/dateien/Downloads/N/Nationaler_Krebsplan/Ziel_5-Nationaler_Krebsplan.pdf" TargetMode="External" /></Relationships>
</file>

<file path=word/_rels/header1.xml.rels>&#65279;<?xml version="1.0" encoding="utf-8"?><Relationships xmlns="http://schemas.openxmlformats.org/package/2006/relationships" />
</file>

<file path=word/_rels/header2.xml.rels>&#65279;<?xml version="1.0" encoding="utf-8"?><Relationships xmlns="http://schemas.openxmlformats.org/package/2006/relationships"><Relationship Id="Relimage1" Type="http://schemas.openxmlformats.org/officeDocument/2006/relationships/image" Target="/media/image1.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ea50-4e4a-4759-b725-3ae4246c9421}">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2022-08-22T10:06:00Z</dcterms:created>
  <cp:lastPrinted>2022-11-09T12:30:00Z</cp:lastPrinted>
  <dcterms:modified xsi:type="dcterms:W3CDTF">2026-01-22T12:32:41Z</dcterms:modified>
  <cp:revision>33</cp:revision>
  <dc:subject>Vers N1, 15 Dez. 2025</dc:subject>
  <dc:title>cr_oc-N1_ENG_251215.docx</dc:title>
  <cp:version>N1</cp:version>
</cp:coreProperties>
</file>